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E3C7" w14:textId="4386E3CF" w:rsidR="00465092" w:rsidRDefault="00000000">
      <w:pPr>
        <w:pStyle w:val="Title"/>
      </w:pPr>
      <w:proofErr w:type="spellStart"/>
      <w:r>
        <w:t>StorageInvest</w:t>
      </w:r>
      <w:proofErr w:type="spellEnd"/>
      <w:r>
        <w:t xml:space="preserve"> Code </w:t>
      </w:r>
      <w:r w:rsidR="00BD4F9D">
        <w:t>e</w:t>
      </w:r>
      <w:r>
        <w:t>xplanation</w:t>
      </w:r>
    </w:p>
    <w:p w14:paraId="37EC0B62" w14:textId="77777777" w:rsidR="00465092" w:rsidRDefault="00000000">
      <w:pPr>
        <w:pStyle w:val="SubtitleCustom"/>
      </w:pPr>
      <w:r>
        <w:t>Asynchronous technical review document for the battery storage dispatch and investment analysis codebase</w:t>
      </w:r>
    </w:p>
    <w:tbl>
      <w:tblPr>
        <w:tblW w:w="0" w:type="auto"/>
        <w:tblBorders>
          <w:top w:val="single" w:sz="4" w:space="0" w:color="C9D6E8"/>
          <w:left w:val="single" w:sz="4" w:space="0" w:color="C9D6E8"/>
          <w:bottom w:val="single" w:sz="4" w:space="0" w:color="C9D6E8"/>
          <w:right w:val="single" w:sz="4" w:space="0" w:color="C9D6E8"/>
          <w:insideH w:val="single" w:sz="4" w:space="0" w:color="C9D6E8"/>
          <w:insideV w:val="single" w:sz="4" w:space="0" w:color="C9D6E8"/>
        </w:tblBorders>
        <w:tblLook w:val="04A0" w:firstRow="1" w:lastRow="0" w:firstColumn="1" w:lastColumn="0" w:noHBand="0" w:noVBand="1"/>
      </w:tblPr>
      <w:tblGrid>
        <w:gridCol w:w="9360"/>
      </w:tblGrid>
      <w:tr w:rsidR="00465092" w14:paraId="6ACB9586" w14:textId="77777777">
        <w:tc>
          <w:tcPr>
            <w:tcW w:w="9360" w:type="dxa"/>
            <w:shd w:val="clear" w:color="auto" w:fill="F6F8FB"/>
            <w:tcMar>
              <w:top w:w="120" w:type="dxa"/>
              <w:left w:w="160" w:type="dxa"/>
              <w:bottom w:w="120" w:type="dxa"/>
              <w:right w:w="160" w:type="dxa"/>
            </w:tcMar>
          </w:tcPr>
          <w:p w14:paraId="757D8105" w14:textId="77777777" w:rsidR="00465092" w:rsidRDefault="00000000">
            <w:r>
              <w:rPr>
                <w:b/>
                <w:color w:val="1F4D78"/>
              </w:rPr>
              <w:t>Purpose.</w:t>
            </w:r>
            <w:r>
              <w:t xml:space="preserve"> This document explains how the repository works without requiring a meeting. It is written for a technical or domain reviewer who needs to understand the module responsibilities, data flow, assumptions, and improvement points.</w:t>
            </w:r>
          </w:p>
        </w:tc>
      </w:tr>
    </w:tbl>
    <w:p w14:paraId="1F342780" w14:textId="77777777" w:rsidR="00465092" w:rsidRDefault="00465092"/>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680"/>
        <w:gridCol w:w="6480"/>
      </w:tblGrid>
      <w:tr w:rsidR="00465092" w14:paraId="329B1BFA" w14:textId="77777777">
        <w:trPr>
          <w:jc w:val="center"/>
        </w:trPr>
        <w:tc>
          <w:tcPr>
            <w:tcW w:w="2592" w:type="dxa"/>
            <w:shd w:val="clear" w:color="auto" w:fill="F2F4F7"/>
            <w:tcMar>
              <w:top w:w="80" w:type="dxa"/>
              <w:left w:w="120" w:type="dxa"/>
              <w:bottom w:w="80" w:type="dxa"/>
              <w:right w:w="120" w:type="dxa"/>
            </w:tcMar>
            <w:vAlign w:val="center"/>
          </w:tcPr>
          <w:p w14:paraId="2EDC09AE" w14:textId="77777777" w:rsidR="00465092" w:rsidRDefault="00000000">
            <w:pPr>
              <w:pStyle w:val="TableText"/>
            </w:pPr>
            <w:r>
              <w:rPr>
                <w:b/>
                <w:color w:val="1F4D78"/>
              </w:rPr>
              <w:t>Item</w:t>
            </w:r>
          </w:p>
        </w:tc>
        <w:tc>
          <w:tcPr>
            <w:tcW w:w="6480" w:type="dxa"/>
            <w:shd w:val="clear" w:color="auto" w:fill="F2F4F7"/>
            <w:tcMar>
              <w:top w:w="80" w:type="dxa"/>
              <w:left w:w="120" w:type="dxa"/>
              <w:bottom w:w="80" w:type="dxa"/>
              <w:right w:w="120" w:type="dxa"/>
            </w:tcMar>
            <w:vAlign w:val="center"/>
          </w:tcPr>
          <w:p w14:paraId="4A6C2A2F" w14:textId="77777777" w:rsidR="00465092" w:rsidRDefault="00000000">
            <w:pPr>
              <w:pStyle w:val="TableText"/>
            </w:pPr>
            <w:r>
              <w:rPr>
                <w:b/>
                <w:color w:val="1F4D78"/>
              </w:rPr>
              <w:t>Description</w:t>
            </w:r>
          </w:p>
        </w:tc>
      </w:tr>
      <w:tr w:rsidR="00465092" w14:paraId="32F41091" w14:textId="77777777">
        <w:trPr>
          <w:jc w:val="center"/>
        </w:trPr>
        <w:tc>
          <w:tcPr>
            <w:tcW w:w="4680" w:type="dxa"/>
            <w:tcMar>
              <w:top w:w="80" w:type="dxa"/>
              <w:left w:w="120" w:type="dxa"/>
              <w:bottom w:w="80" w:type="dxa"/>
              <w:right w:w="120" w:type="dxa"/>
            </w:tcMar>
          </w:tcPr>
          <w:p w14:paraId="038D0391" w14:textId="77777777" w:rsidR="00465092" w:rsidRDefault="00000000">
            <w:pPr>
              <w:pStyle w:val="TableText"/>
            </w:pPr>
            <w:r>
              <w:t>Repository</w:t>
            </w:r>
          </w:p>
        </w:tc>
        <w:tc>
          <w:tcPr>
            <w:tcW w:w="4680" w:type="dxa"/>
            <w:tcMar>
              <w:top w:w="80" w:type="dxa"/>
              <w:left w:w="120" w:type="dxa"/>
              <w:bottom w:w="80" w:type="dxa"/>
              <w:right w:w="120" w:type="dxa"/>
            </w:tcMar>
          </w:tcPr>
          <w:p w14:paraId="53CE7890" w14:textId="77777777" w:rsidR="00465092" w:rsidRDefault="00000000">
            <w:pPr>
              <w:pStyle w:val="TableText"/>
            </w:pPr>
            <w:r>
              <w:t>StorageInvest</w:t>
            </w:r>
          </w:p>
        </w:tc>
      </w:tr>
      <w:tr w:rsidR="00465092" w14:paraId="2A545E8C" w14:textId="77777777">
        <w:trPr>
          <w:jc w:val="center"/>
        </w:trPr>
        <w:tc>
          <w:tcPr>
            <w:tcW w:w="4680" w:type="dxa"/>
            <w:tcMar>
              <w:top w:w="80" w:type="dxa"/>
              <w:left w:w="120" w:type="dxa"/>
              <w:bottom w:w="80" w:type="dxa"/>
              <w:right w:w="120" w:type="dxa"/>
            </w:tcMar>
          </w:tcPr>
          <w:p w14:paraId="582C65DD" w14:textId="77777777" w:rsidR="00465092" w:rsidRDefault="00000000">
            <w:pPr>
              <w:pStyle w:val="TableText"/>
            </w:pPr>
            <w:r>
              <w:t>Main entry point</w:t>
            </w:r>
          </w:p>
        </w:tc>
        <w:tc>
          <w:tcPr>
            <w:tcW w:w="4680" w:type="dxa"/>
            <w:tcMar>
              <w:top w:w="80" w:type="dxa"/>
              <w:left w:w="120" w:type="dxa"/>
              <w:bottom w:w="80" w:type="dxa"/>
              <w:right w:w="120" w:type="dxa"/>
            </w:tcMar>
          </w:tcPr>
          <w:p w14:paraId="3A4CAB4C" w14:textId="77777777" w:rsidR="00465092" w:rsidRDefault="00000000">
            <w:pPr>
              <w:pStyle w:val="TableText"/>
            </w:pPr>
            <w:r>
              <w:t>main.py</w:t>
            </w:r>
          </w:p>
        </w:tc>
      </w:tr>
      <w:tr w:rsidR="00465092" w14:paraId="052EA788" w14:textId="77777777">
        <w:trPr>
          <w:jc w:val="center"/>
        </w:trPr>
        <w:tc>
          <w:tcPr>
            <w:tcW w:w="4680" w:type="dxa"/>
            <w:tcMar>
              <w:top w:w="80" w:type="dxa"/>
              <w:left w:w="120" w:type="dxa"/>
              <w:bottom w:w="80" w:type="dxa"/>
              <w:right w:w="120" w:type="dxa"/>
            </w:tcMar>
          </w:tcPr>
          <w:p w14:paraId="01BBF5D5" w14:textId="77777777" w:rsidR="00465092" w:rsidRDefault="00000000">
            <w:pPr>
              <w:pStyle w:val="TableText"/>
            </w:pPr>
            <w:r>
              <w:t>Primary workflow currently enabled</w:t>
            </w:r>
          </w:p>
        </w:tc>
        <w:tc>
          <w:tcPr>
            <w:tcW w:w="4680" w:type="dxa"/>
            <w:tcMar>
              <w:top w:w="80" w:type="dxa"/>
              <w:left w:w="120" w:type="dxa"/>
              <w:bottom w:w="80" w:type="dxa"/>
              <w:right w:w="120" w:type="dxa"/>
            </w:tcMar>
          </w:tcPr>
          <w:p w14:paraId="22D29F1C" w14:textId="77777777" w:rsidR="00465092" w:rsidRDefault="00000000">
            <w:pPr>
              <w:pStyle w:val="TableText"/>
            </w:pPr>
            <w:r>
              <w:t>Hurdle rate calculation and investment frontier</w:t>
            </w:r>
          </w:p>
        </w:tc>
      </w:tr>
      <w:tr w:rsidR="00465092" w14:paraId="39A2803C" w14:textId="77777777">
        <w:trPr>
          <w:jc w:val="center"/>
        </w:trPr>
        <w:tc>
          <w:tcPr>
            <w:tcW w:w="4680" w:type="dxa"/>
            <w:tcMar>
              <w:top w:w="80" w:type="dxa"/>
              <w:left w:w="120" w:type="dxa"/>
              <w:bottom w:w="80" w:type="dxa"/>
              <w:right w:w="120" w:type="dxa"/>
            </w:tcMar>
          </w:tcPr>
          <w:p w14:paraId="69DDB2EB" w14:textId="77777777" w:rsidR="00465092" w:rsidRDefault="00000000">
            <w:pPr>
              <w:pStyle w:val="TableText"/>
            </w:pPr>
            <w:r>
              <w:t>Core technologies</w:t>
            </w:r>
          </w:p>
        </w:tc>
        <w:tc>
          <w:tcPr>
            <w:tcW w:w="4680" w:type="dxa"/>
            <w:tcMar>
              <w:top w:w="80" w:type="dxa"/>
              <w:left w:w="120" w:type="dxa"/>
              <w:bottom w:w="80" w:type="dxa"/>
              <w:right w:w="120" w:type="dxa"/>
            </w:tcMar>
          </w:tcPr>
          <w:p w14:paraId="7925C925" w14:textId="77777777" w:rsidR="00465092" w:rsidRDefault="00000000">
            <w:pPr>
              <w:pStyle w:val="TableText"/>
            </w:pPr>
            <w:r>
              <w:t>Python, pandas, NumPy, xarray, Linopy, solver backend</w:t>
            </w:r>
          </w:p>
        </w:tc>
      </w:tr>
      <w:tr w:rsidR="00465092" w14:paraId="19115A6B" w14:textId="77777777">
        <w:trPr>
          <w:jc w:val="center"/>
        </w:trPr>
        <w:tc>
          <w:tcPr>
            <w:tcW w:w="4680" w:type="dxa"/>
            <w:tcMar>
              <w:top w:w="80" w:type="dxa"/>
              <w:left w:w="120" w:type="dxa"/>
              <w:bottom w:w="80" w:type="dxa"/>
              <w:right w:w="120" w:type="dxa"/>
            </w:tcMar>
          </w:tcPr>
          <w:p w14:paraId="2A1E57F0" w14:textId="77777777" w:rsidR="00465092" w:rsidRDefault="00000000">
            <w:pPr>
              <w:pStyle w:val="TableText"/>
            </w:pPr>
            <w:r>
              <w:t>Main outputs</w:t>
            </w:r>
          </w:p>
        </w:tc>
        <w:tc>
          <w:tcPr>
            <w:tcW w:w="4680" w:type="dxa"/>
            <w:tcMar>
              <w:top w:w="80" w:type="dxa"/>
              <w:left w:w="120" w:type="dxa"/>
              <w:bottom w:w="80" w:type="dxa"/>
              <w:right w:w="120" w:type="dxa"/>
            </w:tcMar>
          </w:tcPr>
          <w:p w14:paraId="6920595E" w14:textId="77777777" w:rsidR="00465092" w:rsidRDefault="00000000">
            <w:pPr>
              <w:pStyle w:val="TableText"/>
            </w:pPr>
            <w:r>
              <w:t>CSV results and plots under results/</w:t>
            </w:r>
          </w:p>
        </w:tc>
      </w:tr>
    </w:tbl>
    <w:p w14:paraId="49C68A98" w14:textId="77777777" w:rsidR="00465092" w:rsidRDefault="00465092"/>
    <w:p w14:paraId="60BFCD3F" w14:textId="77777777" w:rsidR="00465092" w:rsidRDefault="00000000">
      <w:pPr>
        <w:pStyle w:val="Heading2"/>
      </w:pPr>
      <w:r>
        <w:t>Recommended review focus</w:t>
      </w:r>
    </w:p>
    <w:p w14:paraId="3931D689" w14:textId="77777777" w:rsidR="00465092" w:rsidRDefault="00000000">
      <w:pPr>
        <w:pStyle w:val="ListBullet"/>
      </w:pPr>
      <w:r>
        <w:t>Validate the tariff modelling assumptions and whether each tariff shape matches the intended regulatory design.</w:t>
      </w:r>
    </w:p>
    <w:p w14:paraId="480007C8" w14:textId="77777777" w:rsidR="00465092" w:rsidRDefault="00000000">
      <w:pPr>
        <w:pStyle w:val="ListBullet"/>
      </w:pPr>
      <w:r>
        <w:t>Check the economic assumptions used in CAPM/WACC, CAPEX, OPEX, project lifetime, and risk premium.</w:t>
      </w:r>
    </w:p>
    <w:p w14:paraId="1B300121" w14:textId="77777777" w:rsidR="00465092" w:rsidRDefault="00000000">
      <w:pPr>
        <w:pStyle w:val="ListBullet"/>
      </w:pPr>
      <w:r>
        <w:t>Identify which experimental or legacy files should be consolidated to make the project easier to maintain.</w:t>
      </w:r>
    </w:p>
    <w:p w14:paraId="1BA8192B" w14:textId="77777777" w:rsidR="00465092" w:rsidRDefault="00000000">
      <w:r>
        <w:br w:type="page"/>
      </w:r>
    </w:p>
    <w:p w14:paraId="1ADA59B8" w14:textId="2481935A" w:rsidR="00465092" w:rsidRDefault="00000000">
      <w:pPr>
        <w:pStyle w:val="Heading1"/>
      </w:pPr>
      <w:r>
        <w:lastRenderedPageBreak/>
        <w:t xml:space="preserve">Document </w:t>
      </w:r>
      <w:r w:rsidR="00BD4F9D">
        <w:t>m</w:t>
      </w:r>
      <w:r>
        <w:t>ap</w:t>
      </w:r>
    </w:p>
    <w:p w14:paraId="45B0AC2E" w14:textId="77777777" w:rsidR="00465092" w:rsidRDefault="00000000">
      <w:pPr>
        <w:pStyle w:val="ListNumber"/>
      </w:pPr>
      <w:r>
        <w:t>Project overview and current execution path.</w:t>
      </w:r>
    </w:p>
    <w:p w14:paraId="25CA2D5D" w14:textId="77777777" w:rsidR="00465092" w:rsidRDefault="00000000">
      <w:pPr>
        <w:pStyle w:val="ListNumber"/>
      </w:pPr>
      <w:r>
        <w:t>Repository structure and module responsibilities.</w:t>
      </w:r>
    </w:p>
    <w:p w14:paraId="583B1BA8" w14:textId="77777777" w:rsidR="00465092" w:rsidRDefault="00000000">
      <w:pPr>
        <w:pStyle w:val="ListNumber"/>
      </w:pPr>
      <w:r>
        <w:t>Detailed data flow from scenario CSV to dispatch, financial analysis, and outputs.</w:t>
      </w:r>
    </w:p>
    <w:p w14:paraId="6EA0D1D2" w14:textId="77777777" w:rsidR="00465092" w:rsidRDefault="00000000">
      <w:pPr>
        <w:pStyle w:val="ListNumber"/>
      </w:pPr>
      <w:r>
        <w:t>Explanation of the optimization model and financial calculations.</w:t>
      </w:r>
    </w:p>
    <w:p w14:paraId="2A9E64AB" w14:textId="77777777" w:rsidR="00465092" w:rsidRDefault="00000000">
      <w:pPr>
        <w:pStyle w:val="ListNumber"/>
      </w:pPr>
      <w:r>
        <w:t>How to run and review the code.</w:t>
      </w:r>
    </w:p>
    <w:p w14:paraId="1988C5DF" w14:textId="77777777" w:rsidR="00465092" w:rsidRDefault="00000000">
      <w:pPr>
        <w:pStyle w:val="ListNumber"/>
      </w:pPr>
      <w:r>
        <w:t>Known risks, improvement ideas, and feedback prompts.</w:t>
      </w:r>
    </w:p>
    <w:p w14:paraId="2F1BB602" w14:textId="5BA60EDB" w:rsidR="00465092" w:rsidRDefault="00000000">
      <w:pPr>
        <w:pStyle w:val="Heading1"/>
      </w:pPr>
      <w:r>
        <w:t xml:space="preserve">1. Project </w:t>
      </w:r>
      <w:r w:rsidR="00BD4F9D">
        <w:t>o</w:t>
      </w:r>
      <w:r>
        <w:t>verview</w:t>
      </w:r>
    </w:p>
    <w:p w14:paraId="552234D4" w14:textId="77777777" w:rsidR="00465092" w:rsidRDefault="00000000">
      <w:r>
        <w:t>The StorageInvest repository evaluates battery storage operation and investment viability under different tariff designs. It combines three layers: scenario-driven data loading, battery dispatch optimization, and project finance metrics. The dispatch layer estimates how a storage asset charges and discharges against wholesale prices and network tariff signals. The investment layer then converts dispatch revenue into NPV, IRR, payback, and a maximum viable storage size.</w:t>
      </w:r>
    </w:p>
    <w:p w14:paraId="1C519B82" w14:textId="77777777" w:rsidR="00465092" w:rsidRDefault="00000000">
      <w:r>
        <w:t xml:space="preserve">The active workflow in </w:t>
      </w:r>
      <w:r w:rsidRPr="001B06A5">
        <w:rPr>
          <w:rFonts w:ascii="Courier New" w:eastAsiaTheme="minorEastAsia" w:hAnsi="Courier New" w:cs="Courier New"/>
          <w:sz w:val="18"/>
        </w:rPr>
        <w:t>main.py</w:t>
      </w:r>
      <w:r>
        <w:t xml:space="preserve"> currently runs STEP 0 and STEP 5. STEP 0 computes the hurdle rate using CAPM/WACC. STEP 5 runs the investment frontier for scenarios 29 to 45, when those scenarios exist in the scenario file. Other steps are present but commented out: dispatch comparison, sensitivity to delta, sensitivity to share, and ex-ante versus ex-post configuration comparison.</w:t>
      </w:r>
    </w:p>
    <w:tbl>
      <w:tblPr>
        <w:tblW w:w="0" w:type="auto"/>
        <w:tblBorders>
          <w:top w:val="single" w:sz="4" w:space="0" w:color="C9D6E8"/>
          <w:left w:val="single" w:sz="4" w:space="0" w:color="C9D6E8"/>
          <w:bottom w:val="single" w:sz="4" w:space="0" w:color="C9D6E8"/>
          <w:right w:val="single" w:sz="4" w:space="0" w:color="C9D6E8"/>
          <w:insideH w:val="single" w:sz="4" w:space="0" w:color="C9D6E8"/>
          <w:insideV w:val="single" w:sz="4" w:space="0" w:color="C9D6E8"/>
        </w:tblBorders>
        <w:tblLook w:val="04A0" w:firstRow="1" w:lastRow="0" w:firstColumn="1" w:lastColumn="0" w:noHBand="0" w:noVBand="1"/>
      </w:tblPr>
      <w:tblGrid>
        <w:gridCol w:w="9360"/>
      </w:tblGrid>
      <w:tr w:rsidR="00465092" w14:paraId="60530FD9" w14:textId="77777777">
        <w:tc>
          <w:tcPr>
            <w:tcW w:w="9360" w:type="dxa"/>
            <w:shd w:val="clear" w:color="auto" w:fill="F6F8FB"/>
            <w:tcMar>
              <w:top w:w="120" w:type="dxa"/>
              <w:left w:w="160" w:type="dxa"/>
              <w:bottom w:w="120" w:type="dxa"/>
              <w:right w:w="160" w:type="dxa"/>
            </w:tcMar>
          </w:tcPr>
          <w:p w14:paraId="01C792B0" w14:textId="55795AB6" w:rsidR="00465092" w:rsidRDefault="001B06A5">
            <w:r>
              <w:rPr>
                <w:b/>
                <w:color w:val="1F4D78"/>
              </w:rPr>
              <w:t>R</w:t>
            </w:r>
            <w:r w:rsidR="00000000">
              <w:rPr>
                <w:b/>
                <w:color w:val="1F4D78"/>
              </w:rPr>
              <w:t>esult logic.</w:t>
            </w:r>
            <w:r w:rsidR="00000000">
              <w:t xml:space="preserve"> For each selected tariff scenario, the code repeatedly tests increasing battery sizes. A size is retained while NPV is positive. The loop stops at the first non-viable size, which defines the investment frontier for that tariff design.</w:t>
            </w:r>
          </w:p>
        </w:tc>
      </w:tr>
    </w:tbl>
    <w:p w14:paraId="6D93F496" w14:textId="77777777" w:rsidR="00465092" w:rsidRDefault="00465092"/>
    <w:p w14:paraId="601B1FE4" w14:textId="4F1621EA" w:rsidR="00465092" w:rsidRDefault="00000000">
      <w:pPr>
        <w:pStyle w:val="Heading1"/>
      </w:pPr>
      <w:r>
        <w:t xml:space="preserve">2. Repository </w:t>
      </w:r>
      <w:r w:rsidR="00BD4F9D">
        <w:t>s</w:t>
      </w:r>
      <w:r>
        <w:t>tructure</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680"/>
        <w:gridCol w:w="6048"/>
      </w:tblGrid>
      <w:tr w:rsidR="00465092" w14:paraId="2E715237" w14:textId="77777777">
        <w:trPr>
          <w:jc w:val="center"/>
        </w:trPr>
        <w:tc>
          <w:tcPr>
            <w:tcW w:w="3024" w:type="dxa"/>
            <w:shd w:val="clear" w:color="auto" w:fill="F2F4F7"/>
            <w:tcMar>
              <w:top w:w="80" w:type="dxa"/>
              <w:left w:w="120" w:type="dxa"/>
              <w:bottom w:w="80" w:type="dxa"/>
              <w:right w:w="120" w:type="dxa"/>
            </w:tcMar>
            <w:vAlign w:val="center"/>
          </w:tcPr>
          <w:p w14:paraId="0BA36258" w14:textId="77777777" w:rsidR="00465092" w:rsidRDefault="00000000">
            <w:pPr>
              <w:pStyle w:val="TableText"/>
            </w:pPr>
            <w:r>
              <w:rPr>
                <w:b/>
                <w:color w:val="1F4D78"/>
              </w:rPr>
              <w:t>Path</w:t>
            </w:r>
          </w:p>
        </w:tc>
        <w:tc>
          <w:tcPr>
            <w:tcW w:w="6048" w:type="dxa"/>
            <w:shd w:val="clear" w:color="auto" w:fill="F2F4F7"/>
            <w:tcMar>
              <w:top w:w="80" w:type="dxa"/>
              <w:left w:w="120" w:type="dxa"/>
              <w:bottom w:w="80" w:type="dxa"/>
              <w:right w:w="120" w:type="dxa"/>
            </w:tcMar>
            <w:vAlign w:val="center"/>
          </w:tcPr>
          <w:p w14:paraId="16008EC1" w14:textId="77777777" w:rsidR="00465092" w:rsidRDefault="00000000">
            <w:pPr>
              <w:pStyle w:val="TableText"/>
            </w:pPr>
            <w:r>
              <w:rPr>
                <w:b/>
                <w:color w:val="1F4D78"/>
              </w:rPr>
              <w:t>Responsibility</w:t>
            </w:r>
          </w:p>
        </w:tc>
      </w:tr>
      <w:tr w:rsidR="00465092" w14:paraId="5B95ED01" w14:textId="77777777">
        <w:trPr>
          <w:jc w:val="center"/>
        </w:trPr>
        <w:tc>
          <w:tcPr>
            <w:tcW w:w="4680" w:type="dxa"/>
            <w:tcMar>
              <w:top w:w="80" w:type="dxa"/>
              <w:left w:w="120" w:type="dxa"/>
              <w:bottom w:w="80" w:type="dxa"/>
              <w:right w:w="120" w:type="dxa"/>
            </w:tcMar>
          </w:tcPr>
          <w:p w14:paraId="4C6BC220" w14:textId="77777777" w:rsidR="00465092" w:rsidRDefault="00000000">
            <w:pPr>
              <w:pStyle w:val="TableText"/>
            </w:pPr>
            <w:r w:rsidRPr="001D581B">
              <w:rPr>
                <w:rFonts w:ascii="Courier New" w:hAnsi="Courier New" w:cs="Courier New"/>
              </w:rPr>
              <w:t>main.py</w:t>
            </w:r>
          </w:p>
        </w:tc>
        <w:tc>
          <w:tcPr>
            <w:tcW w:w="4680" w:type="dxa"/>
            <w:tcMar>
              <w:top w:w="80" w:type="dxa"/>
              <w:left w:w="120" w:type="dxa"/>
              <w:bottom w:w="80" w:type="dxa"/>
              <w:right w:w="120" w:type="dxa"/>
            </w:tcMar>
          </w:tcPr>
          <w:p w14:paraId="5D031DAA" w14:textId="77777777" w:rsidR="00465092" w:rsidRDefault="00000000">
            <w:pPr>
              <w:pStyle w:val="TableText"/>
            </w:pPr>
            <w:r>
              <w:t>Executable script that selects scenarios, loads data, computes hurdle rate, and runs the selected analysis steps.</w:t>
            </w:r>
          </w:p>
        </w:tc>
      </w:tr>
      <w:tr w:rsidR="00465092" w14:paraId="04D5AF00" w14:textId="77777777">
        <w:trPr>
          <w:jc w:val="center"/>
        </w:trPr>
        <w:tc>
          <w:tcPr>
            <w:tcW w:w="4680" w:type="dxa"/>
            <w:tcMar>
              <w:top w:w="80" w:type="dxa"/>
              <w:left w:w="120" w:type="dxa"/>
              <w:bottom w:w="80" w:type="dxa"/>
              <w:right w:w="120" w:type="dxa"/>
            </w:tcMar>
          </w:tcPr>
          <w:p w14:paraId="21B22EEF" w14:textId="77777777" w:rsidR="00465092" w:rsidRDefault="00000000">
            <w:pPr>
              <w:pStyle w:val="TableText"/>
            </w:pPr>
            <w:r w:rsidRPr="001D581B">
              <w:rPr>
                <w:rFonts w:ascii="Courier New" w:hAnsi="Courier New" w:cs="Courier New"/>
              </w:rPr>
              <w:t>core.py</w:t>
            </w:r>
          </w:p>
        </w:tc>
        <w:tc>
          <w:tcPr>
            <w:tcW w:w="4680" w:type="dxa"/>
            <w:tcMar>
              <w:top w:w="80" w:type="dxa"/>
              <w:left w:w="120" w:type="dxa"/>
              <w:bottom w:w="80" w:type="dxa"/>
              <w:right w:w="120" w:type="dxa"/>
            </w:tcMar>
          </w:tcPr>
          <w:p w14:paraId="4BBF4C0F" w14:textId="77777777" w:rsidR="00465092" w:rsidRDefault="00000000">
            <w:pPr>
              <w:pStyle w:val="TableText"/>
            </w:pPr>
            <w:r>
              <w:t>Orchestration layer. It reads inputs, calls the dispatch optimizer, assembles yearly results, and delegates financial analysis.</w:t>
            </w:r>
          </w:p>
        </w:tc>
      </w:tr>
      <w:tr w:rsidR="00465092" w14:paraId="32EF4504" w14:textId="77777777">
        <w:trPr>
          <w:jc w:val="center"/>
        </w:trPr>
        <w:tc>
          <w:tcPr>
            <w:tcW w:w="4680" w:type="dxa"/>
            <w:tcMar>
              <w:top w:w="80" w:type="dxa"/>
              <w:left w:w="120" w:type="dxa"/>
              <w:bottom w:w="80" w:type="dxa"/>
              <w:right w:w="120" w:type="dxa"/>
            </w:tcMar>
          </w:tcPr>
          <w:p w14:paraId="14A7346C" w14:textId="77777777" w:rsidR="00465092" w:rsidRDefault="00000000">
            <w:pPr>
              <w:pStyle w:val="TableText"/>
            </w:pPr>
            <w:r w:rsidRPr="001D581B">
              <w:rPr>
                <w:rFonts w:ascii="Courier New" w:hAnsi="Courier New" w:cs="Courier New"/>
              </w:rPr>
              <w:t>settings.py</w:t>
            </w:r>
          </w:p>
        </w:tc>
        <w:tc>
          <w:tcPr>
            <w:tcW w:w="4680" w:type="dxa"/>
            <w:tcMar>
              <w:top w:w="80" w:type="dxa"/>
              <w:left w:w="120" w:type="dxa"/>
              <w:bottom w:w="80" w:type="dxa"/>
              <w:right w:w="120" w:type="dxa"/>
            </w:tcMar>
          </w:tcPr>
          <w:p w14:paraId="6D92C728" w14:textId="77777777" w:rsidR="00465092" w:rsidRDefault="00000000">
            <w:pPr>
              <w:pStyle w:val="TableText"/>
            </w:pPr>
            <w:r>
              <w:t>Scenario parser. It converts colon-separated CSV parameter paths into nested dictionaries.</w:t>
            </w:r>
          </w:p>
        </w:tc>
      </w:tr>
      <w:tr w:rsidR="00465092" w14:paraId="0CA0CF80" w14:textId="77777777">
        <w:trPr>
          <w:jc w:val="center"/>
        </w:trPr>
        <w:tc>
          <w:tcPr>
            <w:tcW w:w="4680" w:type="dxa"/>
            <w:tcMar>
              <w:top w:w="80" w:type="dxa"/>
              <w:left w:w="120" w:type="dxa"/>
              <w:bottom w:w="80" w:type="dxa"/>
              <w:right w:w="120" w:type="dxa"/>
            </w:tcMar>
          </w:tcPr>
          <w:p w14:paraId="20376B1E" w14:textId="77777777" w:rsidR="00465092" w:rsidRDefault="00000000">
            <w:pPr>
              <w:pStyle w:val="TableText"/>
            </w:pPr>
            <w:r w:rsidRPr="001D581B">
              <w:rPr>
                <w:rFonts w:ascii="Courier New" w:hAnsi="Courier New" w:cs="Courier New"/>
              </w:rPr>
              <w:t>storage_dispatch/batterydispatch.py</w:t>
            </w:r>
          </w:p>
        </w:tc>
        <w:tc>
          <w:tcPr>
            <w:tcW w:w="4680" w:type="dxa"/>
            <w:tcMar>
              <w:top w:w="80" w:type="dxa"/>
              <w:left w:w="120" w:type="dxa"/>
              <w:bottom w:w="80" w:type="dxa"/>
              <w:right w:w="120" w:type="dxa"/>
            </w:tcMar>
          </w:tcPr>
          <w:p w14:paraId="09152E60" w14:textId="77777777" w:rsidR="00465092" w:rsidRDefault="00000000">
            <w:pPr>
              <w:pStyle w:val="TableText"/>
            </w:pPr>
            <w:r>
              <w:t>Primary Linopy optimization model for battery charging, discharging, state of charge, net load, tariff level, and objective value.</w:t>
            </w:r>
          </w:p>
        </w:tc>
      </w:tr>
      <w:tr w:rsidR="00465092" w14:paraId="65AAB1DF" w14:textId="77777777">
        <w:trPr>
          <w:jc w:val="center"/>
        </w:trPr>
        <w:tc>
          <w:tcPr>
            <w:tcW w:w="4680" w:type="dxa"/>
            <w:tcMar>
              <w:top w:w="80" w:type="dxa"/>
              <w:left w:w="120" w:type="dxa"/>
              <w:bottom w:w="80" w:type="dxa"/>
              <w:right w:w="120" w:type="dxa"/>
            </w:tcMar>
          </w:tcPr>
          <w:p w14:paraId="104524F0" w14:textId="77777777" w:rsidR="00465092" w:rsidRDefault="00000000">
            <w:pPr>
              <w:pStyle w:val="TableText"/>
            </w:pPr>
            <w:r w:rsidRPr="001D581B">
              <w:rPr>
                <w:rFonts w:ascii="Courier New" w:hAnsi="Courier New" w:cs="Courier New"/>
              </w:rPr>
              <w:t>investment/capm.py</w:t>
            </w:r>
          </w:p>
        </w:tc>
        <w:tc>
          <w:tcPr>
            <w:tcW w:w="4680" w:type="dxa"/>
            <w:tcMar>
              <w:top w:w="80" w:type="dxa"/>
              <w:left w:w="120" w:type="dxa"/>
              <w:bottom w:w="80" w:type="dxa"/>
              <w:right w:w="120" w:type="dxa"/>
            </w:tcMar>
          </w:tcPr>
          <w:p w14:paraId="47A6D0F2" w14:textId="77777777" w:rsidR="00465092" w:rsidRDefault="00000000">
            <w:pPr>
              <w:pStyle w:val="TableText"/>
            </w:pPr>
            <w:r>
              <w:t>CAPM/WACC calculation and hurdle-rate result structures.</w:t>
            </w:r>
          </w:p>
        </w:tc>
      </w:tr>
      <w:tr w:rsidR="00465092" w14:paraId="21B9A386" w14:textId="77777777">
        <w:trPr>
          <w:jc w:val="center"/>
        </w:trPr>
        <w:tc>
          <w:tcPr>
            <w:tcW w:w="4680" w:type="dxa"/>
            <w:tcMar>
              <w:top w:w="80" w:type="dxa"/>
              <w:left w:w="120" w:type="dxa"/>
              <w:bottom w:w="80" w:type="dxa"/>
              <w:right w:w="120" w:type="dxa"/>
            </w:tcMar>
          </w:tcPr>
          <w:p w14:paraId="6076AFAC" w14:textId="77777777" w:rsidR="00465092" w:rsidRDefault="00000000">
            <w:pPr>
              <w:pStyle w:val="TableText"/>
            </w:pPr>
            <w:r w:rsidRPr="001D581B">
              <w:rPr>
                <w:rFonts w:ascii="Courier New" w:hAnsi="Courier New" w:cs="Courier New"/>
              </w:rPr>
              <w:t>investment/npv_analysis.py</w:t>
            </w:r>
          </w:p>
        </w:tc>
        <w:tc>
          <w:tcPr>
            <w:tcW w:w="4680" w:type="dxa"/>
            <w:tcMar>
              <w:top w:w="80" w:type="dxa"/>
              <w:left w:w="120" w:type="dxa"/>
              <w:bottom w:w="80" w:type="dxa"/>
              <w:right w:w="120" w:type="dxa"/>
            </w:tcMar>
          </w:tcPr>
          <w:p w14:paraId="443E3665" w14:textId="77777777" w:rsidR="00465092" w:rsidRDefault="00000000">
            <w:pPr>
              <w:pStyle w:val="TableText"/>
            </w:pPr>
            <w:r>
              <w:t>Financial metrics: CAPEX, OPEX, annual cash flow, NPV, IRR, payback, and viability flag.</w:t>
            </w:r>
          </w:p>
        </w:tc>
      </w:tr>
      <w:tr w:rsidR="00465092" w14:paraId="49651897" w14:textId="77777777">
        <w:trPr>
          <w:jc w:val="center"/>
        </w:trPr>
        <w:tc>
          <w:tcPr>
            <w:tcW w:w="4680" w:type="dxa"/>
            <w:tcMar>
              <w:top w:w="80" w:type="dxa"/>
              <w:left w:w="120" w:type="dxa"/>
              <w:bottom w:w="80" w:type="dxa"/>
              <w:right w:w="120" w:type="dxa"/>
            </w:tcMar>
          </w:tcPr>
          <w:p w14:paraId="69C3158F" w14:textId="77777777" w:rsidR="00465092" w:rsidRPr="005E15B8" w:rsidRDefault="00000000">
            <w:pPr>
              <w:pStyle w:val="TableText"/>
              <w:rPr>
                <w:rFonts w:ascii="Courier New" w:hAnsi="Courier New" w:cs="Courier New"/>
              </w:rPr>
            </w:pPr>
            <w:r w:rsidRPr="005E15B8">
              <w:rPr>
                <w:rFonts w:ascii="Courier New" w:hAnsi="Courier New" w:cs="Courier New"/>
              </w:rPr>
              <w:lastRenderedPageBreak/>
              <w:t>investment/investment_frontier.py</w:t>
            </w:r>
          </w:p>
        </w:tc>
        <w:tc>
          <w:tcPr>
            <w:tcW w:w="4680" w:type="dxa"/>
            <w:tcMar>
              <w:top w:w="80" w:type="dxa"/>
              <w:left w:w="120" w:type="dxa"/>
              <w:bottom w:w="80" w:type="dxa"/>
              <w:right w:w="120" w:type="dxa"/>
            </w:tcMar>
          </w:tcPr>
          <w:p w14:paraId="7C1EEC88" w14:textId="77777777" w:rsidR="00465092" w:rsidRDefault="00000000">
            <w:pPr>
              <w:pStyle w:val="TableText"/>
            </w:pPr>
            <w:r>
              <w:t>Iterative search over storage sizes for each tariff scenario and export of detailed and summary CSV files.</w:t>
            </w:r>
          </w:p>
        </w:tc>
      </w:tr>
      <w:tr w:rsidR="00465092" w14:paraId="1EE3B210" w14:textId="77777777">
        <w:trPr>
          <w:jc w:val="center"/>
        </w:trPr>
        <w:tc>
          <w:tcPr>
            <w:tcW w:w="4680" w:type="dxa"/>
            <w:tcMar>
              <w:top w:w="80" w:type="dxa"/>
              <w:left w:w="120" w:type="dxa"/>
              <w:bottom w:w="80" w:type="dxa"/>
              <w:right w:w="120" w:type="dxa"/>
            </w:tcMar>
          </w:tcPr>
          <w:p w14:paraId="466D2402" w14:textId="77777777" w:rsidR="00465092" w:rsidRDefault="00000000">
            <w:pPr>
              <w:pStyle w:val="TableText"/>
            </w:pPr>
            <w:r w:rsidRPr="005E15B8">
              <w:rPr>
                <w:rFonts w:ascii="Courier New" w:hAnsi="Courier New" w:cs="Courier New"/>
              </w:rPr>
              <w:t>results_analysis.py</w:t>
            </w:r>
          </w:p>
        </w:tc>
        <w:tc>
          <w:tcPr>
            <w:tcW w:w="4680" w:type="dxa"/>
            <w:tcMar>
              <w:top w:w="80" w:type="dxa"/>
              <w:left w:w="120" w:type="dxa"/>
              <w:bottom w:w="80" w:type="dxa"/>
              <w:right w:w="120" w:type="dxa"/>
            </w:tcMar>
          </w:tcPr>
          <w:p w14:paraId="640B41AF" w14:textId="77777777" w:rsidR="00465092" w:rsidRDefault="00000000">
            <w:pPr>
              <w:pStyle w:val="TableText"/>
            </w:pPr>
            <w:r>
              <w:t>Plotting and analysis functions for dispatch, tariff, revenue, and configuration comparisons.</w:t>
            </w:r>
          </w:p>
        </w:tc>
      </w:tr>
      <w:tr w:rsidR="00465092" w14:paraId="7A5F6221" w14:textId="77777777">
        <w:trPr>
          <w:jc w:val="center"/>
        </w:trPr>
        <w:tc>
          <w:tcPr>
            <w:tcW w:w="4680" w:type="dxa"/>
            <w:tcMar>
              <w:top w:w="80" w:type="dxa"/>
              <w:left w:w="120" w:type="dxa"/>
              <w:bottom w:w="80" w:type="dxa"/>
              <w:right w:w="120" w:type="dxa"/>
            </w:tcMar>
          </w:tcPr>
          <w:p w14:paraId="2032E156" w14:textId="77777777" w:rsidR="00465092" w:rsidRDefault="00000000">
            <w:pPr>
              <w:pStyle w:val="TableText"/>
            </w:pPr>
            <w:r w:rsidRPr="005E15B8">
              <w:rPr>
                <w:rFonts w:ascii="Courier New" w:hAnsi="Courier New" w:cs="Courier New"/>
              </w:rPr>
              <w:t>utils/</w:t>
            </w:r>
          </w:p>
        </w:tc>
        <w:tc>
          <w:tcPr>
            <w:tcW w:w="4680" w:type="dxa"/>
            <w:tcMar>
              <w:top w:w="80" w:type="dxa"/>
              <w:left w:w="120" w:type="dxa"/>
              <w:bottom w:w="80" w:type="dxa"/>
              <w:right w:w="120" w:type="dxa"/>
            </w:tcMar>
          </w:tcPr>
          <w:p w14:paraId="5AFB6BB2" w14:textId="77777777" w:rsidR="00465092" w:rsidRDefault="00000000">
            <w:pPr>
              <w:pStyle w:val="TableText"/>
            </w:pPr>
            <w:r>
              <w:t>Reusable data structures and older CEP-style loading helpers. Only utils.datastructs.OptResult is directly used by the current dispatch path.</w:t>
            </w:r>
          </w:p>
        </w:tc>
      </w:tr>
      <w:tr w:rsidR="00465092" w14:paraId="6242C5DD" w14:textId="77777777">
        <w:trPr>
          <w:jc w:val="center"/>
        </w:trPr>
        <w:tc>
          <w:tcPr>
            <w:tcW w:w="4680" w:type="dxa"/>
            <w:tcMar>
              <w:top w:w="80" w:type="dxa"/>
              <w:left w:w="120" w:type="dxa"/>
              <w:bottom w:w="80" w:type="dxa"/>
              <w:right w:w="120" w:type="dxa"/>
            </w:tcMar>
          </w:tcPr>
          <w:p w14:paraId="38447D5B" w14:textId="77777777" w:rsidR="00465092" w:rsidRDefault="00000000">
            <w:pPr>
              <w:pStyle w:val="TableText"/>
            </w:pPr>
            <w:r w:rsidRPr="005E15B8">
              <w:rPr>
                <w:rFonts w:ascii="Courier New" w:hAnsi="Courier New" w:cs="Courier New"/>
              </w:rPr>
              <w:t>data/input/</w:t>
            </w:r>
          </w:p>
        </w:tc>
        <w:tc>
          <w:tcPr>
            <w:tcW w:w="4680" w:type="dxa"/>
            <w:tcMar>
              <w:top w:w="80" w:type="dxa"/>
              <w:left w:w="120" w:type="dxa"/>
              <w:bottom w:w="80" w:type="dxa"/>
              <w:right w:w="120" w:type="dxa"/>
            </w:tcMar>
          </w:tcPr>
          <w:p w14:paraId="3689DF28" w14:textId="77777777" w:rsidR="00465092" w:rsidRDefault="00000000">
            <w:pPr>
              <w:pStyle w:val="TableText"/>
            </w:pPr>
            <w:r>
              <w:t>Main input CSV files for scenarios, load, and day-ahead prices.</w:t>
            </w:r>
          </w:p>
        </w:tc>
      </w:tr>
      <w:tr w:rsidR="00465092" w14:paraId="0D9CD244" w14:textId="77777777">
        <w:trPr>
          <w:jc w:val="center"/>
        </w:trPr>
        <w:tc>
          <w:tcPr>
            <w:tcW w:w="4680" w:type="dxa"/>
            <w:tcMar>
              <w:top w:w="80" w:type="dxa"/>
              <w:left w:w="120" w:type="dxa"/>
              <w:bottom w:w="80" w:type="dxa"/>
              <w:right w:w="120" w:type="dxa"/>
            </w:tcMar>
          </w:tcPr>
          <w:p w14:paraId="36ADA24D" w14:textId="77777777" w:rsidR="00465092" w:rsidRDefault="00000000">
            <w:pPr>
              <w:pStyle w:val="TableText"/>
            </w:pPr>
            <w:r w:rsidRPr="005E15B8">
              <w:rPr>
                <w:rFonts w:ascii="Courier New" w:hAnsi="Courier New" w:cs="Courier New"/>
              </w:rPr>
              <w:t>results/</w:t>
            </w:r>
          </w:p>
        </w:tc>
        <w:tc>
          <w:tcPr>
            <w:tcW w:w="4680" w:type="dxa"/>
            <w:tcMar>
              <w:top w:w="80" w:type="dxa"/>
              <w:left w:w="120" w:type="dxa"/>
              <w:bottom w:w="80" w:type="dxa"/>
              <w:right w:w="120" w:type="dxa"/>
            </w:tcMar>
          </w:tcPr>
          <w:p w14:paraId="3E3836D8" w14:textId="77777777" w:rsidR="00465092" w:rsidRDefault="00000000">
            <w:pPr>
              <w:pStyle w:val="TableText"/>
            </w:pPr>
            <w:r>
              <w:t>Generated CSV, plot, and investment outputs.</w:t>
            </w:r>
          </w:p>
        </w:tc>
      </w:tr>
    </w:tbl>
    <w:p w14:paraId="543B2D5B" w14:textId="77777777" w:rsidR="00465092" w:rsidRDefault="00465092"/>
    <w:p w14:paraId="7D47CDCD" w14:textId="77777777" w:rsidR="00465092" w:rsidRDefault="00000000">
      <w:pPr>
        <w:pStyle w:val="Heading2"/>
      </w:pPr>
      <w:r>
        <w:t>Active versus optional code</w:t>
      </w:r>
    </w:p>
    <w:p w14:paraId="46AF3832" w14:textId="3F0AC57B" w:rsidR="00465092" w:rsidRDefault="00000000">
      <w:r>
        <w:t xml:space="preserve">The current </w:t>
      </w:r>
      <w:r w:rsidRPr="005E15B8">
        <w:rPr>
          <w:rFonts w:ascii="Courier New" w:eastAsiaTheme="minorEastAsia" w:hAnsi="Courier New" w:cs="Courier New"/>
          <w:sz w:val="18"/>
        </w:rPr>
        <w:t>main.py</w:t>
      </w:r>
      <w:r>
        <w:t xml:space="preserve"> imports several functions, but only </w:t>
      </w:r>
      <w:r w:rsidRPr="005E15B8">
        <w:rPr>
          <w:rFonts w:ascii="Courier New" w:eastAsiaTheme="minorEastAsia" w:hAnsi="Courier New" w:cs="Courier New"/>
          <w:sz w:val="18"/>
        </w:rPr>
        <w:t>computeHurdleRate</w:t>
      </w:r>
      <w:r>
        <w:t xml:space="preserve"> and </w:t>
      </w:r>
      <w:r w:rsidRPr="005E15B8">
        <w:rPr>
          <w:rFonts w:ascii="Courier New" w:eastAsiaTheme="minorEastAsia" w:hAnsi="Courier New" w:cs="Courier New"/>
          <w:sz w:val="18"/>
        </w:rPr>
        <w:t>runInvestmentFrontier</w:t>
      </w:r>
      <w:r>
        <w:t xml:space="preserve"> are executed by default. The other imported workflow functions are ready for manual activation by uncommenting their blocks. Several alternative dispatch implementations are present in </w:t>
      </w:r>
      <w:r w:rsidRPr="005E15B8">
        <w:rPr>
          <w:rFonts w:ascii="Courier New" w:eastAsiaTheme="minorEastAsia" w:hAnsi="Courier New" w:cs="Courier New"/>
          <w:sz w:val="18"/>
        </w:rPr>
        <w:t>storage_dispatch</w:t>
      </w:r>
      <w:r>
        <w:t xml:space="preserve">, including </w:t>
      </w:r>
      <w:proofErr w:type="gramStart"/>
      <w:r>
        <w:t>GAMSPy,</w:t>
      </w:r>
      <w:proofErr w:type="gramEnd"/>
      <w:r>
        <w:t xml:space="preserve"> Linopy variants. The active import path uses </w:t>
      </w:r>
      <w:r w:rsidRPr="005E15B8">
        <w:rPr>
          <w:rFonts w:ascii="Courier New" w:eastAsiaTheme="minorEastAsia" w:hAnsi="Courier New" w:cs="Courier New"/>
          <w:sz w:val="18"/>
        </w:rPr>
        <w:t>storage_dispatch.batterydispatch</w:t>
      </w:r>
      <w:r>
        <w:t>.</w:t>
      </w:r>
    </w:p>
    <w:p w14:paraId="4B0BA06B" w14:textId="09D8E02E" w:rsidR="00465092" w:rsidRDefault="00000000">
      <w:pPr>
        <w:pStyle w:val="Heading1"/>
      </w:pPr>
      <w:r>
        <w:t xml:space="preserve">3. End-to-End </w:t>
      </w:r>
      <w:r w:rsidR="005E15B8">
        <w:t>d</w:t>
      </w:r>
      <w:r>
        <w:t xml:space="preserve">ata </w:t>
      </w:r>
      <w:r w:rsidR="005E15B8">
        <w:t>f</w:t>
      </w:r>
      <w:r>
        <w:t>low</w:t>
      </w:r>
    </w:p>
    <w:p w14:paraId="181602F0" w14:textId="27256D36" w:rsidR="00465092" w:rsidRDefault="00000000">
      <w:pPr>
        <w:pStyle w:val="ListNumber"/>
      </w:pPr>
      <w:r w:rsidRPr="005E15B8">
        <w:rPr>
          <w:rFonts w:ascii="Courier New" w:eastAsiaTheme="minorEastAsia" w:hAnsi="Courier New" w:cs="Courier New"/>
          <w:sz w:val="18"/>
        </w:rPr>
        <w:t>main.py</w:t>
      </w:r>
      <w:r>
        <w:t xml:space="preserve"> defines SCENARIO_</w:t>
      </w:r>
      <w:proofErr w:type="gramStart"/>
      <w:r>
        <w:t>LIST  and</w:t>
      </w:r>
      <w:proofErr w:type="gramEnd"/>
      <w:r>
        <w:t xml:space="preserve"> calls </w:t>
      </w:r>
      <w:r w:rsidRPr="005E15B8">
        <w:rPr>
          <w:rFonts w:ascii="Courier New" w:eastAsiaTheme="minorEastAsia" w:hAnsi="Courier New" w:cs="Courier New"/>
          <w:sz w:val="18"/>
        </w:rPr>
        <w:t>readStorageDispatchScenario</w:t>
      </w:r>
      <w:r>
        <w:t>.</w:t>
      </w:r>
    </w:p>
    <w:p w14:paraId="1F7B7167" w14:textId="77777777" w:rsidR="00465092" w:rsidRDefault="00000000">
      <w:pPr>
        <w:pStyle w:val="ListNumber"/>
      </w:pPr>
      <w:proofErr w:type="gramStart"/>
      <w:r w:rsidRPr="001B06A5">
        <w:rPr>
          <w:rFonts w:ascii="Courier New" w:eastAsiaTheme="minorEastAsia" w:hAnsi="Courier New" w:cs="Courier New"/>
          <w:sz w:val="18"/>
        </w:rPr>
        <w:t>settings.read</w:t>
      </w:r>
      <w:proofErr w:type="gramEnd"/>
      <w:r>
        <w:t xml:space="preserve"> reads </w:t>
      </w:r>
      <w:r w:rsidRPr="001B06A5">
        <w:rPr>
          <w:b/>
          <w:bCs/>
        </w:rPr>
        <w:t>data/input/storage_dispatch_scenarios.csv</w:t>
      </w:r>
      <w:r>
        <w:t xml:space="preserve"> and converts each scenario column into a nested dictionary.</w:t>
      </w:r>
    </w:p>
    <w:p w14:paraId="5DBA4971" w14:textId="77777777" w:rsidR="00465092" w:rsidRDefault="00000000">
      <w:pPr>
        <w:pStyle w:val="ListNumber"/>
      </w:pPr>
      <w:r w:rsidRPr="001B06A5">
        <w:rPr>
          <w:rFonts w:ascii="Courier New" w:eastAsiaTheme="minorEastAsia" w:hAnsi="Courier New" w:cs="Courier New"/>
          <w:sz w:val="18"/>
        </w:rPr>
        <w:t>main.py</w:t>
      </w:r>
      <w:r>
        <w:t xml:space="preserve"> extracts base_tariff and area from scenario_1, then calls </w:t>
      </w:r>
      <w:r w:rsidRPr="001B06A5">
        <w:rPr>
          <w:rFonts w:ascii="Courier New" w:eastAsiaTheme="minorEastAsia" w:hAnsi="Courier New" w:cs="Courier New"/>
          <w:sz w:val="18"/>
        </w:rPr>
        <w:t>readLoadPrice(area).</w:t>
      </w:r>
    </w:p>
    <w:p w14:paraId="4EA069C3" w14:textId="77777777" w:rsidR="00465092" w:rsidRDefault="00000000">
      <w:pPr>
        <w:pStyle w:val="ListNumber"/>
      </w:pPr>
      <w:r w:rsidRPr="001B06A5">
        <w:rPr>
          <w:rFonts w:ascii="Courier New" w:eastAsiaTheme="minorEastAsia" w:hAnsi="Courier New" w:cs="Courier New"/>
          <w:sz w:val="18"/>
        </w:rPr>
        <w:t>readLoadPrice</w:t>
      </w:r>
      <w:r>
        <w:t xml:space="preserve"> loads </w:t>
      </w:r>
      <w:r w:rsidRPr="001B06A5">
        <w:rPr>
          <w:b/>
          <w:bCs/>
        </w:rPr>
        <w:t>actual_consumption_&lt;area&gt;.csv</w:t>
      </w:r>
      <w:r>
        <w:t xml:space="preserve"> and </w:t>
      </w:r>
      <w:r w:rsidRPr="001B06A5">
        <w:rPr>
          <w:b/>
          <w:bCs/>
        </w:rPr>
        <w:t>day_ahead_prices.csv</w:t>
      </w:r>
      <w:r>
        <w:t>, then adds year and hourly index t columns.</w:t>
      </w:r>
    </w:p>
    <w:p w14:paraId="7B064563" w14:textId="77777777" w:rsidR="00465092" w:rsidRDefault="00000000">
      <w:pPr>
        <w:pStyle w:val="ListNumber"/>
      </w:pPr>
      <w:r w:rsidRPr="001B06A5">
        <w:rPr>
          <w:rFonts w:ascii="Courier New" w:eastAsiaTheme="minorEastAsia" w:hAnsi="Courier New" w:cs="Courier New"/>
          <w:sz w:val="18"/>
        </w:rPr>
        <w:t>computeHurdleRate</w:t>
      </w:r>
      <w:r>
        <w:t xml:space="preserve"> reads </w:t>
      </w:r>
      <w:r w:rsidRPr="001B06A5">
        <w:rPr>
          <w:b/>
          <w:bCs/>
        </w:rPr>
        <w:t>rf</w:t>
      </w:r>
      <w:r>
        <w:t xml:space="preserve"> and project risk premium </w:t>
      </w:r>
      <w:r w:rsidRPr="001B06A5">
        <w:rPr>
          <w:b/>
          <w:bCs/>
        </w:rPr>
        <w:t>k</w:t>
      </w:r>
      <w:r>
        <w:t xml:space="preserve"> from scenario_1 and combines them with explicit CAPM/WACC assumptions.</w:t>
      </w:r>
    </w:p>
    <w:p w14:paraId="3AA0E838" w14:textId="77777777" w:rsidR="00465092" w:rsidRDefault="00000000">
      <w:pPr>
        <w:pStyle w:val="ListNumber"/>
      </w:pPr>
      <w:r w:rsidRPr="001B06A5">
        <w:rPr>
          <w:rFonts w:ascii="Courier New" w:eastAsiaTheme="minorEastAsia" w:hAnsi="Courier New" w:cs="Courier New"/>
          <w:sz w:val="18"/>
        </w:rPr>
        <w:t>runInvestmentFrontier</w:t>
      </w:r>
      <w:r>
        <w:t xml:space="preserve"> selects investment scenarios, then calls investment.investment_frontier.run_investment_frontier.</w:t>
      </w:r>
    </w:p>
    <w:p w14:paraId="49F96C8F" w14:textId="77777777" w:rsidR="00465092" w:rsidRDefault="00000000">
      <w:pPr>
        <w:pStyle w:val="ListNumber"/>
      </w:pPr>
      <w:r>
        <w:t xml:space="preserve">For each scenario and each tested size, </w:t>
      </w:r>
      <w:r w:rsidRPr="001B06A5">
        <w:rPr>
          <w:rFonts w:ascii="Courier New" w:eastAsiaTheme="minorEastAsia" w:hAnsi="Courier New" w:cs="Courier New"/>
          <w:sz w:val="18"/>
        </w:rPr>
        <w:t>_run_dispatch_for_size</w:t>
      </w:r>
      <w:r>
        <w:t xml:space="preserve"> runs the dispatch optimizer for every year in the configured horizon.</w:t>
      </w:r>
    </w:p>
    <w:p w14:paraId="00C676FB" w14:textId="77777777" w:rsidR="00465092" w:rsidRDefault="00000000">
      <w:pPr>
        <w:pStyle w:val="ListNumber"/>
      </w:pPr>
      <w:r w:rsidRPr="001B06A5">
        <w:rPr>
          <w:rFonts w:ascii="Courier New" w:eastAsiaTheme="minorEastAsia" w:hAnsi="Courier New" w:cs="Courier New"/>
          <w:sz w:val="18"/>
        </w:rPr>
        <w:t>annualize_dispatch_revenue</w:t>
      </w:r>
      <w:r>
        <w:t xml:space="preserve"> averages yearly dispatch revenue, and </w:t>
      </w:r>
      <w:r w:rsidRPr="001B06A5">
        <w:rPr>
          <w:rFonts w:ascii="Courier New" w:eastAsiaTheme="minorEastAsia" w:hAnsi="Courier New" w:cs="Courier New"/>
          <w:sz w:val="18"/>
        </w:rPr>
        <w:t>compute_npv</w:t>
      </w:r>
      <w:r>
        <w:t xml:space="preserve"> converts that revenue into financial indicators.</w:t>
      </w:r>
    </w:p>
    <w:p w14:paraId="58CF242B" w14:textId="77777777" w:rsidR="00465092" w:rsidRDefault="00000000">
      <w:pPr>
        <w:pStyle w:val="ListNumber"/>
      </w:pPr>
      <w:r>
        <w:t xml:space="preserve">Detailed scenario CSV files and a summary CSV are written to </w:t>
      </w:r>
      <w:r w:rsidRPr="001B06A5">
        <w:rPr>
          <w:b/>
          <w:bCs/>
          <w:i/>
          <w:iCs/>
        </w:rPr>
        <w:t>results/investment</w:t>
      </w:r>
      <w:r>
        <w:t>.</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3120"/>
        <w:gridCol w:w="3120"/>
        <w:gridCol w:w="4032"/>
      </w:tblGrid>
      <w:tr w:rsidR="00465092" w14:paraId="46FEE748" w14:textId="77777777">
        <w:trPr>
          <w:jc w:val="center"/>
        </w:trPr>
        <w:tc>
          <w:tcPr>
            <w:tcW w:w="2736" w:type="dxa"/>
            <w:shd w:val="clear" w:color="auto" w:fill="F2F4F7"/>
            <w:tcMar>
              <w:top w:w="80" w:type="dxa"/>
              <w:left w:w="120" w:type="dxa"/>
              <w:bottom w:w="80" w:type="dxa"/>
              <w:right w:w="120" w:type="dxa"/>
            </w:tcMar>
            <w:vAlign w:val="center"/>
          </w:tcPr>
          <w:p w14:paraId="1DAB6D2D" w14:textId="77777777" w:rsidR="00465092" w:rsidRDefault="00000000">
            <w:pPr>
              <w:pStyle w:val="TableText"/>
            </w:pPr>
            <w:r>
              <w:rPr>
                <w:b/>
                <w:color w:val="1F4D78"/>
              </w:rPr>
              <w:t>File or folder</w:t>
            </w:r>
          </w:p>
        </w:tc>
        <w:tc>
          <w:tcPr>
            <w:tcW w:w="2304" w:type="dxa"/>
            <w:shd w:val="clear" w:color="auto" w:fill="F2F4F7"/>
            <w:tcMar>
              <w:top w:w="80" w:type="dxa"/>
              <w:left w:w="120" w:type="dxa"/>
              <w:bottom w:w="80" w:type="dxa"/>
              <w:right w:w="120" w:type="dxa"/>
            </w:tcMar>
            <w:vAlign w:val="center"/>
          </w:tcPr>
          <w:p w14:paraId="54881756" w14:textId="77777777" w:rsidR="00465092" w:rsidRDefault="00000000">
            <w:pPr>
              <w:pStyle w:val="TableText"/>
            </w:pPr>
            <w:r>
              <w:rPr>
                <w:b/>
                <w:color w:val="1F4D78"/>
              </w:rPr>
              <w:t>Role</w:t>
            </w:r>
          </w:p>
        </w:tc>
        <w:tc>
          <w:tcPr>
            <w:tcW w:w="4032" w:type="dxa"/>
            <w:shd w:val="clear" w:color="auto" w:fill="F2F4F7"/>
            <w:tcMar>
              <w:top w:w="80" w:type="dxa"/>
              <w:left w:w="120" w:type="dxa"/>
              <w:bottom w:w="80" w:type="dxa"/>
              <w:right w:w="120" w:type="dxa"/>
            </w:tcMar>
            <w:vAlign w:val="center"/>
          </w:tcPr>
          <w:p w14:paraId="03F41CBB" w14:textId="77777777" w:rsidR="00465092" w:rsidRDefault="00000000">
            <w:pPr>
              <w:pStyle w:val="TableText"/>
            </w:pPr>
            <w:r>
              <w:rPr>
                <w:b/>
                <w:color w:val="1F4D78"/>
              </w:rPr>
              <w:t>Important contents</w:t>
            </w:r>
          </w:p>
        </w:tc>
      </w:tr>
      <w:tr w:rsidR="00465092" w14:paraId="040FE0A6" w14:textId="77777777">
        <w:trPr>
          <w:jc w:val="center"/>
        </w:trPr>
        <w:tc>
          <w:tcPr>
            <w:tcW w:w="3120" w:type="dxa"/>
            <w:tcMar>
              <w:top w:w="80" w:type="dxa"/>
              <w:left w:w="120" w:type="dxa"/>
              <w:bottom w:w="80" w:type="dxa"/>
              <w:right w:w="120" w:type="dxa"/>
            </w:tcMar>
          </w:tcPr>
          <w:p w14:paraId="3BFB9B95" w14:textId="77777777" w:rsidR="00465092" w:rsidRDefault="00000000">
            <w:pPr>
              <w:pStyle w:val="TableText"/>
            </w:pPr>
            <w:r>
              <w:t>storage_dispatch_scenarios.csv</w:t>
            </w:r>
          </w:p>
        </w:tc>
        <w:tc>
          <w:tcPr>
            <w:tcW w:w="3120" w:type="dxa"/>
            <w:tcMar>
              <w:top w:w="80" w:type="dxa"/>
              <w:left w:w="120" w:type="dxa"/>
              <w:bottom w:w="80" w:type="dxa"/>
              <w:right w:w="120" w:type="dxa"/>
            </w:tcMar>
          </w:tcPr>
          <w:p w14:paraId="3E8C8895" w14:textId="77777777" w:rsidR="00465092" w:rsidRDefault="00000000">
            <w:pPr>
              <w:pStyle w:val="TableText"/>
            </w:pPr>
            <w:r>
              <w:t>Scenario parameters</w:t>
            </w:r>
          </w:p>
        </w:tc>
        <w:tc>
          <w:tcPr>
            <w:tcW w:w="3120" w:type="dxa"/>
            <w:tcMar>
              <w:top w:w="80" w:type="dxa"/>
              <w:left w:w="120" w:type="dxa"/>
              <w:bottom w:w="80" w:type="dxa"/>
              <w:right w:w="120" w:type="dxa"/>
            </w:tcMar>
          </w:tcPr>
          <w:p w14:paraId="306093B9" w14:textId="77777777" w:rsidR="00465092" w:rsidRDefault="00000000">
            <w:pPr>
              <w:pStyle w:val="TableText"/>
            </w:pPr>
            <w:r>
              <w:t>Tariff shape, delta, share, storage size, step size, financial and network parameters.</w:t>
            </w:r>
          </w:p>
        </w:tc>
      </w:tr>
      <w:tr w:rsidR="00465092" w14:paraId="7F82D425" w14:textId="77777777">
        <w:trPr>
          <w:jc w:val="center"/>
        </w:trPr>
        <w:tc>
          <w:tcPr>
            <w:tcW w:w="3120" w:type="dxa"/>
            <w:tcMar>
              <w:top w:w="80" w:type="dxa"/>
              <w:left w:w="120" w:type="dxa"/>
              <w:bottom w:w="80" w:type="dxa"/>
              <w:right w:w="120" w:type="dxa"/>
            </w:tcMar>
          </w:tcPr>
          <w:p w14:paraId="7029FBDF" w14:textId="77777777" w:rsidR="00465092" w:rsidRDefault="00000000">
            <w:pPr>
              <w:pStyle w:val="TableText"/>
            </w:pPr>
            <w:r>
              <w:t>actual_consumption_germany.csv</w:t>
            </w:r>
          </w:p>
        </w:tc>
        <w:tc>
          <w:tcPr>
            <w:tcW w:w="3120" w:type="dxa"/>
            <w:tcMar>
              <w:top w:w="80" w:type="dxa"/>
              <w:left w:w="120" w:type="dxa"/>
              <w:bottom w:w="80" w:type="dxa"/>
              <w:right w:w="120" w:type="dxa"/>
            </w:tcMar>
          </w:tcPr>
          <w:p w14:paraId="15B0835D" w14:textId="77777777" w:rsidR="00465092" w:rsidRDefault="00000000">
            <w:pPr>
              <w:pStyle w:val="TableText"/>
            </w:pPr>
            <w:r>
              <w:t>Load input</w:t>
            </w:r>
          </w:p>
        </w:tc>
        <w:tc>
          <w:tcPr>
            <w:tcW w:w="3120" w:type="dxa"/>
            <w:tcMar>
              <w:top w:w="80" w:type="dxa"/>
              <w:left w:w="120" w:type="dxa"/>
              <w:bottom w:w="80" w:type="dxa"/>
              <w:right w:w="120" w:type="dxa"/>
            </w:tcMar>
          </w:tcPr>
          <w:p w14:paraId="2FAC493F" w14:textId="77777777" w:rsidR="00465092" w:rsidRDefault="00000000">
            <w:pPr>
              <w:pStyle w:val="TableText"/>
            </w:pPr>
            <w:r>
              <w:t>Residual load and grid load time series, indexed by year and t.</w:t>
            </w:r>
          </w:p>
        </w:tc>
      </w:tr>
      <w:tr w:rsidR="00465092" w14:paraId="154BC837" w14:textId="77777777">
        <w:trPr>
          <w:jc w:val="center"/>
        </w:trPr>
        <w:tc>
          <w:tcPr>
            <w:tcW w:w="3120" w:type="dxa"/>
            <w:tcMar>
              <w:top w:w="80" w:type="dxa"/>
              <w:left w:w="120" w:type="dxa"/>
              <w:bottom w:w="80" w:type="dxa"/>
              <w:right w:w="120" w:type="dxa"/>
            </w:tcMar>
          </w:tcPr>
          <w:p w14:paraId="59117C9C" w14:textId="77777777" w:rsidR="00465092" w:rsidRDefault="00000000">
            <w:pPr>
              <w:pStyle w:val="TableText"/>
            </w:pPr>
            <w:r>
              <w:t>day_ahead_prices.csv</w:t>
            </w:r>
          </w:p>
        </w:tc>
        <w:tc>
          <w:tcPr>
            <w:tcW w:w="3120" w:type="dxa"/>
            <w:tcMar>
              <w:top w:w="80" w:type="dxa"/>
              <w:left w:w="120" w:type="dxa"/>
              <w:bottom w:w="80" w:type="dxa"/>
              <w:right w:w="120" w:type="dxa"/>
            </w:tcMar>
          </w:tcPr>
          <w:p w14:paraId="0EE65F8A" w14:textId="77777777" w:rsidR="00465092" w:rsidRDefault="00000000">
            <w:pPr>
              <w:pStyle w:val="TableText"/>
            </w:pPr>
            <w:r>
              <w:t>Market price input</w:t>
            </w:r>
          </w:p>
        </w:tc>
        <w:tc>
          <w:tcPr>
            <w:tcW w:w="3120" w:type="dxa"/>
            <w:tcMar>
              <w:top w:w="80" w:type="dxa"/>
              <w:left w:w="120" w:type="dxa"/>
              <w:bottom w:w="80" w:type="dxa"/>
              <w:right w:w="120" w:type="dxa"/>
            </w:tcMar>
          </w:tcPr>
          <w:p w14:paraId="36EBF611" w14:textId="77777777" w:rsidR="00465092" w:rsidRDefault="00000000">
            <w:pPr>
              <w:pStyle w:val="TableText"/>
            </w:pPr>
            <w:r>
              <w:t xml:space="preserve">DE_LU day-ahead prices used as the base price </w:t>
            </w:r>
            <w:r>
              <w:lastRenderedPageBreak/>
              <w:t>signal.</w:t>
            </w:r>
          </w:p>
        </w:tc>
      </w:tr>
      <w:tr w:rsidR="00465092" w14:paraId="54BC0EA0" w14:textId="77777777">
        <w:trPr>
          <w:jc w:val="center"/>
        </w:trPr>
        <w:tc>
          <w:tcPr>
            <w:tcW w:w="3120" w:type="dxa"/>
            <w:tcMar>
              <w:top w:w="80" w:type="dxa"/>
              <w:left w:w="120" w:type="dxa"/>
              <w:bottom w:w="80" w:type="dxa"/>
              <w:right w:w="120" w:type="dxa"/>
            </w:tcMar>
          </w:tcPr>
          <w:p w14:paraId="174C97E3" w14:textId="77777777" w:rsidR="00465092" w:rsidRDefault="00000000">
            <w:pPr>
              <w:pStyle w:val="TableText"/>
            </w:pPr>
            <w:r>
              <w:lastRenderedPageBreak/>
              <w:t>results/investment/*.csv</w:t>
            </w:r>
          </w:p>
        </w:tc>
        <w:tc>
          <w:tcPr>
            <w:tcW w:w="3120" w:type="dxa"/>
            <w:tcMar>
              <w:top w:w="80" w:type="dxa"/>
              <w:left w:w="120" w:type="dxa"/>
              <w:bottom w:w="80" w:type="dxa"/>
              <w:right w:w="120" w:type="dxa"/>
            </w:tcMar>
          </w:tcPr>
          <w:p w14:paraId="706B91E4" w14:textId="77777777" w:rsidR="00465092" w:rsidRDefault="00000000">
            <w:pPr>
              <w:pStyle w:val="TableText"/>
            </w:pPr>
            <w:r>
              <w:t>Financial output</w:t>
            </w:r>
          </w:p>
        </w:tc>
        <w:tc>
          <w:tcPr>
            <w:tcW w:w="3120" w:type="dxa"/>
            <w:tcMar>
              <w:top w:w="80" w:type="dxa"/>
              <w:left w:w="120" w:type="dxa"/>
              <w:bottom w:w="80" w:type="dxa"/>
              <w:right w:w="120" w:type="dxa"/>
            </w:tcMar>
          </w:tcPr>
          <w:p w14:paraId="69C8BB08" w14:textId="77777777" w:rsidR="00465092" w:rsidRDefault="00000000">
            <w:pPr>
              <w:pStyle w:val="TableText"/>
            </w:pPr>
            <w:r>
              <w:t>Per-scenario frontier records and investment_summary.csv.</w:t>
            </w:r>
          </w:p>
        </w:tc>
      </w:tr>
      <w:tr w:rsidR="00465092" w14:paraId="35CAAF9F" w14:textId="77777777">
        <w:trPr>
          <w:jc w:val="center"/>
        </w:trPr>
        <w:tc>
          <w:tcPr>
            <w:tcW w:w="3120" w:type="dxa"/>
            <w:tcMar>
              <w:top w:w="80" w:type="dxa"/>
              <w:left w:w="120" w:type="dxa"/>
              <w:bottom w:w="80" w:type="dxa"/>
              <w:right w:w="120" w:type="dxa"/>
            </w:tcMar>
          </w:tcPr>
          <w:p w14:paraId="4D89FF78" w14:textId="77777777" w:rsidR="00465092" w:rsidRDefault="00000000">
            <w:pPr>
              <w:pStyle w:val="TableText"/>
            </w:pPr>
            <w:r>
              <w:t>results/CSV/*.csv</w:t>
            </w:r>
          </w:p>
        </w:tc>
        <w:tc>
          <w:tcPr>
            <w:tcW w:w="3120" w:type="dxa"/>
            <w:tcMar>
              <w:top w:w="80" w:type="dxa"/>
              <w:left w:w="120" w:type="dxa"/>
              <w:bottom w:w="80" w:type="dxa"/>
              <w:right w:w="120" w:type="dxa"/>
            </w:tcMar>
          </w:tcPr>
          <w:p w14:paraId="421A7549" w14:textId="77777777" w:rsidR="00465092" w:rsidRDefault="00000000">
            <w:pPr>
              <w:pStyle w:val="TableText"/>
            </w:pPr>
            <w:r>
              <w:t>Dispatch output</w:t>
            </w:r>
          </w:p>
        </w:tc>
        <w:tc>
          <w:tcPr>
            <w:tcW w:w="3120" w:type="dxa"/>
            <w:tcMar>
              <w:top w:w="80" w:type="dxa"/>
              <w:left w:w="120" w:type="dxa"/>
              <w:bottom w:w="80" w:type="dxa"/>
              <w:right w:w="120" w:type="dxa"/>
            </w:tcMar>
          </w:tcPr>
          <w:p w14:paraId="0C12516E" w14:textId="77777777" w:rsidR="00465092" w:rsidRDefault="00000000">
            <w:pPr>
              <w:pStyle w:val="TableText"/>
            </w:pPr>
            <w:r>
              <w:t>Storage dispatch results when dispatch comparison workflows are activated.</w:t>
            </w:r>
          </w:p>
        </w:tc>
      </w:tr>
      <w:tr w:rsidR="00465092" w14:paraId="76867498" w14:textId="77777777">
        <w:trPr>
          <w:jc w:val="center"/>
        </w:trPr>
        <w:tc>
          <w:tcPr>
            <w:tcW w:w="3120" w:type="dxa"/>
            <w:tcMar>
              <w:top w:w="80" w:type="dxa"/>
              <w:left w:w="120" w:type="dxa"/>
              <w:bottom w:w="80" w:type="dxa"/>
              <w:right w:w="120" w:type="dxa"/>
            </w:tcMar>
          </w:tcPr>
          <w:p w14:paraId="3BC02541" w14:textId="77777777" w:rsidR="00465092" w:rsidRDefault="00000000">
            <w:pPr>
              <w:pStyle w:val="TableText"/>
            </w:pPr>
            <w:r>
              <w:t>results/plots/</w:t>
            </w:r>
          </w:p>
        </w:tc>
        <w:tc>
          <w:tcPr>
            <w:tcW w:w="3120" w:type="dxa"/>
            <w:tcMar>
              <w:top w:w="80" w:type="dxa"/>
              <w:left w:w="120" w:type="dxa"/>
              <w:bottom w:w="80" w:type="dxa"/>
              <w:right w:w="120" w:type="dxa"/>
            </w:tcMar>
          </w:tcPr>
          <w:p w14:paraId="5561F4D2" w14:textId="77777777" w:rsidR="00465092" w:rsidRDefault="00000000">
            <w:pPr>
              <w:pStyle w:val="TableText"/>
            </w:pPr>
            <w:r>
              <w:t>Visual output</w:t>
            </w:r>
          </w:p>
        </w:tc>
        <w:tc>
          <w:tcPr>
            <w:tcW w:w="3120" w:type="dxa"/>
            <w:tcMar>
              <w:top w:w="80" w:type="dxa"/>
              <w:left w:w="120" w:type="dxa"/>
              <w:bottom w:w="80" w:type="dxa"/>
              <w:right w:w="120" w:type="dxa"/>
            </w:tcMar>
          </w:tcPr>
          <w:p w14:paraId="29F9FDB3" w14:textId="77777777" w:rsidR="00465092" w:rsidRDefault="00000000">
            <w:pPr>
              <w:pStyle w:val="TableText"/>
            </w:pPr>
            <w:r>
              <w:t>Plot files generated by results_analysis.py workflows.</w:t>
            </w:r>
          </w:p>
        </w:tc>
      </w:tr>
    </w:tbl>
    <w:p w14:paraId="1F33F0BE" w14:textId="77777777" w:rsidR="00465092" w:rsidRDefault="00465092"/>
    <w:p w14:paraId="26A776E0" w14:textId="0EB1CBD7" w:rsidR="00465092" w:rsidRDefault="00000000">
      <w:pPr>
        <w:pStyle w:val="Heading1"/>
      </w:pPr>
      <w:r>
        <w:t xml:space="preserve">4. Module-by-Module </w:t>
      </w:r>
      <w:r w:rsidR="001D581B">
        <w:t>e</w:t>
      </w:r>
      <w:r>
        <w:t>xplanation</w:t>
      </w:r>
    </w:p>
    <w:p w14:paraId="01883EA7" w14:textId="77777777" w:rsidR="00465092" w:rsidRDefault="00000000">
      <w:pPr>
        <w:pStyle w:val="Heading2"/>
      </w:pPr>
      <w:r>
        <w:t>main.py</w:t>
      </w:r>
    </w:p>
    <w:p w14:paraId="62D846E3" w14:textId="77777777" w:rsidR="00465092" w:rsidRDefault="00000000">
      <w:r w:rsidRPr="001D581B">
        <w:rPr>
          <w:rFonts w:ascii="Courier New" w:eastAsiaTheme="minorEastAsia" w:hAnsi="Courier New" w:cs="Courier New"/>
          <w:sz w:val="18"/>
        </w:rPr>
        <w:t>main.py</w:t>
      </w:r>
      <w:r>
        <w:t xml:space="preserve"> is the project runner. It defines scenario ranges, reads the scenario dictionary, loads price and load data, and chooses which analytical steps to execute. The code is organized as numbered steps. At the time of review, STEP 0 and STEP 5 are active, while STEP 1 to STEP 4 are commented out.</w:t>
      </w:r>
    </w:p>
    <w:p w14:paraId="1E24517A" w14:textId="77777777" w:rsidR="00465092" w:rsidRDefault="00000000">
      <w:pPr>
        <w:pStyle w:val="ListBullet"/>
      </w:pPr>
      <w:r>
        <w:t>STEP 0: computes the hurdle rate using CAPM/WACC assumptions.</w:t>
      </w:r>
    </w:p>
    <w:p w14:paraId="7256808C" w14:textId="77777777" w:rsidR="00465092" w:rsidRDefault="00000000">
      <w:pPr>
        <w:pStyle w:val="ListBullet"/>
      </w:pPr>
      <w:r>
        <w:t>STEP 1: compares storage dispatch across tariff schemes.</w:t>
      </w:r>
    </w:p>
    <w:p w14:paraId="7B8E62C8" w14:textId="77777777" w:rsidR="00465092" w:rsidRDefault="00000000">
      <w:pPr>
        <w:pStyle w:val="ListBullet"/>
      </w:pPr>
      <w:r>
        <w:t>STEP 2: runs sensitivity analysis on delta.</w:t>
      </w:r>
    </w:p>
    <w:p w14:paraId="20709077" w14:textId="77777777" w:rsidR="00465092" w:rsidRDefault="00000000">
      <w:pPr>
        <w:pStyle w:val="ListBullet"/>
      </w:pPr>
      <w:r>
        <w:t>STEP 3: runs sensitivity analysis on share.</w:t>
      </w:r>
    </w:p>
    <w:p w14:paraId="1962D7CF" w14:textId="77777777" w:rsidR="00465092" w:rsidRDefault="00000000">
      <w:pPr>
        <w:pStyle w:val="ListBullet"/>
      </w:pPr>
      <w:r>
        <w:t>STEP 4: compares ex-ante and ex-post tariff configurations.</w:t>
      </w:r>
    </w:p>
    <w:p w14:paraId="7FFDEAF9" w14:textId="77777777" w:rsidR="00465092" w:rsidRDefault="00000000">
      <w:pPr>
        <w:pStyle w:val="ListBullet"/>
      </w:pPr>
      <w:r>
        <w:t>STEP 5: runs the investment frontier across investment scenarios.</w:t>
      </w:r>
    </w:p>
    <w:p w14:paraId="4B2C5D4C" w14:textId="77777777" w:rsidR="00465092" w:rsidRDefault="00000000">
      <w:pPr>
        <w:pStyle w:val="Heading2"/>
      </w:pPr>
      <w:r>
        <w:t>core.py</w:t>
      </w:r>
    </w:p>
    <w:p w14:paraId="00041CC8" w14:textId="77777777" w:rsidR="00465092" w:rsidRDefault="00000000">
      <w:r>
        <w:t>core.py is the integration layer between inputs, optimization, plotting, and investment analysis. It keeps the business workflows separate from the mathematical optimization model. The dispatch workflow functions all follow the same pattern: select a scenario, loop over years, slice the price and load tables, run bat_optimize_, transform signs and derived fields, then save CSV outputs.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680"/>
        <w:gridCol w:w="5688"/>
      </w:tblGrid>
      <w:tr w:rsidR="00465092" w14:paraId="06E99E23" w14:textId="77777777">
        <w:trPr>
          <w:jc w:val="center"/>
        </w:trPr>
        <w:tc>
          <w:tcPr>
            <w:tcW w:w="3384" w:type="dxa"/>
            <w:shd w:val="clear" w:color="auto" w:fill="F2F4F7"/>
            <w:tcMar>
              <w:top w:w="80" w:type="dxa"/>
              <w:left w:w="120" w:type="dxa"/>
              <w:bottom w:w="80" w:type="dxa"/>
              <w:right w:w="120" w:type="dxa"/>
            </w:tcMar>
            <w:vAlign w:val="center"/>
          </w:tcPr>
          <w:p w14:paraId="38D0D4E9" w14:textId="77777777" w:rsidR="00465092" w:rsidRDefault="00000000">
            <w:pPr>
              <w:pStyle w:val="TableText"/>
            </w:pPr>
            <w:r>
              <w:rPr>
                <w:b/>
                <w:color w:val="1F4D78"/>
              </w:rPr>
              <w:t>Function</w:t>
            </w:r>
          </w:p>
        </w:tc>
        <w:tc>
          <w:tcPr>
            <w:tcW w:w="5688" w:type="dxa"/>
            <w:shd w:val="clear" w:color="auto" w:fill="F2F4F7"/>
            <w:tcMar>
              <w:top w:w="80" w:type="dxa"/>
              <w:left w:w="120" w:type="dxa"/>
              <w:bottom w:w="80" w:type="dxa"/>
              <w:right w:w="120" w:type="dxa"/>
            </w:tcMar>
            <w:vAlign w:val="center"/>
          </w:tcPr>
          <w:p w14:paraId="3E84C796" w14:textId="77777777" w:rsidR="00465092" w:rsidRDefault="00000000">
            <w:pPr>
              <w:pStyle w:val="TableText"/>
            </w:pPr>
            <w:r>
              <w:rPr>
                <w:b/>
                <w:color w:val="1F4D78"/>
              </w:rPr>
              <w:t>Role</w:t>
            </w:r>
          </w:p>
        </w:tc>
      </w:tr>
      <w:tr w:rsidR="00465092" w14:paraId="1781BD05" w14:textId="77777777">
        <w:trPr>
          <w:jc w:val="center"/>
        </w:trPr>
        <w:tc>
          <w:tcPr>
            <w:tcW w:w="4680" w:type="dxa"/>
            <w:tcMar>
              <w:top w:w="80" w:type="dxa"/>
              <w:left w:w="120" w:type="dxa"/>
              <w:bottom w:w="80" w:type="dxa"/>
              <w:right w:w="120" w:type="dxa"/>
            </w:tcMar>
          </w:tcPr>
          <w:p w14:paraId="4B64539F" w14:textId="77777777" w:rsidR="00465092" w:rsidRDefault="00000000">
            <w:pPr>
              <w:pStyle w:val="TableText"/>
            </w:pPr>
            <w:r w:rsidRPr="001D581B">
              <w:rPr>
                <w:rFonts w:ascii="Courier New" w:hAnsi="Courier New" w:cs="Courier New"/>
              </w:rPr>
              <w:t>readStorageDispatchScenario</w:t>
            </w:r>
          </w:p>
        </w:tc>
        <w:tc>
          <w:tcPr>
            <w:tcW w:w="4680" w:type="dxa"/>
            <w:tcMar>
              <w:top w:w="80" w:type="dxa"/>
              <w:left w:w="120" w:type="dxa"/>
              <w:bottom w:w="80" w:type="dxa"/>
              <w:right w:w="120" w:type="dxa"/>
            </w:tcMar>
          </w:tcPr>
          <w:p w14:paraId="62E8C95C" w14:textId="77777777" w:rsidR="00465092" w:rsidRDefault="00000000">
            <w:pPr>
              <w:pStyle w:val="TableText"/>
            </w:pPr>
            <w:r>
              <w:t>Reads scenario columns and returns scenario names plus the nested params dictionary.</w:t>
            </w:r>
          </w:p>
        </w:tc>
      </w:tr>
      <w:tr w:rsidR="00465092" w14:paraId="7BF5A512" w14:textId="77777777">
        <w:trPr>
          <w:jc w:val="center"/>
        </w:trPr>
        <w:tc>
          <w:tcPr>
            <w:tcW w:w="4680" w:type="dxa"/>
            <w:tcMar>
              <w:top w:w="80" w:type="dxa"/>
              <w:left w:w="120" w:type="dxa"/>
              <w:bottom w:w="80" w:type="dxa"/>
              <w:right w:w="120" w:type="dxa"/>
            </w:tcMar>
          </w:tcPr>
          <w:p w14:paraId="673D2030" w14:textId="77777777" w:rsidR="00465092" w:rsidRDefault="00000000">
            <w:pPr>
              <w:pStyle w:val="TableText"/>
            </w:pPr>
            <w:r w:rsidRPr="001D581B">
              <w:rPr>
                <w:rFonts w:ascii="Courier New" w:hAnsi="Courier New" w:cs="Courier New"/>
              </w:rPr>
              <w:t>readLoadPrice</w:t>
            </w:r>
          </w:p>
        </w:tc>
        <w:tc>
          <w:tcPr>
            <w:tcW w:w="4680" w:type="dxa"/>
            <w:tcMar>
              <w:top w:w="80" w:type="dxa"/>
              <w:left w:w="120" w:type="dxa"/>
              <w:bottom w:w="80" w:type="dxa"/>
              <w:right w:w="120" w:type="dxa"/>
            </w:tcMar>
          </w:tcPr>
          <w:p w14:paraId="2F08B432" w14:textId="77777777" w:rsidR="00465092" w:rsidRDefault="00000000">
            <w:pPr>
              <w:pStyle w:val="TableText"/>
            </w:pPr>
            <w:r>
              <w:t>Loads load and price data, adds year and t indexes used by the optimizer.</w:t>
            </w:r>
          </w:p>
        </w:tc>
      </w:tr>
      <w:tr w:rsidR="00465092" w14:paraId="4C75D193" w14:textId="77777777">
        <w:trPr>
          <w:jc w:val="center"/>
        </w:trPr>
        <w:tc>
          <w:tcPr>
            <w:tcW w:w="4680" w:type="dxa"/>
            <w:tcMar>
              <w:top w:w="80" w:type="dxa"/>
              <w:left w:w="120" w:type="dxa"/>
              <w:bottom w:w="80" w:type="dxa"/>
              <w:right w:w="120" w:type="dxa"/>
            </w:tcMar>
          </w:tcPr>
          <w:p w14:paraId="19CAAB9D" w14:textId="77777777" w:rsidR="00465092" w:rsidRDefault="00000000">
            <w:pPr>
              <w:pStyle w:val="TableText"/>
            </w:pPr>
            <w:r w:rsidRPr="001D581B">
              <w:rPr>
                <w:rFonts w:ascii="Courier New" w:hAnsi="Courier New" w:cs="Courier New"/>
              </w:rPr>
              <w:t>runStorageDispatchCases</w:t>
            </w:r>
          </w:p>
        </w:tc>
        <w:tc>
          <w:tcPr>
            <w:tcW w:w="4680" w:type="dxa"/>
            <w:tcMar>
              <w:top w:w="80" w:type="dxa"/>
              <w:left w:w="120" w:type="dxa"/>
              <w:bottom w:w="80" w:type="dxa"/>
              <w:right w:w="120" w:type="dxa"/>
            </w:tcMar>
          </w:tcPr>
          <w:p w14:paraId="0F26541F" w14:textId="77777777" w:rsidR="00465092" w:rsidRDefault="00000000">
            <w:pPr>
              <w:pStyle w:val="TableText"/>
            </w:pPr>
            <w:r>
              <w:t>Runs baseline tariff-scheme comparison and exports dispatch CSV plus recovered-cost summaries.</w:t>
            </w:r>
          </w:p>
        </w:tc>
      </w:tr>
      <w:tr w:rsidR="00465092" w14:paraId="494A8514" w14:textId="77777777">
        <w:trPr>
          <w:jc w:val="center"/>
        </w:trPr>
        <w:tc>
          <w:tcPr>
            <w:tcW w:w="4680" w:type="dxa"/>
            <w:tcMar>
              <w:top w:w="80" w:type="dxa"/>
              <w:left w:w="120" w:type="dxa"/>
              <w:bottom w:w="80" w:type="dxa"/>
              <w:right w:w="120" w:type="dxa"/>
            </w:tcMar>
          </w:tcPr>
          <w:p w14:paraId="5EF5C39A" w14:textId="77777777" w:rsidR="00465092" w:rsidRDefault="00000000">
            <w:pPr>
              <w:pStyle w:val="TableText"/>
            </w:pPr>
            <w:r w:rsidRPr="001D581B">
              <w:rPr>
                <w:rFonts w:ascii="Courier New" w:hAnsi="Courier New" w:cs="Courier New"/>
              </w:rPr>
              <w:t>runStorageDispatchSensitivitydelta</w:t>
            </w:r>
          </w:p>
        </w:tc>
        <w:tc>
          <w:tcPr>
            <w:tcW w:w="4680" w:type="dxa"/>
            <w:tcMar>
              <w:top w:w="80" w:type="dxa"/>
              <w:left w:w="120" w:type="dxa"/>
              <w:bottom w:w="80" w:type="dxa"/>
              <w:right w:w="120" w:type="dxa"/>
            </w:tcMar>
          </w:tcPr>
          <w:p w14:paraId="155DC490" w14:textId="77777777" w:rsidR="00465092" w:rsidRDefault="00000000">
            <w:pPr>
              <w:pStyle w:val="TableText"/>
            </w:pPr>
            <w:r>
              <w:t>Tests alternative delta values, where delta affects the tariff threshold logic.</w:t>
            </w:r>
          </w:p>
        </w:tc>
      </w:tr>
      <w:tr w:rsidR="00465092" w14:paraId="0DCC4FB1" w14:textId="77777777">
        <w:trPr>
          <w:jc w:val="center"/>
        </w:trPr>
        <w:tc>
          <w:tcPr>
            <w:tcW w:w="4680" w:type="dxa"/>
            <w:tcMar>
              <w:top w:w="80" w:type="dxa"/>
              <w:left w:w="120" w:type="dxa"/>
              <w:bottom w:w="80" w:type="dxa"/>
              <w:right w:w="120" w:type="dxa"/>
            </w:tcMar>
          </w:tcPr>
          <w:p w14:paraId="4AE03605" w14:textId="77777777" w:rsidR="00465092" w:rsidRDefault="00000000">
            <w:pPr>
              <w:pStyle w:val="TableText"/>
            </w:pPr>
            <w:r w:rsidRPr="001D581B">
              <w:rPr>
                <w:rFonts w:ascii="Courier New" w:hAnsi="Courier New" w:cs="Courier New"/>
              </w:rPr>
              <w:t>runStorageDispatchSensitivityShare</w:t>
            </w:r>
          </w:p>
        </w:tc>
        <w:tc>
          <w:tcPr>
            <w:tcW w:w="4680" w:type="dxa"/>
            <w:tcMar>
              <w:top w:w="80" w:type="dxa"/>
              <w:left w:w="120" w:type="dxa"/>
              <w:bottom w:w="80" w:type="dxa"/>
              <w:right w:w="120" w:type="dxa"/>
            </w:tcMar>
          </w:tcPr>
          <w:p w14:paraId="16852AEC" w14:textId="77777777" w:rsidR="00465092" w:rsidRDefault="00000000">
            <w:pPr>
              <w:pStyle w:val="TableText"/>
            </w:pPr>
            <w:r>
              <w:t>Tests alternative tariff share values.</w:t>
            </w:r>
          </w:p>
        </w:tc>
      </w:tr>
      <w:tr w:rsidR="00465092" w14:paraId="3EAC5246" w14:textId="77777777">
        <w:trPr>
          <w:jc w:val="center"/>
        </w:trPr>
        <w:tc>
          <w:tcPr>
            <w:tcW w:w="4680" w:type="dxa"/>
            <w:tcMar>
              <w:top w:w="80" w:type="dxa"/>
              <w:left w:w="120" w:type="dxa"/>
              <w:bottom w:w="80" w:type="dxa"/>
              <w:right w:w="120" w:type="dxa"/>
            </w:tcMar>
          </w:tcPr>
          <w:p w14:paraId="7219F65D" w14:textId="77777777" w:rsidR="00465092" w:rsidRDefault="00000000">
            <w:pPr>
              <w:pStyle w:val="TableText"/>
            </w:pPr>
            <w:r w:rsidRPr="001D581B">
              <w:rPr>
                <w:rFonts w:ascii="Courier New" w:hAnsi="Courier New" w:cs="Courier New"/>
              </w:rPr>
              <w:t>runStorageConfiguration</w:t>
            </w:r>
          </w:p>
        </w:tc>
        <w:tc>
          <w:tcPr>
            <w:tcW w:w="4680" w:type="dxa"/>
            <w:tcMar>
              <w:top w:w="80" w:type="dxa"/>
              <w:left w:w="120" w:type="dxa"/>
              <w:bottom w:w="80" w:type="dxa"/>
              <w:right w:w="120" w:type="dxa"/>
            </w:tcMar>
          </w:tcPr>
          <w:p w14:paraId="690D4F69" w14:textId="77777777" w:rsidR="00465092" w:rsidRDefault="00000000">
            <w:pPr>
              <w:pStyle w:val="TableText"/>
            </w:pPr>
            <w:r>
              <w:t>Compares ex-ante and ex-post configurations over a selected time window.</w:t>
            </w:r>
          </w:p>
        </w:tc>
      </w:tr>
      <w:tr w:rsidR="00465092" w14:paraId="393A61BE" w14:textId="77777777">
        <w:trPr>
          <w:jc w:val="center"/>
        </w:trPr>
        <w:tc>
          <w:tcPr>
            <w:tcW w:w="4680" w:type="dxa"/>
            <w:tcMar>
              <w:top w:w="80" w:type="dxa"/>
              <w:left w:w="120" w:type="dxa"/>
              <w:bottom w:w="80" w:type="dxa"/>
              <w:right w:w="120" w:type="dxa"/>
            </w:tcMar>
          </w:tcPr>
          <w:p w14:paraId="73DD2D2E" w14:textId="77777777" w:rsidR="00465092" w:rsidRDefault="00000000">
            <w:pPr>
              <w:pStyle w:val="TableText"/>
            </w:pPr>
            <w:r w:rsidRPr="001D581B">
              <w:rPr>
                <w:rFonts w:ascii="Courier New" w:hAnsi="Courier New" w:cs="Courier New"/>
              </w:rPr>
              <w:lastRenderedPageBreak/>
              <w:t>computeHurdleRate</w:t>
            </w:r>
          </w:p>
        </w:tc>
        <w:tc>
          <w:tcPr>
            <w:tcW w:w="4680" w:type="dxa"/>
            <w:tcMar>
              <w:top w:w="80" w:type="dxa"/>
              <w:left w:w="120" w:type="dxa"/>
              <w:bottom w:w="80" w:type="dxa"/>
              <w:right w:w="120" w:type="dxa"/>
            </w:tcMar>
          </w:tcPr>
          <w:p w14:paraId="071B312E" w14:textId="77777777" w:rsidR="00465092" w:rsidRDefault="00000000">
            <w:pPr>
              <w:pStyle w:val="TableText"/>
            </w:pPr>
            <w:r>
              <w:t>Builds CAPMInputs from scenario parameters and explicit assumptions, then computes WACC plus risk premium.</w:t>
            </w:r>
          </w:p>
        </w:tc>
      </w:tr>
      <w:tr w:rsidR="00465092" w14:paraId="22384C36" w14:textId="77777777">
        <w:trPr>
          <w:jc w:val="center"/>
        </w:trPr>
        <w:tc>
          <w:tcPr>
            <w:tcW w:w="4680" w:type="dxa"/>
            <w:tcMar>
              <w:top w:w="80" w:type="dxa"/>
              <w:left w:w="120" w:type="dxa"/>
              <w:bottom w:w="80" w:type="dxa"/>
              <w:right w:w="120" w:type="dxa"/>
            </w:tcMar>
          </w:tcPr>
          <w:p w14:paraId="0FC47A10" w14:textId="77777777" w:rsidR="00465092" w:rsidRDefault="00000000">
            <w:pPr>
              <w:pStyle w:val="TableText"/>
            </w:pPr>
            <w:r w:rsidRPr="001D581B">
              <w:rPr>
                <w:rFonts w:ascii="Courier New" w:hAnsi="Courier New" w:cs="Courier New"/>
              </w:rPr>
              <w:t>runInvestmentFrontier</w:t>
            </w:r>
          </w:p>
        </w:tc>
        <w:tc>
          <w:tcPr>
            <w:tcW w:w="4680" w:type="dxa"/>
            <w:tcMar>
              <w:top w:w="80" w:type="dxa"/>
              <w:left w:w="120" w:type="dxa"/>
              <w:bottom w:w="80" w:type="dxa"/>
              <w:right w:w="120" w:type="dxa"/>
            </w:tcMar>
          </w:tcPr>
          <w:p w14:paraId="7F8B6896" w14:textId="77777777" w:rsidR="00465092" w:rsidRDefault="00000000">
            <w:pPr>
              <w:pStyle w:val="TableText"/>
            </w:pPr>
            <w:r>
              <w:t>Wrapper around investment_frontier.run_investment_frontier.</w:t>
            </w:r>
          </w:p>
        </w:tc>
      </w:tr>
    </w:tbl>
    <w:p w14:paraId="64D0880F" w14:textId="77777777" w:rsidR="00465092" w:rsidRDefault="00465092"/>
    <w:p w14:paraId="2F009C7D" w14:textId="77777777" w:rsidR="00465092" w:rsidRDefault="00000000">
      <w:pPr>
        <w:pStyle w:val="Heading2"/>
      </w:pPr>
      <w:r>
        <w:t>settings.py</w:t>
      </w:r>
    </w:p>
    <w:p w14:paraId="4580369C" w14:textId="77777777" w:rsidR="00465092" w:rsidRDefault="00000000">
      <w:r w:rsidRPr="001D581B">
        <w:rPr>
          <w:rFonts w:ascii="Courier New" w:eastAsiaTheme="minorEastAsia" w:hAnsi="Courier New" w:cs="Courier New"/>
          <w:sz w:val="18"/>
        </w:rPr>
        <w:t>settings.py</w:t>
      </w:r>
      <w:r>
        <w:t xml:space="preserve"> transforms a wide CSV scenario file into nested dictionaries. The first CSV column contains parameter paths such as global:tariff:shape. Each remaining column is a scenario. For every scenario column, path_to_dict builds a nested dictionary and update_dict merges it into the scenario structure. The output key format is scenario_1, scenario_2, and so on.</w:t>
      </w:r>
    </w:p>
    <w:p w14:paraId="62BBD849" w14:textId="77777777" w:rsidR="00465092" w:rsidRDefault="00000000">
      <w:pPr>
        <w:pStyle w:val="Heading2"/>
      </w:pPr>
      <w:r>
        <w:t>storage_dispatch/batterydispatch.py</w:t>
      </w:r>
    </w:p>
    <w:p w14:paraId="5B654BA6" w14:textId="6C4DA0E2" w:rsidR="00465092" w:rsidRDefault="00000000">
      <w:r>
        <w:t xml:space="preserve">This is the main operational optimization model. It uses </w:t>
      </w:r>
      <w:proofErr w:type="spellStart"/>
      <w:r>
        <w:t>Linopy</w:t>
      </w:r>
      <w:proofErr w:type="spellEnd"/>
      <w:r w:rsidR="001D581B">
        <w:t xml:space="preserve">/ </w:t>
      </w:r>
      <w:proofErr w:type="spellStart"/>
      <w:r w:rsidR="001D581B">
        <w:t>GAMSPy</w:t>
      </w:r>
      <w:proofErr w:type="spellEnd"/>
      <w:r>
        <w:t xml:space="preserve"> to decide hourly charging Pc, discharging Pd, state of charge SOC, net load, and tariff level. The optimizer uses the wholesale price signal and tariff signal to maximize storage dispatch revenue.</w:t>
      </w:r>
    </w:p>
    <w:p w14:paraId="5814050E" w14:textId="77777777" w:rsidR="00465092" w:rsidRDefault="00000000">
      <w:pPr>
        <w:pStyle w:val="ListBullet"/>
      </w:pPr>
      <w:r>
        <w:t>SOC starts at half of the storage size and evolves with charge and discharge efficiency.</w:t>
      </w:r>
    </w:p>
    <w:p w14:paraId="1312DD8E" w14:textId="77777777" w:rsidR="00465092" w:rsidRDefault="00000000">
      <w:pPr>
        <w:pStyle w:val="ListBullet"/>
      </w:pPr>
      <w:r>
        <w:t>Charge and discharge are mutually exclusive through a binary chargestate variable.</w:t>
      </w:r>
    </w:p>
    <w:p w14:paraId="55CA408A" w14:textId="77777777" w:rsidR="00465092" w:rsidRDefault="00000000">
      <w:pPr>
        <w:pStyle w:val="ListBullet"/>
      </w:pPr>
      <w:r>
        <w:t>Power limits are derived from storage energy size divided by storage duration.</w:t>
      </w:r>
    </w:p>
    <w:p w14:paraId="4B1AD190" w14:textId="77777777" w:rsidR="00465092" w:rsidRDefault="00000000">
      <w:pPr>
        <w:pStyle w:val="ListBullet"/>
      </w:pPr>
      <w:r>
        <w:t>Net load depends on tariff configuration: ex-post includes storage operation, while ex-ante keeps net load equal to the original grid load.</w:t>
      </w:r>
    </w:p>
    <w:p w14:paraId="5EE65C93" w14:textId="77777777" w:rsidR="00465092" w:rsidRDefault="00000000">
      <w:pPr>
        <w:pStyle w:val="ListBullet"/>
      </w:pPr>
      <w:r>
        <w:t>Tariff status off sets the tariff level to a near-zero value and optimizes only against market price.</w:t>
      </w:r>
    </w:p>
    <w:p w14:paraId="467A5662" w14:textId="77777777" w:rsidR="00465092" w:rsidRDefault="00000000">
      <w:pPr>
        <w:pStyle w:val="Heading2"/>
      </w:pPr>
      <w:r>
        <w:t>investment/capm.py</w:t>
      </w:r>
    </w:p>
    <w:p w14:paraId="5E50C56A" w14:textId="77777777" w:rsidR="00465092" w:rsidRDefault="00000000">
      <w:r>
        <w:t>The CAPM/WACC module computes the discount rate used by the investment analysis. The cost of equity is rf plus beta times market premium. The after-tax cost of debt is cost_of_debt times one minus tax_rate. WACC combines both according to equity and debt shares. The final hurdle rate is WACC plus the project risk premium.</w:t>
      </w:r>
    </w:p>
    <w:p w14:paraId="5BB26F37" w14:textId="77777777" w:rsidR="00465092" w:rsidRDefault="00000000">
      <w:pPr>
        <w:pStyle w:val="Heading2"/>
      </w:pPr>
      <w:r>
        <w:t>investment/npv_analysis.py</w:t>
      </w:r>
    </w:p>
    <w:p w14:paraId="6761668C" w14:textId="77777777" w:rsidR="00465092" w:rsidRDefault="00000000">
      <w:r>
        <w:t xml:space="preserve">This module converts dispatch revenue into financial indicators. </w:t>
      </w:r>
      <w:r w:rsidRPr="00813E87">
        <w:rPr>
          <w:rFonts w:ascii="Courier New" w:eastAsiaTheme="minorEastAsia" w:hAnsi="Courier New" w:cs="Courier New"/>
          <w:sz w:val="18"/>
        </w:rPr>
        <w:t>ProjectFinancials</w:t>
      </w:r>
      <w:r>
        <w:t xml:space="preserve"> stores technical and cost assumptions. </w:t>
      </w:r>
      <w:r w:rsidRPr="00813E87">
        <w:rPr>
          <w:rFonts w:ascii="Courier New" w:eastAsiaTheme="minorEastAsia" w:hAnsi="Courier New" w:cs="Courier New"/>
          <w:sz w:val="18"/>
        </w:rPr>
        <w:t>compute_npv</w:t>
      </w:r>
      <w:r>
        <w:t xml:space="preserve"> builds a cash-flow vector containing initial CAPEX followed by repeated annual cash flows over the project lifetime. It reports NPV, IRR, payback, and a viability flag.</w:t>
      </w:r>
    </w:p>
    <w:p w14:paraId="1EA7F356" w14:textId="77777777" w:rsidR="00465092" w:rsidRDefault="00000000">
      <w:pPr>
        <w:pStyle w:val="Heading2"/>
      </w:pPr>
      <w:r>
        <w:t>investment/investment_frontier.py</w:t>
      </w:r>
    </w:p>
    <w:p w14:paraId="2C2EE1FE" w14:textId="77777777" w:rsidR="00465092" w:rsidRDefault="00000000">
      <w:r>
        <w:t>The investment frontier module searches for the largest storage size that remains viable. For each tariff scenario, it starts at step_size, runs dispatch, computes annual revenue, computes NPV, records the result, and increases the size. It stops when NPV becomes non-positive or when max_size is reached.</w:t>
      </w:r>
    </w:p>
    <w:p w14:paraId="1DA08625" w14:textId="77777777" w:rsidR="00465092" w:rsidRDefault="00000000">
      <w:pPr>
        <w:pStyle w:val="Heading2"/>
      </w:pPr>
      <w:r>
        <w:lastRenderedPageBreak/>
        <w:t>results_analysis.py</w:t>
      </w:r>
    </w:p>
    <w:p w14:paraId="32470E1D" w14:textId="77777777" w:rsidR="00465092" w:rsidRDefault="00000000">
      <w:r w:rsidRPr="00813E87">
        <w:rPr>
          <w:rFonts w:ascii="Consolas" w:eastAsiaTheme="minorEastAsia" w:hAnsi="Consolas"/>
          <w:color w:val="282828"/>
          <w:sz w:val="18"/>
        </w:rPr>
        <w:t>results_analysis.py</w:t>
      </w:r>
      <w:r>
        <w:t xml:space="preserve"> contains plotting functions for exploratory analysis and reporting. It covers price distributions, heatmaps, dispatch patterns, revenue comparisons, tariff signals, and configuration views. These functions are not part of the currently active STEP 0 and STEP 5 path, but they support the commented analysis steps.</w:t>
      </w:r>
    </w:p>
    <w:p w14:paraId="6AF52BC0" w14:textId="77777777" w:rsidR="00465092" w:rsidRDefault="00000000">
      <w:pPr>
        <w:pStyle w:val="Heading2"/>
      </w:pPr>
      <w:r>
        <w:t>utils/</w:t>
      </w:r>
    </w:p>
    <w:p w14:paraId="5A9C4DF3" w14:textId="77777777" w:rsidR="00465092" w:rsidRDefault="00000000">
      <w:r>
        <w:t>The utilities folder contains general data structures and helper functions from a broader capacity expansion or optimization context. In the active workflow, the key dependency is OptResult from utils.datastructs, which packages the optimizer status, objective, and output data. Other utilities appear to support older or wider modelling experiments and may need cleanup if the repository is prepared for external maintenance.</w:t>
      </w:r>
    </w:p>
    <w:p w14:paraId="39673E04" w14:textId="3D6ACD2D" w:rsidR="00465092" w:rsidRDefault="00000000">
      <w:pPr>
        <w:pStyle w:val="Heading1"/>
      </w:pPr>
      <w:r>
        <w:t xml:space="preserve">5. Optimization and Finance </w:t>
      </w:r>
      <w:r w:rsidR="00DE192B">
        <w:t>l</w:t>
      </w:r>
      <w:r>
        <w:t>ogic</w:t>
      </w:r>
    </w:p>
    <w:p w14:paraId="48C2F805" w14:textId="77777777" w:rsidR="00465092" w:rsidRDefault="00000000">
      <w:pPr>
        <w:pStyle w:val="Heading2"/>
      </w:pPr>
      <w:r>
        <w:t>Battery dispatch model</w:t>
      </w:r>
    </w:p>
    <w:p w14:paraId="7AB1A61D" w14:textId="77777777" w:rsidR="00465092" w:rsidRDefault="00000000">
      <w:r>
        <w:t>The dispatch model maximizes storage revenue over the selected hourly period. Its main decision variables are Pc for charging power, Pd for discharging power, SOC for state of charge, net_load for tariff exposure, chargestate for binary charge/discharge exclusivity, and tariff_level for the tariff signal.</w:t>
      </w:r>
    </w:p>
    <w:p w14:paraId="0C3E9F9F" w14:textId="77777777" w:rsidR="00465092" w:rsidRDefault="00000000">
      <w:pPr>
        <w:pStyle w:val="ListBullet"/>
      </w:pPr>
      <w:r>
        <w:t>SOC transition: SOC(t) equals SOC(t-1) plus charged energy times charge efficiency minus discharged energy divided by discharge efficiency.</w:t>
      </w:r>
    </w:p>
    <w:p w14:paraId="597E5E9E" w14:textId="77777777" w:rsidR="00465092" w:rsidRDefault="00000000">
      <w:pPr>
        <w:pStyle w:val="ListBullet"/>
      </w:pPr>
      <w:r>
        <w:t>Charge/discharge exclusivity: Pc is limited by chargestate and Pd is limited by one minus chargestate.</w:t>
      </w:r>
    </w:p>
    <w:p w14:paraId="6000B4A7" w14:textId="77777777" w:rsidR="00465092" w:rsidRDefault="00000000">
      <w:pPr>
        <w:pStyle w:val="ListBullet"/>
      </w:pPr>
      <w:r>
        <w:t>Ex-post tariff configuration: net_load equals gridload plus charging minus discharging.</w:t>
      </w:r>
    </w:p>
    <w:p w14:paraId="161F6208" w14:textId="77777777" w:rsidR="00465092" w:rsidRDefault="00000000">
      <w:pPr>
        <w:pStyle w:val="ListBullet"/>
      </w:pPr>
      <w:r>
        <w:t>Ex-ante tariff configuration: net_load equals gridload, so storage operation does not change tariff exposure.</w:t>
      </w:r>
    </w:p>
    <w:p w14:paraId="4D008DF2" w14:textId="77777777" w:rsidR="00465092" w:rsidRDefault="00000000">
      <w:pPr>
        <w:pStyle w:val="ListBullet"/>
      </w:pPr>
      <w:r>
        <w:t>Objective with tariff on: maximize the sum of (Pd - Pc) times (tariff_level + market price).</w:t>
      </w:r>
    </w:p>
    <w:p w14:paraId="295249DE" w14:textId="77777777" w:rsidR="00465092" w:rsidRDefault="00000000">
      <w:pPr>
        <w:pStyle w:val="ListBullet"/>
      </w:pPr>
      <w:r>
        <w:t>Objective with tariff off: maximize the sum of (Pd - Pc) times market price only.</w:t>
      </w:r>
    </w:p>
    <w:p w14:paraId="54E89207" w14:textId="77777777" w:rsidR="00465092" w:rsidRDefault="00000000">
      <w:pPr>
        <w:pStyle w:val="Heading2"/>
      </w:pPr>
      <w:r>
        <w:t>Tariff shapes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680"/>
        <w:gridCol w:w="7200"/>
      </w:tblGrid>
      <w:tr w:rsidR="00465092" w14:paraId="5A0415CC" w14:textId="77777777">
        <w:trPr>
          <w:jc w:val="center"/>
        </w:trPr>
        <w:tc>
          <w:tcPr>
            <w:tcW w:w="1872" w:type="dxa"/>
            <w:shd w:val="clear" w:color="auto" w:fill="F2F4F7"/>
            <w:tcMar>
              <w:top w:w="80" w:type="dxa"/>
              <w:left w:w="120" w:type="dxa"/>
              <w:bottom w:w="80" w:type="dxa"/>
              <w:right w:w="120" w:type="dxa"/>
            </w:tcMar>
            <w:vAlign w:val="center"/>
          </w:tcPr>
          <w:p w14:paraId="79370236" w14:textId="77777777" w:rsidR="00465092" w:rsidRDefault="00000000">
            <w:pPr>
              <w:pStyle w:val="TableText"/>
            </w:pPr>
            <w:r>
              <w:rPr>
                <w:b/>
                <w:color w:val="1F4D78"/>
              </w:rPr>
              <w:t>Shape</w:t>
            </w:r>
          </w:p>
        </w:tc>
        <w:tc>
          <w:tcPr>
            <w:tcW w:w="7200" w:type="dxa"/>
            <w:shd w:val="clear" w:color="auto" w:fill="F2F4F7"/>
            <w:tcMar>
              <w:top w:w="80" w:type="dxa"/>
              <w:left w:w="120" w:type="dxa"/>
              <w:bottom w:w="80" w:type="dxa"/>
              <w:right w:w="120" w:type="dxa"/>
            </w:tcMar>
            <w:vAlign w:val="center"/>
          </w:tcPr>
          <w:p w14:paraId="4E5CD27E" w14:textId="77777777" w:rsidR="00465092" w:rsidRDefault="00000000">
            <w:pPr>
              <w:pStyle w:val="TableText"/>
            </w:pPr>
            <w:r>
              <w:rPr>
                <w:b/>
                <w:color w:val="1F4D78"/>
              </w:rPr>
              <w:t>Implementation idea</w:t>
            </w:r>
          </w:p>
        </w:tc>
      </w:tr>
      <w:tr w:rsidR="00465092" w14:paraId="016EAB78" w14:textId="77777777">
        <w:trPr>
          <w:jc w:val="center"/>
        </w:trPr>
        <w:tc>
          <w:tcPr>
            <w:tcW w:w="4680" w:type="dxa"/>
            <w:tcMar>
              <w:top w:w="80" w:type="dxa"/>
              <w:left w:w="120" w:type="dxa"/>
              <w:bottom w:w="80" w:type="dxa"/>
              <w:right w:w="120" w:type="dxa"/>
            </w:tcMar>
          </w:tcPr>
          <w:p w14:paraId="69C50DC5" w14:textId="77777777" w:rsidR="00465092" w:rsidRDefault="00000000">
            <w:pPr>
              <w:pStyle w:val="TableText"/>
            </w:pPr>
            <w:r>
              <w:t>flat</w:t>
            </w:r>
          </w:p>
        </w:tc>
        <w:tc>
          <w:tcPr>
            <w:tcW w:w="4680" w:type="dxa"/>
            <w:tcMar>
              <w:top w:w="80" w:type="dxa"/>
              <w:left w:w="120" w:type="dxa"/>
              <w:bottom w:w="80" w:type="dxa"/>
              <w:right w:w="120" w:type="dxa"/>
            </w:tcMar>
          </w:tcPr>
          <w:p w14:paraId="47AE3687" w14:textId="77777777" w:rsidR="00465092" w:rsidRDefault="00000000">
            <w:pPr>
              <w:pStyle w:val="TableText"/>
            </w:pPr>
            <w:r>
              <w:t>Uses a binary variable to apply positive or negative base tariff depending on net load sign.</w:t>
            </w:r>
          </w:p>
        </w:tc>
      </w:tr>
      <w:tr w:rsidR="00465092" w14:paraId="1ADA5172" w14:textId="77777777">
        <w:trPr>
          <w:jc w:val="center"/>
        </w:trPr>
        <w:tc>
          <w:tcPr>
            <w:tcW w:w="4680" w:type="dxa"/>
            <w:tcMar>
              <w:top w:w="80" w:type="dxa"/>
              <w:left w:w="120" w:type="dxa"/>
              <w:bottom w:w="80" w:type="dxa"/>
              <w:right w:w="120" w:type="dxa"/>
            </w:tcMar>
          </w:tcPr>
          <w:p w14:paraId="0DB4C694" w14:textId="77777777" w:rsidR="00465092" w:rsidRDefault="00000000">
            <w:pPr>
              <w:pStyle w:val="TableText"/>
            </w:pPr>
            <w:r>
              <w:t>proportional</w:t>
            </w:r>
          </w:p>
        </w:tc>
        <w:tc>
          <w:tcPr>
            <w:tcW w:w="4680" w:type="dxa"/>
            <w:tcMar>
              <w:top w:w="80" w:type="dxa"/>
              <w:left w:w="120" w:type="dxa"/>
              <w:bottom w:w="80" w:type="dxa"/>
              <w:right w:w="120" w:type="dxa"/>
            </w:tcMar>
          </w:tcPr>
          <w:p w14:paraId="6B32E724" w14:textId="77777777" w:rsidR="00465092" w:rsidRDefault="00000000">
            <w:pPr>
              <w:pStyle w:val="TableText"/>
            </w:pPr>
            <w:r>
              <w:t>Defines tariff_level as a linear function of net_load, scaled by base tariff, share, and load profile.</w:t>
            </w:r>
          </w:p>
        </w:tc>
      </w:tr>
      <w:tr w:rsidR="00465092" w14:paraId="0F0986FD" w14:textId="77777777">
        <w:trPr>
          <w:jc w:val="center"/>
        </w:trPr>
        <w:tc>
          <w:tcPr>
            <w:tcW w:w="4680" w:type="dxa"/>
            <w:tcMar>
              <w:top w:w="80" w:type="dxa"/>
              <w:left w:w="120" w:type="dxa"/>
              <w:bottom w:w="80" w:type="dxa"/>
              <w:right w:w="120" w:type="dxa"/>
            </w:tcMar>
          </w:tcPr>
          <w:p w14:paraId="447339F0" w14:textId="77777777" w:rsidR="00465092" w:rsidRDefault="00000000">
            <w:pPr>
              <w:pStyle w:val="TableText"/>
            </w:pPr>
            <w:r>
              <w:t>piecewise</w:t>
            </w:r>
          </w:p>
        </w:tc>
        <w:tc>
          <w:tcPr>
            <w:tcW w:w="4680" w:type="dxa"/>
            <w:tcMar>
              <w:top w:w="80" w:type="dxa"/>
              <w:left w:w="120" w:type="dxa"/>
              <w:bottom w:w="80" w:type="dxa"/>
              <w:right w:w="120" w:type="dxa"/>
            </w:tcMar>
          </w:tcPr>
          <w:p w14:paraId="13827685" w14:textId="77777777" w:rsidR="00465092" w:rsidRDefault="00000000">
            <w:pPr>
              <w:pStyle w:val="TableText"/>
            </w:pPr>
            <w:r>
              <w:t>Uses binary segment selection and segment steps to represent a three-segment tariff curve around capacity thresholds.</w:t>
            </w:r>
          </w:p>
        </w:tc>
      </w:tr>
    </w:tbl>
    <w:p w14:paraId="7B8C5400" w14:textId="77777777" w:rsidR="00465092" w:rsidRDefault="00465092"/>
    <w:p w14:paraId="517F77C3" w14:textId="77777777" w:rsidR="00465092" w:rsidRDefault="00000000">
      <w:pPr>
        <w:pStyle w:val="Heading2"/>
      </w:pPr>
      <w:r>
        <w:lastRenderedPageBreak/>
        <w:t>Financial model</w:t>
      </w:r>
    </w:p>
    <w:p w14:paraId="2222661C" w14:textId="77777777" w:rsidR="00465092" w:rsidRDefault="00000000">
      <w:pPr>
        <w:pStyle w:val="ListBullet"/>
      </w:pPr>
      <w:r>
        <w:t>CAPEX equals cap_cost_per_kWh times storage size.</w:t>
      </w:r>
    </w:p>
    <w:p w14:paraId="1CB3F3BA" w14:textId="77777777" w:rsidR="00465092" w:rsidRDefault="00000000">
      <w:pPr>
        <w:pStyle w:val="ListBullet"/>
      </w:pPr>
      <w:r>
        <w:t>Power capacity equals size_kWh divided by storage_duration.</w:t>
      </w:r>
    </w:p>
    <w:p w14:paraId="3E99D8D9" w14:textId="77777777" w:rsidR="00465092" w:rsidRDefault="00000000">
      <w:pPr>
        <w:pStyle w:val="ListBullet"/>
      </w:pPr>
      <w:r>
        <w:t>Annual OPEX equals annual_OM_per_kw times power capacity.</w:t>
      </w:r>
    </w:p>
    <w:p w14:paraId="2F20D21A" w14:textId="77777777" w:rsidR="00465092" w:rsidRDefault="00000000">
      <w:pPr>
        <w:pStyle w:val="ListBullet"/>
      </w:pPr>
      <w:r>
        <w:t>Annual cash flow equals annualized dispatch revenue minus annual OPEX.</w:t>
      </w:r>
    </w:p>
    <w:p w14:paraId="1928FE0C" w14:textId="77777777" w:rsidR="00465092" w:rsidRDefault="00000000">
      <w:pPr>
        <w:pStyle w:val="ListBullet"/>
      </w:pPr>
      <w:r>
        <w:t>NPV discounts the initial investment and annual cash flows using the hurdle rate.</w:t>
      </w:r>
    </w:p>
    <w:p w14:paraId="54A6DA97" w14:textId="77777777" w:rsidR="00465092" w:rsidRDefault="00000000">
      <w:pPr>
        <w:pStyle w:val="ListBullet"/>
      </w:pPr>
      <w:r>
        <w:t>Payback is calculated on undiscounted cumulative cash flows.</w:t>
      </w:r>
    </w:p>
    <w:p w14:paraId="201CB098" w14:textId="77777777" w:rsidR="00465092" w:rsidRDefault="00000000">
      <w:pPr>
        <w:pStyle w:val="ListBullet"/>
      </w:pPr>
      <w:r>
        <w:t>The current viability condition is NPV greater than zero.</w:t>
      </w:r>
    </w:p>
    <w:p w14:paraId="07AF739D" w14:textId="77777777" w:rsidR="00465092" w:rsidRDefault="00000000">
      <w:pPr>
        <w:pStyle w:val="Heading1"/>
      </w:pPr>
      <w:r>
        <w:t>6. How to Run and Review the Code</w:t>
      </w:r>
    </w:p>
    <w:p w14:paraId="70F310F2" w14:textId="77777777" w:rsidR="00465092" w:rsidRDefault="00000000">
      <w:pPr>
        <w:pStyle w:val="Heading2"/>
      </w:pPr>
      <w:r>
        <w:t>Default run</w:t>
      </w:r>
    </w:p>
    <w:p w14:paraId="37DDF59F" w14:textId="77777777" w:rsidR="00465092" w:rsidRDefault="00000000">
      <w:r>
        <w:t>From the repository root, run:</w:t>
      </w:r>
    </w:p>
    <w:p w14:paraId="5924A934" w14:textId="77777777" w:rsidR="00465092" w:rsidRDefault="00000000">
      <w:pPr>
        <w:pStyle w:val="CodeInline"/>
        <w:rPr>
          <w:rFonts w:hint="eastAsia"/>
        </w:rPr>
      </w:pPr>
      <w:r>
        <w:t>python main.py</w:t>
      </w:r>
    </w:p>
    <w:p w14:paraId="6E7C24ED" w14:textId="77777777" w:rsidR="00465092" w:rsidRDefault="00000000">
      <w:r>
        <w:t xml:space="preserve">This will execute the currently active STEP 0 and STEP 5 blocks in main.py. The investment summary is written to </w:t>
      </w:r>
      <w:r w:rsidRPr="00813E87">
        <w:rPr>
          <w:b/>
          <w:bCs/>
        </w:rPr>
        <w:t>results/investment/investment_summary.csv</w:t>
      </w:r>
      <w:r>
        <w:t xml:space="preserve">, and per-scenario frontier files are written as </w:t>
      </w:r>
      <w:r w:rsidRPr="00813E87">
        <w:rPr>
          <w:b/>
          <w:bCs/>
        </w:rPr>
        <w:t>investment_frontier_&lt;scenario&gt;.csv</w:t>
      </w:r>
      <w:r>
        <w:t>.</w:t>
      </w:r>
    </w:p>
    <w:p w14:paraId="2BA18DA9" w14:textId="77777777" w:rsidR="00465092" w:rsidRDefault="00000000">
      <w:pPr>
        <w:pStyle w:val="Heading2"/>
      </w:pPr>
      <w:r>
        <w:t>To activate optional analyses</w:t>
      </w:r>
    </w:p>
    <w:p w14:paraId="6FC46615" w14:textId="77777777" w:rsidR="00465092" w:rsidRDefault="00000000">
      <w:r>
        <w:t xml:space="preserve">Uncomment the relevant block in </w:t>
      </w:r>
      <w:r w:rsidRPr="00813E87">
        <w:rPr>
          <w:rFonts w:ascii="Consolas" w:eastAsiaTheme="minorEastAsia" w:hAnsi="Consolas"/>
          <w:color w:val="282828"/>
          <w:sz w:val="18"/>
        </w:rPr>
        <w:t>main.py</w:t>
      </w:r>
      <w:r>
        <w:t>. The code already contains blocks for dispatch case comparison, delta sensitivity, share sensitivity, and ex-ante versus ex-post configuration analysis. After running one of those blocks, use the corresponding plotting function imported from results_analysis.py.</w:t>
      </w:r>
    </w:p>
    <w:p w14:paraId="5C8D1DBA" w14:textId="77777777" w:rsidR="00465092" w:rsidRPr="00AD4001" w:rsidRDefault="00000000">
      <w:pPr>
        <w:pStyle w:val="Heading2"/>
        <w:rPr>
          <w:highlight w:val="yellow"/>
        </w:rPr>
      </w:pPr>
      <w:r w:rsidRPr="00AD4001">
        <w:rPr>
          <w:highlight w:val="yellow"/>
        </w:rPr>
        <w:t>Review checklist</w:t>
      </w:r>
    </w:p>
    <w:p w14:paraId="2CBA4A34" w14:textId="77777777" w:rsidR="00465092" w:rsidRPr="00AD4001" w:rsidRDefault="00000000">
      <w:pPr>
        <w:pStyle w:val="ListBullet"/>
        <w:rPr>
          <w:highlight w:val="yellow"/>
        </w:rPr>
      </w:pPr>
      <w:r w:rsidRPr="00AD4001">
        <w:rPr>
          <w:highlight w:val="yellow"/>
        </w:rPr>
        <w:t>Confirm that scenario_1 is intended to provide default global project assumptions for all other scenarios.</w:t>
      </w:r>
    </w:p>
    <w:p w14:paraId="01BD7A5F" w14:textId="77777777" w:rsidR="00465092" w:rsidRPr="00AD4001" w:rsidRDefault="00000000">
      <w:pPr>
        <w:pStyle w:val="ListBullet"/>
        <w:rPr>
          <w:highlight w:val="yellow"/>
        </w:rPr>
      </w:pPr>
      <w:r w:rsidRPr="00AD4001">
        <w:rPr>
          <w:highlight w:val="yellow"/>
        </w:rPr>
        <w:t>Check whether missing scenario cells in the CSV should inherit values or should be treated as explicit missing data.</w:t>
      </w:r>
    </w:p>
    <w:p w14:paraId="5D0C3AF1" w14:textId="77777777" w:rsidR="00465092" w:rsidRPr="00AD4001" w:rsidRDefault="00000000">
      <w:pPr>
        <w:pStyle w:val="ListBullet"/>
        <w:rPr>
          <w:highlight w:val="yellow"/>
        </w:rPr>
      </w:pPr>
      <w:r w:rsidRPr="00AD4001">
        <w:rPr>
          <w:highlight w:val="yellow"/>
        </w:rPr>
        <w:t>Verify all units: MWh versus kWh, EUR/MWh versus EUR/kWh, and whether storage size labels match actual numerical scale.</w:t>
      </w:r>
    </w:p>
    <w:p w14:paraId="393E24BE" w14:textId="77777777" w:rsidR="00465092" w:rsidRPr="00AD4001" w:rsidRDefault="00000000">
      <w:pPr>
        <w:pStyle w:val="ListBullet"/>
        <w:rPr>
          <w:highlight w:val="yellow"/>
        </w:rPr>
      </w:pPr>
      <w:r w:rsidRPr="00AD4001">
        <w:rPr>
          <w:highlight w:val="yellow"/>
        </w:rPr>
        <w:t>Confirm the sign convention: Pc is positive inside the optimizer but multiplied by -1 in output DataFrames.</w:t>
      </w:r>
    </w:p>
    <w:p w14:paraId="20145ACD" w14:textId="77777777" w:rsidR="00465092" w:rsidRPr="00AD4001" w:rsidRDefault="00000000">
      <w:pPr>
        <w:pStyle w:val="ListBullet"/>
        <w:rPr>
          <w:highlight w:val="yellow"/>
        </w:rPr>
      </w:pPr>
      <w:r w:rsidRPr="00AD4001">
        <w:rPr>
          <w:highlight w:val="yellow"/>
        </w:rPr>
        <w:t>Validate that the revenue formula uses the correct price and tariff convention for the intended economic interpretation.</w:t>
      </w:r>
    </w:p>
    <w:p w14:paraId="47EC32C7" w14:textId="77777777" w:rsidR="00465092" w:rsidRPr="00AD4001" w:rsidRDefault="00000000">
      <w:pPr>
        <w:pStyle w:val="ListBullet"/>
        <w:rPr>
          <w:highlight w:val="yellow"/>
        </w:rPr>
      </w:pPr>
      <w:r w:rsidRPr="00AD4001">
        <w:rPr>
          <w:highlight w:val="yellow"/>
        </w:rPr>
        <w:t>Check solver availability and reproducibility. The code prefers Gurobi for tariff-on cases when available, otherwise HiGHS.</w:t>
      </w:r>
    </w:p>
    <w:p w14:paraId="4B64E0FF" w14:textId="77777777" w:rsidR="00465092" w:rsidRPr="00AD4001" w:rsidRDefault="00000000">
      <w:pPr>
        <w:pStyle w:val="ListBullet"/>
        <w:rPr>
          <w:highlight w:val="yellow"/>
        </w:rPr>
      </w:pPr>
      <w:r w:rsidRPr="00AD4001">
        <w:rPr>
          <w:highlight w:val="yellow"/>
        </w:rPr>
        <w:t>Decide whether alternative dispatch files should be archived or documented as maintained variants.</w:t>
      </w:r>
    </w:p>
    <w:sectPr w:rsidR="00465092" w:rsidRPr="00AD4001"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C13E" w14:textId="77777777" w:rsidR="003957BE" w:rsidRDefault="003957BE">
      <w:pPr>
        <w:spacing w:after="0" w:line="240" w:lineRule="auto"/>
      </w:pPr>
      <w:r>
        <w:separator/>
      </w:r>
    </w:p>
  </w:endnote>
  <w:endnote w:type="continuationSeparator" w:id="0">
    <w:p w14:paraId="0B931C3F" w14:textId="77777777" w:rsidR="003957BE" w:rsidRDefault="00395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BE05" w14:textId="77777777" w:rsidR="00465092" w:rsidRDefault="00000000">
    <w:pPr>
      <w:pStyle w:val="Footer"/>
      <w:jc w:val="right"/>
    </w:pPr>
    <w:proofErr w:type="spellStart"/>
    <w:r>
      <w:rPr>
        <w:color w:val="595959"/>
        <w:sz w:val="18"/>
      </w:rPr>
      <w:t>StorageInvest</w:t>
    </w:r>
    <w:proofErr w:type="spellEnd"/>
    <w:r>
      <w:rPr>
        <w:color w:val="595959"/>
        <w:sz w:val="18"/>
      </w:rPr>
      <w:t xml:space="preserve"> code explanation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65ADA" w14:textId="77777777" w:rsidR="003957BE" w:rsidRDefault="003957BE">
      <w:pPr>
        <w:spacing w:after="0" w:line="240" w:lineRule="auto"/>
      </w:pPr>
      <w:r>
        <w:separator/>
      </w:r>
    </w:p>
  </w:footnote>
  <w:footnote w:type="continuationSeparator" w:id="0">
    <w:p w14:paraId="06C2E092" w14:textId="77777777" w:rsidR="003957BE" w:rsidRDefault="00395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704529">
    <w:abstractNumId w:val="8"/>
  </w:num>
  <w:num w:numId="2" w16cid:durableId="1518929991">
    <w:abstractNumId w:val="6"/>
  </w:num>
  <w:num w:numId="3" w16cid:durableId="852837807">
    <w:abstractNumId w:val="5"/>
  </w:num>
  <w:num w:numId="4" w16cid:durableId="73086814">
    <w:abstractNumId w:val="4"/>
  </w:num>
  <w:num w:numId="5" w16cid:durableId="666174171">
    <w:abstractNumId w:val="7"/>
  </w:num>
  <w:num w:numId="6" w16cid:durableId="580141433">
    <w:abstractNumId w:val="3"/>
  </w:num>
  <w:num w:numId="7" w16cid:durableId="401105094">
    <w:abstractNumId w:val="2"/>
  </w:num>
  <w:num w:numId="8" w16cid:durableId="1783064326">
    <w:abstractNumId w:val="1"/>
  </w:num>
  <w:num w:numId="9" w16cid:durableId="195613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6A5"/>
    <w:rsid w:val="001D581B"/>
    <w:rsid w:val="0029639D"/>
    <w:rsid w:val="00326F90"/>
    <w:rsid w:val="003957BE"/>
    <w:rsid w:val="00465092"/>
    <w:rsid w:val="005E15B8"/>
    <w:rsid w:val="00813E87"/>
    <w:rsid w:val="00AA1D8D"/>
    <w:rsid w:val="00AD4001"/>
    <w:rsid w:val="00B47730"/>
    <w:rsid w:val="00BD4F9D"/>
    <w:rsid w:val="00C250E6"/>
    <w:rsid w:val="00CB0664"/>
    <w:rsid w:val="00DB19C2"/>
    <w:rsid w:val="00DE1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0E6D8"/>
  <w14:defaultImageDpi w14:val="300"/>
  <w15:docId w15:val="{0D9A148E-EA1B-47C1-996D-3A72EE21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40"/>
    </w:pPr>
    <w:rPr>
      <w:rFonts w:ascii="Calibri" w:hAnsi="Calibri"/>
      <w:color w:val="595959"/>
      <w:sz w:val="24"/>
    </w:rPr>
  </w:style>
  <w:style w:type="paragraph" w:customStyle="1" w:styleId="TableText">
    <w:name w:val="Table Text"/>
    <w:pPr>
      <w:spacing w:after="0" w:line="264" w:lineRule="auto"/>
    </w:pPr>
    <w:rPr>
      <w:rFonts w:ascii="Calibri" w:hAnsi="Calibri"/>
      <w:sz w:val="18"/>
    </w:rPr>
  </w:style>
  <w:style w:type="paragraph" w:customStyle="1" w:styleId="CodeInline">
    <w:name w:val="Code Inline"/>
    <w:pPr>
      <w:spacing w:after="80"/>
    </w:pPr>
    <w:rPr>
      <w:rFonts w:ascii="Consolas"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Lere Deguenon (RIT Student)</cp:lastModifiedBy>
  <cp:revision>7</cp:revision>
  <dcterms:created xsi:type="dcterms:W3CDTF">2013-12-23T23:15:00Z</dcterms:created>
  <dcterms:modified xsi:type="dcterms:W3CDTF">2026-05-18T10:23:00Z</dcterms:modified>
  <cp:category/>
</cp:coreProperties>
</file>