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36"/>
          <w:szCs w:val="36"/>
        </w:rPr>
        <w:t xml:space="preserve">Appendix B</w:t>
      </w:r>
    </w:p>
    <w:p>
      <w:pPr>
        <w:spacing w:after="60" w:before="0"/>
      </w:pPr>
      <w:r>
        <w:rPr>
          <w:rFonts w:ascii="Arial" w:cs="Arial" w:eastAsia="Arial" w:hAnsi="Arial"/>
          <w:color w:val="2E5F8A"/>
          <w:sz w:val="26"/>
          <w:szCs w:val="26"/>
        </w:rPr>
        <w:t xml:space="preserve">Pipeline Scripts and External Library Bibliography</w:t>
      </w:r>
    </w:p>
    <w:p>
      <w:pPr>
        <w:pBdr>
          <w:bottom w:val="single" w:color="2E5F8A" w:sz="8"/>
        </w:pBdr>
        <w:spacing w:after="240" w:before="0"/>
      </w:pPr>
      <w:r>
        <w:rPr>
          <w:rFonts w:ascii="Arial" w:cs="Arial" w:eastAsia="Arial" w:hAnsi="Arial"/>
          <w:i/>
          <w:iCs/>
          <w:color w:val="666666"/>
          <w:sz w:val="20"/>
          <w:szCs w:val="20"/>
        </w:rPr>
        <w:t xml:space="preserve">Czech Climate Policy NGO Network Study  ·  ČSN ISO 690:2022 English format</w:t>
      </w:r>
    </w:p>
    <w:p>
      <w:pPr>
        <w:pStyle w:val="Heading2"/>
        <w:spacing w:after="120" w:before="320"/>
      </w:pPr>
      <w:r>
        <w:rPr>
          <w:rFonts w:ascii="Arial" w:cs="Arial" w:eastAsia="Arial" w:hAnsi="Arial"/>
          <w:b/>
          <w:bCs/>
          <w:color w:val="1F3864"/>
          <w:sz w:val="26"/>
          <w:szCs w:val="26"/>
        </w:rPr>
        <w:t xml:space="preserve">B1  Pipeline Scripts and Associated Libraries</w:t>
      </w:r>
    </w:p>
    <w:p>
      <w:pPr>
        <w:spacing w:after="50" w:before="50"/>
      </w:pPr>
      <w:r>
        <w:rPr>
          <w:rFonts w:ascii="Arial" w:cs="Arial" w:eastAsia="Arial" w:hAnsi="Arial"/>
          <w:color w:val="444444"/>
          <w:sz w:val="20"/>
          <w:szCs w:val="20"/>
        </w:rPr>
        <w:t xml:space="preserve">The table below lists each processing stage in pipeline order, the primary scripts used, and the external Python libraries they depend on. Internal project modules (modules/, src/) and Python standard library imports are excluded.</w:t>
      </w:r>
    </w:p>
    <w:p>
      <w:pPr>
        <w:spacing w:after="0" w:before="6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660"/>
      </w:tblGrid>
      <w:tr>
        <w:trPr>
          <w:tblHeader/>
        </w:trPr>
        <w:tc>
          <w:tcPr>
            <w:tcW w:type="dxa" w:w="1800"/>
            <w:tcBorders>
              <w:top w:val="single" w:color="AACCE0" w:sz="4"/>
              <w:left w:val="single" w:color="AACCE0" w:sz="4"/>
              <w:bottom w:val="single" w:color="AACCE0" w:sz="4"/>
              <w:right w:val="single" w:color="AACCE0" w:sz="4"/>
            </w:tcBorders>
            <w:shd w:fill="1F3864" w:val="clear"/>
            <w:tcMar>
              <w:top w:type="dxa" w:w="90"/>
              <w:left w:type="dxa" w:w="130"/>
              <w:bottom w:type="dxa" w:w="90"/>
              <w:right w:type="dxa" w:w="130"/>
            </w:tcMar>
          </w:tcPr>
          <w:p>
            <w:pPr>
              <w:jc w:val="left"/>
            </w:pPr>
            <w:r>
              <w:rPr>
                <w:rFonts w:ascii="Arial" w:cs="Arial" w:eastAsia="Arial" w:hAnsi="Arial"/>
                <w:b/>
                <w:bCs/>
                <w:color w:val="FFFFFF"/>
                <w:sz w:val="18"/>
                <w:szCs w:val="18"/>
              </w:rPr>
              <w:t xml:space="preserve">Stage</w:t>
            </w:r>
          </w:p>
        </w:tc>
        <w:tc>
          <w:tcPr>
            <w:tcW w:type="dxa" w:w="4000"/>
            <w:tcBorders>
              <w:top w:val="single" w:color="AACCE0" w:sz="4"/>
              <w:left w:val="single" w:color="AACCE0" w:sz="4"/>
              <w:bottom w:val="single" w:color="AACCE0" w:sz="4"/>
              <w:right w:val="single" w:color="AACCE0" w:sz="4"/>
            </w:tcBorders>
            <w:shd w:fill="1F3864" w:val="clear"/>
            <w:tcMar>
              <w:top w:type="dxa" w:w="90"/>
              <w:left w:type="dxa" w:w="130"/>
              <w:bottom w:type="dxa" w:w="90"/>
              <w:right w:type="dxa" w:w="130"/>
            </w:tcMar>
          </w:tcPr>
          <w:p>
            <w:pPr>
              <w:jc w:val="left"/>
            </w:pPr>
            <w:r>
              <w:rPr>
                <w:rFonts w:ascii="Arial" w:cs="Arial" w:eastAsia="Arial" w:hAnsi="Arial"/>
                <w:b/>
                <w:bCs/>
                <w:color w:val="FFFFFF"/>
                <w:sz w:val="18"/>
                <w:szCs w:val="18"/>
              </w:rPr>
              <w:t xml:space="preserve">Scripts</w:t>
            </w:r>
          </w:p>
        </w:tc>
        <w:tc>
          <w:tcPr>
            <w:tcW w:type="dxa" w:w="3660"/>
            <w:tcBorders>
              <w:top w:val="single" w:color="AACCE0" w:sz="4"/>
              <w:left w:val="single" w:color="AACCE0" w:sz="4"/>
              <w:bottom w:val="single" w:color="AACCE0" w:sz="4"/>
              <w:right w:val="single" w:color="AACCE0" w:sz="4"/>
            </w:tcBorders>
            <w:shd w:fill="1F3864" w:val="clear"/>
            <w:tcMar>
              <w:top w:type="dxa" w:w="90"/>
              <w:left w:type="dxa" w:w="130"/>
              <w:bottom w:type="dxa" w:w="90"/>
              <w:right w:type="dxa" w:w="130"/>
            </w:tcMar>
          </w:tcPr>
          <w:p>
            <w:pPr>
              <w:jc w:val="left"/>
            </w:pPr>
            <w:r>
              <w:rPr>
                <w:rFonts w:ascii="Arial" w:cs="Arial" w:eastAsia="Arial" w:hAnsi="Arial"/>
                <w:b/>
                <w:bCs/>
                <w:color w:val="FFFFFF"/>
                <w:sz w:val="18"/>
                <w:szCs w:val="18"/>
              </w:rPr>
              <w:t xml:space="preserve">External Libraries</w:t>
            </w:r>
          </w:p>
        </w:tc>
      </w:tr>
      <w:tr>
        <w:tc>
          <w:tcPr>
            <w:tcW w:type="dxa" w:w="18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b/>
                <w:bCs/>
                <w:color w:val="1F3864"/>
                <w:sz w:val="18"/>
                <w:szCs w:val="18"/>
              </w:rPr>
              <w:t xml:space="preserve">1. Web scraping</w:t>
            </w:r>
          </w:p>
        </w:tc>
        <w:tc>
          <w:tcPr>
            <w:tcW w:type="dxa" w:w="40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Courier New" w:cs="Courier New" w:eastAsia="Courier New" w:hAnsi="Courier New"/>
                <w:color w:val="1A3A1A"/>
                <w:sz w:val="17"/>
                <w:szCs w:val="17"/>
              </w:rPr>
              <w:t xml:space="preserve">batch_scrape.py</w:t>
            </w:r>
            <w:r>
              <w:rPr>
                <w:sz w:val="17"/>
                <w:szCs w:val="17"/>
              </w:rPr>
              <w:t xml:space="preserve">
</w:t>
            </w:r>
            <w:r>
              <w:rPr>
                <w:rFonts w:ascii="Courier New" w:cs="Courier New" w:eastAsia="Courier New" w:hAnsi="Courier New"/>
                <w:color w:val="1A3A1A"/>
                <w:sz w:val="17"/>
                <w:szCs w:val="17"/>
              </w:rPr>
              <w:t xml:space="preserve">batch_scrape_parallel.py</w:t>
            </w:r>
            <w:r>
              <w:rPr>
                <w:sz w:val="17"/>
                <w:szCs w:val="17"/>
              </w:rPr>
              <w:t xml:space="preserve">
</w:t>
            </w:r>
            <w:r>
              <w:rPr>
                <w:rFonts w:ascii="Courier New" w:cs="Courier New" w:eastAsia="Courier New" w:hAnsi="Courier New"/>
                <w:color w:val="1A3A1A"/>
                <w:sz w:val="17"/>
                <w:szCs w:val="17"/>
              </w:rPr>
              <w:t xml:space="preserve">discover_sitemap.py</w:t>
            </w:r>
          </w:p>
        </w:tc>
        <w:tc>
          <w:tcPr>
            <w:tcW w:type="dxa" w:w="366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color w:val="333333"/>
                <w:sz w:val="18"/>
                <w:szCs w:val="18"/>
              </w:rPr>
              <w:t xml:space="preserve">requests · beautifulsoup4 · lxml</w:t>
            </w:r>
          </w:p>
        </w:tc>
      </w:tr>
      <w:tr>
        <w:tc>
          <w:tcPr>
            <w:tcW w:type="dxa" w:w="180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Arial" w:cs="Arial" w:eastAsia="Arial" w:hAnsi="Arial"/>
                <w:b/>
                <w:bCs/>
                <w:color w:val="1F3864"/>
                <w:sz w:val="18"/>
                <w:szCs w:val="18"/>
              </w:rPr>
              <w:t xml:space="preserve">2. Content cleaning &amp; reduction</w:t>
            </w:r>
          </w:p>
        </w:tc>
        <w:tc>
          <w:tcPr>
            <w:tcW w:type="dxa" w:w="400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Courier New" w:cs="Courier New" w:eastAsia="Courier New" w:hAnsi="Courier New"/>
                <w:color w:val="1A3A1A"/>
                <w:sz w:val="17"/>
                <w:szCs w:val="17"/>
              </w:rPr>
              <w:t xml:space="preserve">filter_content.py</w:t>
            </w:r>
            <w:r>
              <w:rPr>
                <w:sz w:val="17"/>
                <w:szCs w:val="17"/>
              </w:rPr>
              <w:t xml:space="preserve">
</w:t>
            </w:r>
            <w:r>
              <w:rPr>
                <w:rFonts w:ascii="Courier New" w:cs="Courier New" w:eastAsia="Courier New" w:hAnsi="Courier New"/>
                <w:color w:val="1A3A1A"/>
                <w:sz w:val="17"/>
                <w:szCs w:val="17"/>
              </w:rPr>
              <w:t xml:space="preserve">filter_step2_by_date.py</w:t>
            </w:r>
          </w:p>
        </w:tc>
        <w:tc>
          <w:tcPr>
            <w:tcW w:type="dxa" w:w="366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Arial" w:cs="Arial" w:eastAsia="Arial" w:hAnsi="Arial"/>
                <w:color w:val="333333"/>
                <w:sz w:val="18"/>
                <w:szCs w:val="18"/>
              </w:rPr>
              <w:t xml:space="preserve">beautifulsoup4 · PyYAML · GLiNER</w:t>
            </w:r>
          </w:p>
        </w:tc>
      </w:tr>
      <w:tr>
        <w:tc>
          <w:tcPr>
            <w:tcW w:type="dxa" w:w="18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b/>
                <w:bCs/>
                <w:color w:val="1F3864"/>
                <w:sz w:val="18"/>
                <w:szCs w:val="18"/>
              </w:rPr>
              <w:t xml:space="preserve">3. Keyword &amp; proximity filtering</w:t>
            </w:r>
          </w:p>
        </w:tc>
        <w:tc>
          <w:tcPr>
            <w:tcW w:type="dxa" w:w="40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Courier New" w:cs="Courier New" w:eastAsia="Courier New" w:hAnsi="Courier New"/>
                <w:color w:val="1A3A1A"/>
                <w:sz w:val="17"/>
                <w:szCs w:val="17"/>
              </w:rPr>
              <w:t xml:space="preserve">filter_by_keywords.py</w:t>
            </w:r>
            <w:r>
              <w:rPr>
                <w:sz w:val="17"/>
                <w:szCs w:val="17"/>
              </w:rPr>
              <w:t xml:space="preserve">
</w:t>
            </w:r>
            <w:r>
              <w:rPr>
                <w:rFonts w:ascii="Courier New" w:cs="Courier New" w:eastAsia="Courier New" w:hAnsi="Courier New"/>
                <w:color w:val="1A3A1A"/>
                <w:sz w:val="17"/>
                <w:szCs w:val="17"/>
              </w:rPr>
              <w:t xml:space="preserve">filter_step1_optimized.py</w:t>
            </w:r>
          </w:p>
        </w:tc>
        <w:tc>
          <w:tcPr>
            <w:tcW w:type="dxa" w:w="366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color w:val="333333"/>
                <w:sz w:val="18"/>
                <w:szCs w:val="18"/>
              </w:rPr>
              <w:t xml:space="preserve">flashtext · PyYAML · pandas</w:t>
            </w:r>
          </w:p>
        </w:tc>
      </w:tr>
      <w:tr>
        <w:tc>
          <w:tcPr>
            <w:tcW w:type="dxa" w:w="180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Arial" w:cs="Arial" w:eastAsia="Arial" w:hAnsi="Arial"/>
                <w:b/>
                <w:bCs/>
                <w:color w:val="1F3864"/>
                <w:sz w:val="18"/>
                <w:szCs w:val="18"/>
              </w:rPr>
              <w:t xml:space="preserve">4. Entity extraction (NER)</w:t>
            </w:r>
          </w:p>
        </w:tc>
        <w:tc>
          <w:tcPr>
            <w:tcW w:type="dxa" w:w="400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Courier New" w:cs="Courier New" w:eastAsia="Courier New" w:hAnsi="Courier New"/>
                <w:color w:val="1A3A1A"/>
                <w:sz w:val="17"/>
                <w:szCs w:val="17"/>
              </w:rPr>
              <w:t xml:space="preserve">extract_actors.py</w:t>
            </w:r>
            <w:r>
              <w:rPr>
                <w:sz w:val="17"/>
                <w:szCs w:val="17"/>
              </w:rPr>
              <w:t xml:space="preserve">
</w:t>
            </w:r>
            <w:r>
              <w:rPr>
                <w:rFonts w:ascii="Courier New" w:cs="Courier New" w:eastAsia="Courier New" w:hAnsi="Courier New"/>
                <w:color w:val="1A3A1A"/>
                <w:sz w:val="17"/>
                <w:szCs w:val="17"/>
              </w:rPr>
              <w:t xml:space="preserve">filter_step2_by_date.py</w:t>
            </w:r>
          </w:p>
        </w:tc>
        <w:tc>
          <w:tcPr>
            <w:tcW w:type="dxa" w:w="366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Arial" w:cs="Arial" w:eastAsia="Arial" w:hAnsi="Arial"/>
                <w:color w:val="333333"/>
                <w:sz w:val="18"/>
                <w:szCs w:val="18"/>
              </w:rPr>
              <w:t xml:space="preserve">GLiNER · pandas · tqdm</w:t>
            </w:r>
          </w:p>
        </w:tc>
      </w:tr>
      <w:tr>
        <w:tc>
          <w:tcPr>
            <w:tcW w:type="dxa" w:w="18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b/>
                <w:bCs/>
                <w:color w:val="1F3864"/>
                <w:sz w:val="18"/>
                <w:szCs w:val="18"/>
              </w:rPr>
              <w:t xml:space="preserve">5. Network edge extraction</w:t>
            </w:r>
          </w:p>
        </w:tc>
        <w:tc>
          <w:tcPr>
            <w:tcW w:type="dxa" w:w="40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Courier New" w:cs="Courier New" w:eastAsia="Courier New" w:hAnsi="Courier New"/>
                <w:color w:val="1A3A1A"/>
                <w:sz w:val="17"/>
                <w:szCs w:val="17"/>
              </w:rPr>
              <w:t xml:space="preserve">extract_network_with_evidence.py</w:t>
            </w:r>
            <w:r>
              <w:rPr>
                <w:sz w:val="17"/>
                <w:szCs w:val="17"/>
              </w:rPr>
              <w:t xml:space="preserve">
</w:t>
            </w:r>
            <w:r>
              <w:rPr>
                <w:rFonts w:ascii="Courier New" w:cs="Courier New" w:eastAsia="Courier New" w:hAnsi="Courier New"/>
                <w:color w:val="1A3A1A"/>
                <w:sz w:val="17"/>
                <w:szCs w:val="17"/>
              </w:rPr>
              <w:t xml:space="preserve">extract_all_years_network_improved.py</w:t>
            </w:r>
            <w:r>
              <w:rPr>
                <w:sz w:val="17"/>
                <w:szCs w:val="17"/>
              </w:rPr>
              <w:t xml:space="preserve">
</w:t>
            </w:r>
            <w:r>
              <w:rPr>
                <w:rFonts w:ascii="Courier New" w:cs="Courier New" w:eastAsia="Courier New" w:hAnsi="Courier New"/>
                <w:color w:val="1A3A1A"/>
                <w:sz w:val="17"/>
                <w:szCs w:val="17"/>
              </w:rPr>
              <w:t xml:space="preserve">build_final_validation_dataset.py</w:t>
            </w:r>
          </w:p>
        </w:tc>
        <w:tc>
          <w:tcPr>
            <w:tcW w:type="dxa" w:w="366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color w:val="333333"/>
                <w:sz w:val="18"/>
                <w:szCs w:val="18"/>
              </w:rPr>
              <w:t xml:space="preserve">pandas · numpy · flashtext</w:t>
            </w:r>
          </w:p>
        </w:tc>
      </w:tr>
      <w:tr>
        <w:tc>
          <w:tcPr>
            <w:tcW w:type="dxa" w:w="180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Arial" w:cs="Arial" w:eastAsia="Arial" w:hAnsi="Arial"/>
                <w:b/>
                <w:bCs/>
                <w:color w:val="1F3864"/>
                <w:sz w:val="18"/>
                <w:szCs w:val="18"/>
              </w:rPr>
              <w:t xml:space="preserve">6. LLM multi-model coding (4 models)</w:t>
            </w:r>
          </w:p>
        </w:tc>
        <w:tc>
          <w:tcPr>
            <w:tcW w:type="dxa" w:w="400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Courier New" w:cs="Courier New" w:eastAsia="Courier New" w:hAnsi="Courier New"/>
                <w:color w:val="1A3A1A"/>
                <w:sz w:val="17"/>
                <w:szCs w:val="17"/>
              </w:rPr>
              <w:t xml:space="preserve">run_full_dataset_openrouter.py</w:t>
            </w:r>
            <w:r>
              <w:rPr>
                <w:sz w:val="17"/>
                <w:szCs w:val="17"/>
              </w:rPr>
              <w:t xml:space="preserve">
</w:t>
            </w:r>
            <w:r>
              <w:rPr>
                <w:rFonts w:ascii="Courier New" w:cs="Courier New" w:eastAsia="Courier New" w:hAnsi="Courier New"/>
                <w:color w:val="1A3A1A"/>
                <w:sz w:val="17"/>
                <w:szCs w:val="17"/>
              </w:rPr>
              <w:t xml:space="preserve">run_final_validation.py</w:t>
            </w:r>
          </w:p>
        </w:tc>
        <w:tc>
          <w:tcPr>
            <w:tcW w:type="dxa" w:w="366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Arial" w:cs="Arial" w:eastAsia="Arial" w:hAnsi="Arial"/>
                <w:color w:val="333333"/>
                <w:sz w:val="18"/>
                <w:szCs w:val="18"/>
              </w:rPr>
              <w:t xml:space="preserve">openai (OpenRouter) · pandas · requests</w:t>
            </w:r>
          </w:p>
        </w:tc>
      </w:tr>
      <w:tr>
        <w:tc>
          <w:tcPr>
            <w:tcW w:type="dxa" w:w="18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b/>
                <w:bCs/>
                <w:color w:val="1F3864"/>
                <w:sz w:val="18"/>
                <w:szCs w:val="18"/>
              </w:rPr>
              <w:t xml:space="preserve">7. Judge LLM — tie resolution</w:t>
            </w:r>
          </w:p>
        </w:tc>
        <w:tc>
          <w:tcPr>
            <w:tcW w:type="dxa" w:w="40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Courier New" w:cs="Courier New" w:eastAsia="Courier New" w:hAnsi="Courier New"/>
                <w:color w:val="1A3A1A"/>
                <w:sz w:val="17"/>
                <w:szCs w:val="17"/>
              </w:rPr>
              <w:t xml:space="preserve">judge_ties.py</w:t>
            </w:r>
          </w:p>
        </w:tc>
        <w:tc>
          <w:tcPr>
            <w:tcW w:type="dxa" w:w="366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color w:val="333333"/>
                <w:sz w:val="18"/>
                <w:szCs w:val="18"/>
              </w:rPr>
              <w:t xml:space="preserve">anthropic · pandas</w:t>
            </w:r>
          </w:p>
        </w:tc>
      </w:tr>
      <w:tr>
        <w:tc>
          <w:tcPr>
            <w:tcW w:type="dxa" w:w="180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Arial" w:cs="Arial" w:eastAsia="Arial" w:hAnsi="Arial"/>
                <w:b/>
                <w:bCs/>
                <w:color w:val="1F3864"/>
                <w:sz w:val="18"/>
                <w:szCs w:val="18"/>
              </w:rPr>
              <w:t xml:space="preserve">8. Agreement statistics &amp; reporting</w:t>
            </w:r>
          </w:p>
        </w:tc>
        <w:tc>
          <w:tcPr>
            <w:tcW w:type="dxa" w:w="400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Courier New" w:cs="Courier New" w:eastAsia="Courier New" w:hAnsi="Courier New"/>
                <w:color w:val="1A3A1A"/>
                <w:sz w:val="17"/>
                <w:szCs w:val="17"/>
              </w:rPr>
              <w:t xml:space="preserve">aggregate_final_results.py</w:t>
            </w:r>
            <w:r>
              <w:rPr>
                <w:sz w:val="17"/>
                <w:szCs w:val="17"/>
              </w:rPr>
              <w:t xml:space="preserve">
</w:t>
            </w:r>
            <w:r>
              <w:rPr>
                <w:rFonts w:ascii="Courier New" w:cs="Courier New" w:eastAsia="Courier New" w:hAnsi="Courier New"/>
                <w:color w:val="1A3A1A"/>
                <w:sz w:val="17"/>
                <w:szCs w:val="17"/>
              </w:rPr>
              <w:t xml:space="preserve">compare_models.py</w:t>
            </w:r>
            <w:r>
              <w:rPr>
                <w:sz w:val="17"/>
                <w:szCs w:val="17"/>
              </w:rPr>
              <w:t xml:space="preserve">
</w:t>
            </w:r>
            <w:r>
              <w:rPr>
                <w:rFonts w:ascii="Courier New" w:cs="Courier New" w:eastAsia="Courier New" w:hAnsi="Courier New"/>
                <w:color w:val="1A3A1A"/>
                <w:sz w:val="17"/>
                <w:szCs w:val="17"/>
              </w:rPr>
              <w:t xml:space="preserve">rebuild_variance_table.py</w:t>
            </w:r>
          </w:p>
        </w:tc>
        <w:tc>
          <w:tcPr>
            <w:tcW w:type="dxa" w:w="3660"/>
            <w:tcBorders>
              <w:top w:val="single" w:color="AACCE0" w:sz="4"/>
              <w:left w:val="single" w:color="AACCE0" w:sz="4"/>
              <w:bottom w:val="single" w:color="AACCE0" w:sz="4"/>
              <w:right w:val="single" w:color="AACCE0" w:sz="4"/>
            </w:tcBorders>
            <w:shd w:fill="EDF2F8" w:val="clear"/>
            <w:tcMar>
              <w:top w:type="dxa" w:w="90"/>
              <w:left w:type="dxa" w:w="130"/>
              <w:bottom w:type="dxa" w:w="90"/>
              <w:right w:type="dxa" w:w="130"/>
            </w:tcMar>
          </w:tcPr>
          <w:p>
            <w:r>
              <w:rPr>
                <w:rFonts w:ascii="Arial" w:cs="Arial" w:eastAsia="Arial" w:hAnsi="Arial"/>
                <w:color w:val="333333"/>
                <w:sz w:val="18"/>
                <w:szCs w:val="18"/>
              </w:rPr>
              <w:t xml:space="preserve">pandas · numpy · seaborn · matplotlib</w:t>
            </w:r>
          </w:p>
        </w:tc>
      </w:tr>
      <w:tr>
        <w:tc>
          <w:tcPr>
            <w:tcW w:type="dxa" w:w="18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b/>
                <w:bCs/>
                <w:color w:val="1F3864"/>
                <w:sz w:val="18"/>
                <w:szCs w:val="18"/>
              </w:rPr>
              <w:t xml:space="preserve">9. Network construction &amp; analysis</w:t>
            </w:r>
          </w:p>
        </w:tc>
        <w:tc>
          <w:tcPr>
            <w:tcW w:type="dxa" w:w="400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Courier New" w:cs="Courier New" w:eastAsia="Courier New" w:hAnsi="Courier New"/>
                <w:color w:val="1A3A1A"/>
                <w:sz w:val="17"/>
                <w:szCs w:val="17"/>
              </w:rPr>
              <w:t xml:space="preserve">extract_all_years_network_improved.py</w:t>
            </w:r>
            <w:r>
              <w:rPr>
                <w:sz w:val="17"/>
                <w:szCs w:val="17"/>
              </w:rPr>
              <w:t xml:space="preserve">
</w:t>
            </w:r>
            <w:r>
              <w:rPr>
                <w:rFonts w:ascii="Courier New" w:cs="Courier New" w:eastAsia="Courier New" w:hAnsi="Courier New"/>
                <w:color w:val="1A3A1A"/>
                <w:sz w:val="17"/>
                <w:szCs w:val="17"/>
              </w:rPr>
              <w:t xml:space="preserve">extract_2025_network_improved.py</w:t>
            </w:r>
            <w:r>
              <w:rPr>
                <w:sz w:val="17"/>
                <w:szCs w:val="17"/>
              </w:rPr>
              <w:t xml:space="preserve">
</w:t>
            </w:r>
            <w:r>
              <w:rPr>
                <w:rFonts w:ascii="Courier New" w:cs="Courier New" w:eastAsia="Courier New" w:hAnsi="Courier New"/>
                <w:color w:val="1A3A1A"/>
                <w:sz w:val="17"/>
                <w:szCs w:val="17"/>
              </w:rPr>
              <w:t xml:space="preserve">cug_test.R (external)</w:t>
            </w:r>
          </w:p>
        </w:tc>
        <w:tc>
          <w:tcPr>
            <w:tcW w:type="dxa" w:w="3660"/>
            <w:tcBorders>
              <w:top w:val="single" w:color="AACCE0" w:sz="4"/>
              <w:left w:val="single" w:color="AACCE0" w:sz="4"/>
              <w:bottom w:val="single" w:color="AACCE0" w:sz="4"/>
              <w:right w:val="single" w:color="AACCE0" w:sz="4"/>
            </w:tcBorders>
            <w:shd w:fill="FFFFFF" w:val="clear"/>
            <w:tcMar>
              <w:top w:type="dxa" w:w="90"/>
              <w:left w:type="dxa" w:w="130"/>
              <w:bottom w:type="dxa" w:w="90"/>
              <w:right w:type="dxa" w:w="130"/>
            </w:tcMar>
          </w:tcPr>
          <w:p>
            <w:r>
              <w:rPr>
                <w:rFonts w:ascii="Arial" w:cs="Arial" w:eastAsia="Arial" w:hAnsi="Arial"/>
                <w:color w:val="333333"/>
                <w:sz w:val="18"/>
                <w:szCs w:val="18"/>
              </w:rPr>
              <w:t xml:space="preserve">pandas · numpy · networkx · matplotlib</w:t>
            </w:r>
          </w:p>
        </w:tc>
      </w:tr>
    </w:tbl>
    <w:p>
      <w:pPr>
        <w:pBdr>
          <w:bottom w:val="single" w:color="D6E4F0" w:sz="6"/>
        </w:pBdr>
        <w:spacing w:after="180" w:before="180"/>
      </w:pPr>
    </w:p>
    <w:p>
      <w:pPr>
        <w:pStyle w:val="Heading2"/>
        <w:spacing w:after="120" w:before="320"/>
      </w:pPr>
      <w:r>
        <w:rPr>
          <w:rFonts w:ascii="Arial" w:cs="Arial" w:eastAsia="Arial" w:hAnsi="Arial"/>
          <w:b/>
          <w:bCs/>
          <w:color w:val="1F3864"/>
          <w:sz w:val="26"/>
          <w:szCs w:val="26"/>
        </w:rPr>
        <w:t xml:space="preserve">B2  Bibliography — External Python Libraries (ČSN ISO 690:2022)</w:t>
      </w:r>
    </w:p>
    <w:p>
      <w:pPr>
        <w:spacing w:after="50" w:before="50"/>
      </w:pPr>
      <w:r>
        <w:rPr>
          <w:rFonts w:ascii="Arial" w:cs="Arial" w:eastAsia="Arial" w:hAnsi="Arial"/>
          <w:color w:val="444444"/>
          <w:sz w:val="20"/>
          <w:szCs w:val="20"/>
        </w:rPr>
        <w:t xml:space="preserve">All external Python libraries used in the processing pipeline, from web scraping through to final LLM validation and network analysis. Sorted alphabetically by first creator.</w:t>
      </w:r>
    </w:p>
    <w:p>
      <w:pPr>
        <w:spacing w:after="0" w:before="60"/>
      </w:pPr>
    </w:p>
    <w:p>
      <w:pPr>
        <w:spacing w:after="0" w:before="60"/>
      </w:pPr>
    </w:p>
    <w:p>
      <w:pPr>
        <w:pBdr>
          <w:left w:val="single" w:color="D6E4F0" w:sz="12"/>
        </w:pBdr>
        <w:spacing w:after="60" w:before="60"/>
        <w:ind w:left="240"/>
      </w:pPr>
      <w:r>
        <w:rPr>
          <w:rFonts w:ascii="Arial" w:cs="Arial" w:eastAsia="Arial" w:hAnsi="Arial"/>
          <w:b/>
          <w:bCs/>
          <w:color w:val="1F3864"/>
          <w:sz w:val="18"/>
          <w:szCs w:val="18"/>
        </w:rPr>
        <w:t xml:space="preserve">Citation approach: </w:t>
      </w:r>
      <w:r>
        <w:rPr>
          <w:rFonts w:ascii="Arial" w:cs="Arial" w:eastAsia="Arial" w:hAnsi="Arial"/>
          <w:color w:val="444444"/>
          <w:sz w:val="18"/>
          <w:szCs w:val="18"/>
        </w:rPr>
        <w:t xml:space="preserve">Where a library has an associated peer-reviewed paper (numpy, matplotlib, networkx, pandas, seaborn, tqdm, GLiNER, flashtext), that paper is cited in preference to the software repository, following the convention recommended by library maintainers and standard practice in computational social science. For libraries without an associated paper (anthropic SDK, openai SDK, requests, beautifulsoup4, lxml, PyYAML), the software itself is cited as an online resource per ČSN ISO 690:2022, §8.4. Entries are ordered alphabetically by the first creator element. The </w:t>
      </w:r>
      <w:r>
        <w:rPr>
          <w:rFonts w:ascii="Courier New" w:cs="Courier New" w:eastAsia="Courier New" w:hAnsi="Courier New"/>
          <w:color w:val="333333"/>
          <w:sz w:val="18"/>
          <w:szCs w:val="18"/>
        </w:rPr>
        <w:t xml:space="preserve">openai</w:t>
      </w:r>
      <w:r>
        <w:rPr>
          <w:rFonts w:ascii="Arial" w:cs="Arial" w:eastAsia="Arial" w:hAnsi="Arial"/>
          <w:color w:val="444444"/>
          <w:sz w:val="18"/>
          <w:szCs w:val="18"/>
        </w:rPr>
        <w:t xml:space="preserve"> Python client is listed under OpenAI as publisher; note that it was used to access </w:t>
      </w:r>
      <w:r>
        <w:rPr>
          <w:rFonts w:ascii="Arial" w:cs="Arial" w:eastAsia="Arial" w:hAnsi="Arial"/>
          <w:b/>
          <w:bCs/>
          <w:color w:val="444444"/>
          <w:sz w:val="18"/>
          <w:szCs w:val="18"/>
        </w:rPr>
        <w:t xml:space="preserve">OpenRouter</w:t>
      </w:r>
      <w:r>
        <w:rPr>
          <w:rFonts w:ascii="Arial" w:cs="Arial" w:eastAsia="Arial" w:hAnsi="Arial"/>
          <w:color w:val="444444"/>
          <w:sz w:val="18"/>
          <w:szCs w:val="18"/>
        </w:rPr>
        <w:t xml:space="preserve"> (openrouter.ai) for routing requests to multiple model providers, not the OpenAI API directly.</w:t>
      </w:r>
    </w:p>
    <w:p>
      <w:pPr>
        <w:spacing w:after="0" w:before="60"/>
      </w:pPr>
    </w:p>
    <w:p>
      <w:pPr>
        <w:spacing w:after="120" w:before="120"/>
        <w:ind w:left="480" w:hanging="480"/>
      </w:pPr>
      <w:r>
        <w:rPr>
          <w:rFonts w:ascii="Arial" w:cs="Arial" w:eastAsia="Arial" w:hAnsi="Arial"/>
          <w:b/>
          <w:bCs/>
          <w:color w:val="2E5F8A"/>
          <w:sz w:val="19"/>
          <w:szCs w:val="19"/>
        </w:rPr>
        <w:t xml:space="preserve">[1]	</w:t>
      </w:r>
      <w:r>
        <w:rPr>
          <w:rFonts w:ascii="Arial" w:cs="Arial" w:eastAsia="Arial" w:hAnsi="Arial"/>
          <w:b w:val="false"/>
          <w:bCs w:val="false"/>
          <w:color w:val="222222"/>
          <w:sz w:val="19"/>
          <w:szCs w:val="19"/>
        </w:rPr>
        <w:t xml:space="preserve">ANTHROPIC. </w:t>
      </w:r>
      <w:r>
        <w:rPr>
          <w:rFonts w:ascii="Arial" w:cs="Arial" w:eastAsia="Arial" w:hAnsi="Arial"/>
          <w:b w:val="false"/>
          <w:bCs w:val="false"/>
          <w:color w:val="222222"/>
          <w:sz w:val="19"/>
          <w:szCs w:val="19"/>
        </w:rPr>
        <w:t xml:space="preserve">Anthropic Python SDK</w:t>
      </w:r>
      <w:r>
        <w:rPr>
          <w:rFonts w:ascii="Arial" w:cs="Arial" w:eastAsia="Arial" w:hAnsi="Arial"/>
          <w:b w:val="false"/>
          <w:bCs w:val="false"/>
          <w:color w:val="222222"/>
          <w:sz w:val="19"/>
          <w:szCs w:val="19"/>
        </w:rPr>
        <w:t xml:space="preserve"> [software]. San Francisco: Anthropic PBC, 2024 [cited: 2025-11-01]. Available from: </w:t>
      </w:r>
      <w:r>
        <w:rPr>
          <w:rFonts w:ascii="Arial" w:cs="Arial" w:eastAsia="Arial" w:hAnsi="Arial"/>
          <w:b w:val="false"/>
          <w:bCs w:val="false"/>
          <w:color w:val="1A4A7A"/>
          <w:sz w:val="19"/>
          <w:szCs w:val="19"/>
          <w:u w:val="single"/>
        </w:rPr>
        <w:t xml:space="preserve">https://github.com/anthropics/anthropic-sdk-python</w:t>
      </w:r>
    </w:p>
    <w:p>
      <w:pPr>
        <w:spacing w:after="120" w:before="120"/>
        <w:ind w:left="480" w:hanging="480"/>
      </w:pPr>
      <w:r>
        <w:rPr>
          <w:rFonts w:ascii="Arial" w:cs="Arial" w:eastAsia="Arial" w:hAnsi="Arial"/>
          <w:b/>
          <w:bCs/>
          <w:color w:val="2E5F8A"/>
          <w:sz w:val="19"/>
          <w:szCs w:val="19"/>
        </w:rPr>
        <w:t xml:space="preserve">[2]	</w:t>
      </w:r>
      <w:r>
        <w:rPr>
          <w:rFonts w:ascii="Arial" w:cs="Arial" w:eastAsia="Arial" w:hAnsi="Arial"/>
          <w:b w:val="false"/>
          <w:bCs w:val="false"/>
          <w:color w:val="222222"/>
          <w:sz w:val="19"/>
          <w:szCs w:val="19"/>
        </w:rPr>
        <w:t xml:space="preserve">DA COSTA-LUIS, Casper O., Stephen Karl LARROQUE, Kyle ALTENDORF, et al. </w:t>
      </w:r>
      <w:r>
        <w:rPr>
          <w:rFonts w:ascii="Arial" w:cs="Arial" w:eastAsia="Arial" w:hAnsi="Arial"/>
          <w:b w:val="false"/>
          <w:bCs w:val="false"/>
          <w:color w:val="222222"/>
          <w:sz w:val="19"/>
          <w:szCs w:val="19"/>
        </w:rPr>
        <w:t xml:space="preserve">tqdm</w:t>
      </w:r>
      <w:r>
        <w:rPr>
          <w:rFonts w:ascii="Arial" w:cs="Arial" w:eastAsia="Arial" w:hAnsi="Arial"/>
          <w:b w:val="false"/>
          <w:bCs w:val="false"/>
          <w:color w:val="222222"/>
          <w:sz w:val="19"/>
          <w:szCs w:val="19"/>
        </w:rPr>
        <w:t xml:space="preserve">: A fast, extensible progress bar for Python and CLI. </w:t>
      </w:r>
      <w:r>
        <w:rPr>
          <w:rFonts w:ascii="Arial" w:cs="Arial" w:eastAsia="Arial" w:hAnsi="Arial"/>
          <w:b w:val="false"/>
          <w:bCs w:val="false"/>
          <w:color w:val="222222"/>
          <w:sz w:val="19"/>
          <w:szCs w:val="19"/>
        </w:rPr>
        <w:t xml:space="preserve">Journal of Open Source Software</w:t>
      </w:r>
      <w:r>
        <w:rPr>
          <w:rFonts w:ascii="Arial" w:cs="Arial" w:eastAsia="Arial" w:hAnsi="Arial"/>
          <w:b w:val="false"/>
          <w:bCs w:val="false"/>
          <w:color w:val="222222"/>
          <w:sz w:val="19"/>
          <w:szCs w:val="19"/>
        </w:rPr>
        <w:t xml:space="preserve"> [online]. 2019, </w:t>
      </w:r>
      <w:r>
        <w:rPr>
          <w:rFonts w:ascii="Arial" w:cs="Arial" w:eastAsia="Arial" w:hAnsi="Arial"/>
          <w:b/>
          <w:bCs/>
          <w:color w:val="222222"/>
          <w:sz w:val="19"/>
          <w:szCs w:val="19"/>
        </w:rPr>
        <w:t xml:space="preserve">4</w:t>
      </w:r>
      <w:r>
        <w:rPr>
          <w:rFonts w:ascii="Arial" w:cs="Arial" w:eastAsia="Arial" w:hAnsi="Arial"/>
          <w:b w:val="false"/>
          <w:bCs w:val="false"/>
          <w:color w:val="222222"/>
          <w:sz w:val="19"/>
          <w:szCs w:val="19"/>
        </w:rPr>
        <w:t xml:space="preserve">(37), 1277 [cited: 2025-11-01]. DOI: </w:t>
      </w:r>
      <w:r>
        <w:rPr>
          <w:rFonts w:ascii="Arial" w:cs="Arial" w:eastAsia="Arial" w:hAnsi="Arial"/>
          <w:b w:val="false"/>
          <w:bCs w:val="false"/>
          <w:color w:val="1A4A7A"/>
          <w:sz w:val="19"/>
          <w:szCs w:val="19"/>
          <w:u w:val="single"/>
        </w:rPr>
        <w:t xml:space="preserve">10.21105/joss.01277</w:t>
      </w:r>
    </w:p>
    <w:p>
      <w:pPr>
        <w:spacing w:after="120" w:before="120"/>
        <w:ind w:left="480" w:hanging="480"/>
      </w:pPr>
      <w:r>
        <w:rPr>
          <w:rFonts w:ascii="Arial" w:cs="Arial" w:eastAsia="Arial" w:hAnsi="Arial"/>
          <w:b/>
          <w:bCs/>
          <w:color w:val="2E5F8A"/>
          <w:sz w:val="19"/>
          <w:szCs w:val="19"/>
        </w:rPr>
        <w:t xml:space="preserve">[3]	</w:t>
      </w:r>
      <w:r>
        <w:rPr>
          <w:rFonts w:ascii="Arial" w:cs="Arial" w:eastAsia="Arial" w:hAnsi="Arial"/>
          <w:b w:val="false"/>
          <w:bCs w:val="false"/>
          <w:color w:val="222222"/>
          <w:sz w:val="19"/>
          <w:szCs w:val="19"/>
        </w:rPr>
        <w:t xml:space="preserve">HAGBERG, Aric A., Daniel A. SCHULT and Pieter J. SWART. Exploring network structure, dynamics, and function using NetworkX. In: Gaël VAROQUAUX, Travis VAUGHT and Jarrod MILLMAN, eds. </w:t>
      </w:r>
      <w:r>
        <w:rPr>
          <w:rFonts w:ascii="Arial" w:cs="Arial" w:eastAsia="Arial" w:hAnsi="Arial"/>
          <w:b w:val="false"/>
          <w:bCs w:val="false"/>
          <w:color w:val="222222"/>
          <w:sz w:val="19"/>
          <w:szCs w:val="19"/>
        </w:rPr>
        <w:t xml:space="preserve">Proceedings of the 7th Python in Science Conference (SciPy 2008)</w:t>
      </w:r>
      <w:r>
        <w:rPr>
          <w:rFonts w:ascii="Arial" w:cs="Arial" w:eastAsia="Arial" w:hAnsi="Arial"/>
          <w:b w:val="false"/>
          <w:bCs w:val="false"/>
          <w:color w:val="222222"/>
          <w:sz w:val="19"/>
          <w:szCs w:val="19"/>
        </w:rPr>
        <w:t xml:space="preserve"> [online]. Pasadena: SciPy, 2008, pp. 11–15 [cited: 2025-11-01]. DOI: </w:t>
      </w:r>
      <w:r>
        <w:rPr>
          <w:rFonts w:ascii="Arial" w:cs="Arial" w:eastAsia="Arial" w:hAnsi="Arial"/>
          <w:b w:val="false"/>
          <w:bCs w:val="false"/>
          <w:color w:val="1A4A7A"/>
          <w:sz w:val="19"/>
          <w:szCs w:val="19"/>
          <w:u w:val="single"/>
        </w:rPr>
        <w:t xml:space="preserve">10.25080/TCWV9851</w:t>
      </w:r>
    </w:p>
    <w:p>
      <w:pPr>
        <w:spacing w:after="120" w:before="120"/>
        <w:ind w:left="480" w:hanging="480"/>
      </w:pPr>
      <w:r>
        <w:rPr>
          <w:rFonts w:ascii="Arial" w:cs="Arial" w:eastAsia="Arial" w:hAnsi="Arial"/>
          <w:b/>
          <w:bCs/>
          <w:color w:val="2E5F8A"/>
          <w:sz w:val="19"/>
          <w:szCs w:val="19"/>
        </w:rPr>
        <w:t xml:space="preserve">[4]	</w:t>
      </w:r>
      <w:r>
        <w:rPr>
          <w:rFonts w:ascii="Arial" w:cs="Arial" w:eastAsia="Arial" w:hAnsi="Arial"/>
          <w:b w:val="false"/>
          <w:bCs w:val="false"/>
          <w:color w:val="222222"/>
          <w:sz w:val="19"/>
          <w:szCs w:val="19"/>
        </w:rPr>
        <w:t xml:space="preserve">HARRIS, Charles R., K. Jarrod MILLMAN, Stéfan J. VAN DER WALT, et al. Array programming with NumPy. </w:t>
      </w:r>
      <w:r>
        <w:rPr>
          <w:rFonts w:ascii="Arial" w:cs="Arial" w:eastAsia="Arial" w:hAnsi="Arial"/>
          <w:b w:val="false"/>
          <w:bCs w:val="false"/>
          <w:color w:val="222222"/>
          <w:sz w:val="19"/>
          <w:szCs w:val="19"/>
        </w:rPr>
        <w:t xml:space="preserve">Nature</w:t>
      </w:r>
      <w:r>
        <w:rPr>
          <w:rFonts w:ascii="Arial" w:cs="Arial" w:eastAsia="Arial" w:hAnsi="Arial"/>
          <w:b w:val="false"/>
          <w:bCs w:val="false"/>
          <w:color w:val="222222"/>
          <w:sz w:val="19"/>
          <w:szCs w:val="19"/>
        </w:rPr>
        <w:t xml:space="preserve"> [online]. 2020, </w:t>
      </w:r>
      <w:r>
        <w:rPr>
          <w:rFonts w:ascii="Arial" w:cs="Arial" w:eastAsia="Arial" w:hAnsi="Arial"/>
          <w:b/>
          <w:bCs/>
          <w:color w:val="222222"/>
          <w:sz w:val="19"/>
          <w:szCs w:val="19"/>
        </w:rPr>
        <w:t xml:space="preserve">585</w:t>
      </w:r>
      <w:r>
        <w:rPr>
          <w:rFonts w:ascii="Arial" w:cs="Arial" w:eastAsia="Arial" w:hAnsi="Arial"/>
          <w:b w:val="false"/>
          <w:bCs w:val="false"/>
          <w:color w:val="222222"/>
          <w:sz w:val="19"/>
          <w:szCs w:val="19"/>
        </w:rPr>
        <w:t xml:space="preserve">, 357–362 [cited: 2025-11-01]. DOI: </w:t>
      </w:r>
      <w:r>
        <w:rPr>
          <w:rFonts w:ascii="Arial" w:cs="Arial" w:eastAsia="Arial" w:hAnsi="Arial"/>
          <w:b w:val="false"/>
          <w:bCs w:val="false"/>
          <w:color w:val="1A4A7A"/>
          <w:sz w:val="19"/>
          <w:szCs w:val="19"/>
          <w:u w:val="single"/>
        </w:rPr>
        <w:t xml:space="preserve">10.1038/s41586-020-2649-2</w:t>
      </w:r>
    </w:p>
    <w:p>
      <w:pPr>
        <w:spacing w:after="120" w:before="120"/>
        <w:ind w:left="480" w:hanging="480"/>
      </w:pPr>
      <w:r>
        <w:rPr>
          <w:rFonts w:ascii="Arial" w:cs="Arial" w:eastAsia="Arial" w:hAnsi="Arial"/>
          <w:b/>
          <w:bCs/>
          <w:color w:val="2E5F8A"/>
          <w:sz w:val="19"/>
          <w:szCs w:val="19"/>
        </w:rPr>
        <w:t xml:space="preserve">[5]	</w:t>
      </w:r>
      <w:r>
        <w:rPr>
          <w:rFonts w:ascii="Arial" w:cs="Arial" w:eastAsia="Arial" w:hAnsi="Arial"/>
          <w:b w:val="false"/>
          <w:bCs w:val="false"/>
          <w:color w:val="222222"/>
          <w:sz w:val="19"/>
          <w:szCs w:val="19"/>
        </w:rPr>
        <w:t xml:space="preserve">HUNTER, John D. Matplotlib: A 2D graphics environment. </w:t>
      </w:r>
      <w:r>
        <w:rPr>
          <w:rFonts w:ascii="Arial" w:cs="Arial" w:eastAsia="Arial" w:hAnsi="Arial"/>
          <w:b w:val="false"/>
          <w:bCs w:val="false"/>
          <w:color w:val="222222"/>
          <w:sz w:val="19"/>
          <w:szCs w:val="19"/>
        </w:rPr>
        <w:t xml:space="preserve">Computing in Science &amp; Engineering</w:t>
      </w:r>
      <w:r>
        <w:rPr>
          <w:rFonts w:ascii="Arial" w:cs="Arial" w:eastAsia="Arial" w:hAnsi="Arial"/>
          <w:b w:val="false"/>
          <w:bCs w:val="false"/>
          <w:color w:val="222222"/>
          <w:sz w:val="19"/>
          <w:szCs w:val="19"/>
        </w:rPr>
        <w:t xml:space="preserve"> [online]. 2007, </w:t>
      </w:r>
      <w:r>
        <w:rPr>
          <w:rFonts w:ascii="Arial" w:cs="Arial" w:eastAsia="Arial" w:hAnsi="Arial"/>
          <w:b/>
          <w:bCs/>
          <w:color w:val="222222"/>
          <w:sz w:val="19"/>
          <w:szCs w:val="19"/>
        </w:rPr>
        <w:t xml:space="preserve">9</w:t>
      </w:r>
      <w:r>
        <w:rPr>
          <w:rFonts w:ascii="Arial" w:cs="Arial" w:eastAsia="Arial" w:hAnsi="Arial"/>
          <w:b w:val="false"/>
          <w:bCs w:val="false"/>
          <w:color w:val="222222"/>
          <w:sz w:val="19"/>
          <w:szCs w:val="19"/>
        </w:rPr>
        <w:t xml:space="preserve">(3), 90–95 [cited: 2025-11-01]. DOI: </w:t>
      </w:r>
      <w:r>
        <w:rPr>
          <w:rFonts w:ascii="Arial" w:cs="Arial" w:eastAsia="Arial" w:hAnsi="Arial"/>
          <w:b w:val="false"/>
          <w:bCs w:val="false"/>
          <w:color w:val="1A4A7A"/>
          <w:sz w:val="19"/>
          <w:szCs w:val="19"/>
          <w:u w:val="single"/>
        </w:rPr>
        <w:t xml:space="preserve">10.1109/MCSE.2007.55</w:t>
      </w:r>
    </w:p>
    <w:p>
      <w:pPr>
        <w:spacing w:after="120" w:before="120"/>
        <w:ind w:left="480" w:hanging="480"/>
      </w:pPr>
      <w:r>
        <w:rPr>
          <w:rFonts w:ascii="Arial" w:cs="Arial" w:eastAsia="Arial" w:hAnsi="Arial"/>
          <w:b/>
          <w:bCs/>
          <w:color w:val="2E5F8A"/>
          <w:sz w:val="19"/>
          <w:szCs w:val="19"/>
        </w:rPr>
        <w:t xml:space="preserve">[6]	</w:t>
      </w:r>
      <w:r>
        <w:rPr>
          <w:rFonts w:ascii="Arial" w:cs="Arial" w:eastAsia="Arial" w:hAnsi="Arial"/>
          <w:b w:val="false"/>
          <w:bCs w:val="false"/>
          <w:color w:val="222222"/>
          <w:sz w:val="19"/>
          <w:szCs w:val="19"/>
        </w:rPr>
        <w:t xml:space="preserve">LXML DEVELOPERS. </w:t>
      </w:r>
      <w:r>
        <w:rPr>
          <w:rFonts w:ascii="Arial" w:cs="Arial" w:eastAsia="Arial" w:hAnsi="Arial"/>
          <w:b w:val="false"/>
          <w:bCs w:val="false"/>
          <w:color w:val="222222"/>
          <w:sz w:val="19"/>
          <w:szCs w:val="19"/>
        </w:rPr>
        <w:t xml:space="preserve">lxml: XML and HTML with Python</w:t>
      </w:r>
      <w:r>
        <w:rPr>
          <w:rFonts w:ascii="Arial" w:cs="Arial" w:eastAsia="Arial" w:hAnsi="Arial"/>
          <w:b w:val="false"/>
          <w:bCs w:val="false"/>
          <w:color w:val="222222"/>
          <w:sz w:val="19"/>
          <w:szCs w:val="19"/>
        </w:rPr>
        <w:t xml:space="preserve"> [software]. Version 4.9. 2023 [cited: 2025-11-01]. Available from: </w:t>
      </w:r>
      <w:r>
        <w:rPr>
          <w:rFonts w:ascii="Arial" w:cs="Arial" w:eastAsia="Arial" w:hAnsi="Arial"/>
          <w:b w:val="false"/>
          <w:bCs w:val="false"/>
          <w:color w:val="1A4A7A"/>
          <w:sz w:val="19"/>
          <w:szCs w:val="19"/>
          <w:u w:val="single"/>
        </w:rPr>
        <w:t xml:space="preserve">https://lxml.de/</w:t>
      </w:r>
    </w:p>
    <w:p>
      <w:pPr>
        <w:spacing w:after="120" w:before="120"/>
        <w:ind w:left="480" w:hanging="480"/>
      </w:pPr>
      <w:r>
        <w:rPr>
          <w:rFonts w:ascii="Arial" w:cs="Arial" w:eastAsia="Arial" w:hAnsi="Arial"/>
          <w:b/>
          <w:bCs/>
          <w:color w:val="2E5F8A"/>
          <w:sz w:val="19"/>
          <w:szCs w:val="19"/>
        </w:rPr>
        <w:t xml:space="preserve">[7]	</w:t>
      </w:r>
      <w:r>
        <w:rPr>
          <w:rFonts w:ascii="Arial" w:cs="Arial" w:eastAsia="Arial" w:hAnsi="Arial"/>
          <w:b w:val="false"/>
          <w:bCs w:val="false"/>
          <w:color w:val="222222"/>
          <w:sz w:val="19"/>
          <w:szCs w:val="19"/>
        </w:rPr>
        <w:t xml:space="preserve">MCKINNEY, Wes. Data structures for statistical computing in Python. In: Stéfan VAN DER WALT and Jarrod MILLMAN, eds. </w:t>
      </w:r>
      <w:r>
        <w:rPr>
          <w:rFonts w:ascii="Arial" w:cs="Arial" w:eastAsia="Arial" w:hAnsi="Arial"/>
          <w:b w:val="false"/>
          <w:bCs w:val="false"/>
          <w:color w:val="222222"/>
          <w:sz w:val="19"/>
          <w:szCs w:val="19"/>
        </w:rPr>
        <w:t xml:space="preserve">Proceedings of the 9th Python in Science Conference (SciPy 2010)</w:t>
      </w:r>
      <w:r>
        <w:rPr>
          <w:rFonts w:ascii="Arial" w:cs="Arial" w:eastAsia="Arial" w:hAnsi="Arial"/>
          <w:b w:val="false"/>
          <w:bCs w:val="false"/>
          <w:color w:val="222222"/>
          <w:sz w:val="19"/>
          <w:szCs w:val="19"/>
        </w:rPr>
        <w:t xml:space="preserve"> [online]. Austin: SciPy, 2010, pp. 56–61 [cited: 2025-11-01]. DOI: </w:t>
      </w:r>
      <w:r>
        <w:rPr>
          <w:rFonts w:ascii="Arial" w:cs="Arial" w:eastAsia="Arial" w:hAnsi="Arial"/>
          <w:b w:val="false"/>
          <w:bCs w:val="false"/>
          <w:color w:val="1A4A7A"/>
          <w:sz w:val="19"/>
          <w:szCs w:val="19"/>
          <w:u w:val="single"/>
        </w:rPr>
        <w:t xml:space="preserve">10.25080/Majora-92bf1922-00a</w:t>
      </w:r>
    </w:p>
    <w:p>
      <w:pPr>
        <w:spacing w:after="120" w:before="120"/>
        <w:ind w:left="480" w:hanging="480"/>
      </w:pPr>
      <w:r>
        <w:rPr>
          <w:rFonts w:ascii="Arial" w:cs="Arial" w:eastAsia="Arial" w:hAnsi="Arial"/>
          <w:b/>
          <w:bCs/>
          <w:color w:val="2E5F8A"/>
          <w:sz w:val="19"/>
          <w:szCs w:val="19"/>
        </w:rPr>
        <w:t xml:space="preserve">[8]	</w:t>
      </w:r>
      <w:r>
        <w:rPr>
          <w:rFonts w:ascii="Arial" w:cs="Arial" w:eastAsia="Arial" w:hAnsi="Arial"/>
          <w:b w:val="false"/>
          <w:bCs w:val="false"/>
          <w:color w:val="222222"/>
          <w:sz w:val="19"/>
          <w:szCs w:val="19"/>
        </w:rPr>
        <w:t xml:space="preserve">OPENAI. </w:t>
      </w:r>
      <w:r>
        <w:rPr>
          <w:rFonts w:ascii="Arial" w:cs="Arial" w:eastAsia="Arial" w:hAnsi="Arial"/>
          <w:b w:val="false"/>
          <w:bCs w:val="false"/>
          <w:color w:val="222222"/>
          <w:sz w:val="19"/>
          <w:szCs w:val="19"/>
        </w:rPr>
        <w:t xml:space="preserve">OpenAI Python API Library</w:t>
      </w:r>
      <w:r>
        <w:rPr>
          <w:rFonts w:ascii="Arial" w:cs="Arial" w:eastAsia="Arial" w:hAnsi="Arial"/>
          <w:b w:val="false"/>
          <w:bCs w:val="false"/>
          <w:color w:val="222222"/>
          <w:sz w:val="19"/>
          <w:szCs w:val="19"/>
        </w:rPr>
        <w:t xml:space="preserve"> [software]. San Francisco: OpenAI, 2024 [cited: 2025-11-01]. Available from: </w:t>
      </w:r>
      <w:r>
        <w:rPr>
          <w:rFonts w:ascii="Arial" w:cs="Arial" w:eastAsia="Arial" w:hAnsi="Arial"/>
          <w:b w:val="false"/>
          <w:bCs w:val="false"/>
          <w:color w:val="1A4A7A"/>
          <w:sz w:val="19"/>
          <w:szCs w:val="19"/>
          <w:u w:val="single"/>
        </w:rPr>
        <w:t xml:space="preserve">https://github.com/openai/openai-python</w:t>
      </w:r>
    </w:p>
    <w:p>
      <w:pPr>
        <w:spacing w:after="120" w:before="120"/>
        <w:ind w:left="480" w:hanging="480"/>
      </w:pPr>
      <w:r>
        <w:rPr>
          <w:rFonts w:ascii="Arial" w:cs="Arial" w:eastAsia="Arial" w:hAnsi="Arial"/>
          <w:b/>
          <w:bCs/>
          <w:color w:val="2E5F8A"/>
          <w:sz w:val="19"/>
          <w:szCs w:val="19"/>
        </w:rPr>
        <w:t xml:space="preserve">[9]	</w:t>
      </w:r>
      <w:r>
        <w:rPr>
          <w:rFonts w:ascii="Arial" w:cs="Arial" w:eastAsia="Arial" w:hAnsi="Arial"/>
          <w:b w:val="false"/>
          <w:bCs w:val="false"/>
          <w:color w:val="222222"/>
          <w:sz w:val="19"/>
          <w:szCs w:val="19"/>
        </w:rPr>
        <w:t xml:space="preserve">REITZ, Kenneth and Python Software Foundation. </w:t>
      </w:r>
      <w:r>
        <w:rPr>
          <w:rFonts w:ascii="Arial" w:cs="Arial" w:eastAsia="Arial" w:hAnsi="Arial"/>
          <w:b w:val="false"/>
          <w:bCs w:val="false"/>
          <w:color w:val="222222"/>
          <w:sz w:val="19"/>
          <w:szCs w:val="19"/>
        </w:rPr>
        <w:t xml:space="preserve">Requests: HTTP for Humans</w:t>
      </w:r>
      <w:r>
        <w:rPr>
          <w:rFonts w:ascii="Arial" w:cs="Arial" w:eastAsia="Arial" w:hAnsi="Arial"/>
          <w:b w:val="false"/>
          <w:bCs w:val="false"/>
          <w:color w:val="222222"/>
          <w:sz w:val="19"/>
          <w:szCs w:val="19"/>
        </w:rPr>
        <w:t xml:space="preserve"> [software]. Version 2.31. 2023 [cited: 2025-11-01]. Available from: </w:t>
      </w:r>
      <w:r>
        <w:rPr>
          <w:rFonts w:ascii="Arial" w:cs="Arial" w:eastAsia="Arial" w:hAnsi="Arial"/>
          <w:b w:val="false"/>
          <w:bCs w:val="false"/>
          <w:color w:val="1A4A7A"/>
          <w:sz w:val="19"/>
          <w:szCs w:val="19"/>
          <w:u w:val="single"/>
        </w:rPr>
        <w:t xml:space="preserve">https://requests.readthedocs.io/</w:t>
      </w:r>
    </w:p>
    <w:p>
      <w:pPr>
        <w:spacing w:after="120" w:before="120"/>
        <w:ind w:left="480" w:hanging="480"/>
      </w:pPr>
      <w:r>
        <w:rPr>
          <w:rFonts w:ascii="Arial" w:cs="Arial" w:eastAsia="Arial" w:hAnsi="Arial"/>
          <w:b/>
          <w:bCs/>
          <w:color w:val="2E5F8A"/>
          <w:sz w:val="19"/>
          <w:szCs w:val="19"/>
        </w:rPr>
        <w:t xml:space="preserve">[10]	</w:t>
      </w:r>
      <w:r>
        <w:rPr>
          <w:rFonts w:ascii="Arial" w:cs="Arial" w:eastAsia="Arial" w:hAnsi="Arial"/>
          <w:b w:val="false"/>
          <w:bCs w:val="false"/>
          <w:color w:val="222222"/>
          <w:sz w:val="19"/>
          <w:szCs w:val="19"/>
        </w:rPr>
        <w:t xml:space="preserve">RICHARDSON, Leonard. </w:t>
      </w:r>
      <w:r>
        <w:rPr>
          <w:rFonts w:ascii="Arial" w:cs="Arial" w:eastAsia="Arial" w:hAnsi="Arial"/>
          <w:b w:val="false"/>
          <w:bCs w:val="false"/>
          <w:color w:val="222222"/>
          <w:sz w:val="19"/>
          <w:szCs w:val="19"/>
        </w:rPr>
        <w:t xml:space="preserve">Beautiful Soup</w:t>
      </w:r>
      <w:r>
        <w:rPr>
          <w:rFonts w:ascii="Arial" w:cs="Arial" w:eastAsia="Arial" w:hAnsi="Arial"/>
          <w:b w:val="false"/>
          <w:bCs w:val="false"/>
          <w:color w:val="222222"/>
          <w:sz w:val="19"/>
          <w:szCs w:val="19"/>
        </w:rPr>
        <w:t xml:space="preserve"> [software]. Version 4.12. 2023 [cited: 2025-11-01]. Available from: </w:t>
      </w:r>
      <w:r>
        <w:rPr>
          <w:rFonts w:ascii="Arial" w:cs="Arial" w:eastAsia="Arial" w:hAnsi="Arial"/>
          <w:b w:val="false"/>
          <w:bCs w:val="false"/>
          <w:color w:val="1A4A7A"/>
          <w:sz w:val="19"/>
          <w:szCs w:val="19"/>
          <w:u w:val="single"/>
        </w:rPr>
        <w:t xml:space="preserve">https://www.crummy.com/software/BeautifulSoup/bs4/</w:t>
      </w:r>
    </w:p>
    <w:p>
      <w:pPr>
        <w:spacing w:after="120" w:before="120"/>
        <w:ind w:left="480" w:hanging="480"/>
      </w:pPr>
      <w:r>
        <w:rPr>
          <w:rFonts w:ascii="Arial" w:cs="Arial" w:eastAsia="Arial" w:hAnsi="Arial"/>
          <w:b/>
          <w:bCs/>
          <w:color w:val="2E5F8A"/>
          <w:sz w:val="19"/>
          <w:szCs w:val="19"/>
        </w:rPr>
        <w:t xml:space="preserve">[11]	</w:t>
      </w:r>
      <w:r>
        <w:rPr>
          <w:rFonts w:ascii="Arial" w:cs="Arial" w:eastAsia="Arial" w:hAnsi="Arial"/>
          <w:b w:val="false"/>
          <w:bCs w:val="false"/>
          <w:color w:val="222222"/>
          <w:sz w:val="19"/>
          <w:szCs w:val="19"/>
        </w:rPr>
        <w:t xml:space="preserve">SIMONOV, Kirill. </w:t>
      </w:r>
      <w:r>
        <w:rPr>
          <w:rFonts w:ascii="Arial" w:cs="Arial" w:eastAsia="Arial" w:hAnsi="Arial"/>
          <w:b w:val="false"/>
          <w:bCs w:val="false"/>
          <w:color w:val="222222"/>
          <w:sz w:val="19"/>
          <w:szCs w:val="19"/>
        </w:rPr>
        <w:t xml:space="preserve">PyYAML</w:t>
      </w:r>
      <w:r>
        <w:rPr>
          <w:rFonts w:ascii="Arial" w:cs="Arial" w:eastAsia="Arial" w:hAnsi="Arial"/>
          <w:b w:val="false"/>
          <w:bCs w:val="false"/>
          <w:color w:val="222222"/>
          <w:sz w:val="19"/>
          <w:szCs w:val="19"/>
        </w:rPr>
        <w:t xml:space="preserve"> [software]. Version 6.0. 2023 [cited: 2025-11-01]. Available from: </w:t>
      </w:r>
      <w:r>
        <w:rPr>
          <w:rFonts w:ascii="Arial" w:cs="Arial" w:eastAsia="Arial" w:hAnsi="Arial"/>
          <w:b w:val="false"/>
          <w:bCs w:val="false"/>
          <w:color w:val="1A4A7A"/>
          <w:sz w:val="19"/>
          <w:szCs w:val="19"/>
          <w:u w:val="single"/>
        </w:rPr>
        <w:t xml:space="preserve">https://pyyaml.org/</w:t>
      </w:r>
    </w:p>
    <w:p>
      <w:pPr>
        <w:spacing w:after="120" w:before="120"/>
        <w:ind w:left="480" w:hanging="480"/>
      </w:pPr>
      <w:r>
        <w:rPr>
          <w:rFonts w:ascii="Arial" w:cs="Arial" w:eastAsia="Arial" w:hAnsi="Arial"/>
          <w:b/>
          <w:bCs/>
          <w:color w:val="2E5F8A"/>
          <w:sz w:val="19"/>
          <w:szCs w:val="19"/>
        </w:rPr>
        <w:t xml:space="preserve">[12]	</w:t>
      </w:r>
      <w:r>
        <w:rPr>
          <w:rFonts w:ascii="Arial" w:cs="Arial" w:eastAsia="Arial" w:hAnsi="Arial"/>
          <w:b w:val="false"/>
          <w:bCs w:val="false"/>
          <w:color w:val="222222"/>
          <w:sz w:val="19"/>
          <w:szCs w:val="19"/>
        </w:rPr>
        <w:t xml:space="preserve">SINGH, Vikash. Replace or retrieve keywords in documents at scale using FlashText. </w:t>
      </w:r>
      <w:r>
        <w:rPr>
          <w:rFonts w:ascii="Arial" w:cs="Arial" w:eastAsia="Arial" w:hAnsi="Arial"/>
          <w:b w:val="false"/>
          <w:bCs w:val="false"/>
          <w:color w:val="222222"/>
          <w:sz w:val="19"/>
          <w:szCs w:val="19"/>
        </w:rPr>
        <w:t xml:space="preserve">arXiv</w:t>
      </w:r>
      <w:r>
        <w:rPr>
          <w:rFonts w:ascii="Arial" w:cs="Arial" w:eastAsia="Arial" w:hAnsi="Arial"/>
          <w:b w:val="false"/>
          <w:bCs w:val="false"/>
          <w:color w:val="222222"/>
          <w:sz w:val="19"/>
          <w:szCs w:val="19"/>
        </w:rPr>
        <w:t xml:space="preserve"> [online]. 2017, arXiv:1711.00046 [cited: 2025-11-01]. Available from: </w:t>
      </w:r>
      <w:r>
        <w:rPr>
          <w:rFonts w:ascii="Arial" w:cs="Arial" w:eastAsia="Arial" w:hAnsi="Arial"/>
          <w:b w:val="false"/>
          <w:bCs w:val="false"/>
          <w:color w:val="1A4A7A"/>
          <w:sz w:val="19"/>
          <w:szCs w:val="19"/>
          <w:u w:val="single"/>
        </w:rPr>
        <w:t xml:space="preserve">https://arxiv.org/abs/1711.00046</w:t>
      </w:r>
    </w:p>
    <w:p>
      <w:pPr>
        <w:spacing w:after="120" w:before="120"/>
        <w:ind w:left="480" w:hanging="480"/>
      </w:pPr>
      <w:r>
        <w:rPr>
          <w:rFonts w:ascii="Arial" w:cs="Arial" w:eastAsia="Arial" w:hAnsi="Arial"/>
          <w:b/>
          <w:bCs/>
          <w:color w:val="2E5F8A"/>
          <w:sz w:val="19"/>
          <w:szCs w:val="19"/>
        </w:rPr>
        <w:t xml:space="preserve">[13]	</w:t>
      </w:r>
      <w:r>
        <w:rPr>
          <w:rFonts w:ascii="Arial" w:cs="Arial" w:eastAsia="Arial" w:hAnsi="Arial"/>
          <w:b w:val="false"/>
          <w:bCs w:val="false"/>
          <w:color w:val="222222"/>
          <w:sz w:val="19"/>
          <w:szCs w:val="19"/>
        </w:rPr>
        <w:t xml:space="preserve">WASKOM, Michael L. seaborn: Statistical data visualization. </w:t>
      </w:r>
      <w:r>
        <w:rPr>
          <w:rFonts w:ascii="Arial" w:cs="Arial" w:eastAsia="Arial" w:hAnsi="Arial"/>
          <w:b w:val="false"/>
          <w:bCs w:val="false"/>
          <w:color w:val="222222"/>
          <w:sz w:val="19"/>
          <w:szCs w:val="19"/>
        </w:rPr>
        <w:t xml:space="preserve">Journal of Open Source Software</w:t>
      </w:r>
      <w:r>
        <w:rPr>
          <w:rFonts w:ascii="Arial" w:cs="Arial" w:eastAsia="Arial" w:hAnsi="Arial"/>
          <w:b w:val="false"/>
          <w:bCs w:val="false"/>
          <w:color w:val="222222"/>
          <w:sz w:val="19"/>
          <w:szCs w:val="19"/>
        </w:rPr>
        <w:t xml:space="preserve"> [online]. 2021, </w:t>
      </w:r>
      <w:r>
        <w:rPr>
          <w:rFonts w:ascii="Arial" w:cs="Arial" w:eastAsia="Arial" w:hAnsi="Arial"/>
          <w:b/>
          <w:bCs/>
          <w:color w:val="222222"/>
          <w:sz w:val="19"/>
          <w:szCs w:val="19"/>
        </w:rPr>
        <w:t xml:space="preserve">6</w:t>
      </w:r>
      <w:r>
        <w:rPr>
          <w:rFonts w:ascii="Arial" w:cs="Arial" w:eastAsia="Arial" w:hAnsi="Arial"/>
          <w:b w:val="false"/>
          <w:bCs w:val="false"/>
          <w:color w:val="222222"/>
          <w:sz w:val="19"/>
          <w:szCs w:val="19"/>
        </w:rPr>
        <w:t xml:space="preserve">(60), 3021 [cited: 2025-11-01]. DOI: </w:t>
      </w:r>
      <w:r>
        <w:rPr>
          <w:rFonts w:ascii="Arial" w:cs="Arial" w:eastAsia="Arial" w:hAnsi="Arial"/>
          <w:b w:val="false"/>
          <w:bCs w:val="false"/>
          <w:color w:val="1A4A7A"/>
          <w:sz w:val="19"/>
          <w:szCs w:val="19"/>
          <w:u w:val="single"/>
        </w:rPr>
        <w:t xml:space="preserve">10.21105/joss.03021</w:t>
      </w:r>
    </w:p>
    <w:p>
      <w:pPr>
        <w:spacing w:after="120" w:before="120"/>
        <w:ind w:left="480" w:hanging="480"/>
      </w:pPr>
      <w:r>
        <w:rPr>
          <w:rFonts w:ascii="Arial" w:cs="Arial" w:eastAsia="Arial" w:hAnsi="Arial"/>
          <w:b/>
          <w:bCs/>
          <w:color w:val="2E5F8A"/>
          <w:sz w:val="19"/>
          <w:szCs w:val="19"/>
        </w:rPr>
        <w:t xml:space="preserve">[14]	</w:t>
      </w:r>
      <w:r>
        <w:rPr>
          <w:rFonts w:ascii="Arial" w:cs="Arial" w:eastAsia="Arial" w:hAnsi="Arial"/>
          <w:b w:val="false"/>
          <w:bCs w:val="false"/>
          <w:color w:val="222222"/>
          <w:sz w:val="19"/>
          <w:szCs w:val="19"/>
        </w:rPr>
        <w:t xml:space="preserve">ZARATIANA, Urchade, Nadi TOMEH, Pierre HOLAT and Thierry CHARNOIS. GLiNER: Generalist model for named entity recognition using bidirectional transformer. In: </w:t>
      </w:r>
      <w:r>
        <w:rPr>
          <w:rFonts w:ascii="Arial" w:cs="Arial" w:eastAsia="Arial" w:hAnsi="Arial"/>
          <w:b w:val="false"/>
          <w:bCs w:val="false"/>
          <w:color w:val="222222"/>
          <w:sz w:val="19"/>
          <w:szCs w:val="19"/>
        </w:rPr>
        <w:t xml:space="preserve">Proceedings of the 2024 Conference of the North American Chapter of the Association for Computational Linguistics (NAACL 2024)</w:t>
      </w:r>
      <w:r>
        <w:rPr>
          <w:rFonts w:ascii="Arial" w:cs="Arial" w:eastAsia="Arial" w:hAnsi="Arial"/>
          <w:b w:val="false"/>
          <w:bCs w:val="false"/>
          <w:color w:val="222222"/>
          <w:sz w:val="19"/>
          <w:szCs w:val="19"/>
        </w:rPr>
        <w:t xml:space="preserve"> [online]. 2024 [cited: 2025-11-01]. Available from: </w:t>
      </w:r>
      <w:r>
        <w:rPr>
          <w:rFonts w:ascii="Arial" w:cs="Arial" w:eastAsia="Arial" w:hAnsi="Arial"/>
          <w:b w:val="false"/>
          <w:bCs w:val="false"/>
          <w:color w:val="1A4A7A"/>
          <w:sz w:val="19"/>
          <w:szCs w:val="19"/>
          <w:u w:val="single"/>
        </w:rPr>
        <w:t xml:space="preserve">https://arxiv.org/abs/2311.08526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4F0" w:sz="4"/>
      </w:pBdr>
      <w:jc w:val="right"/>
    </w:pPr>
    <w:r>
      <w:rPr>
        <w:rFonts w:ascii="Arial" w:cs="Arial" w:eastAsia="Arial" w:hAnsi="Arial"/>
        <w:color w:val="888888"/>
        <w:sz w:val="16"/>
        <w:szCs w:val="16"/>
      </w:rPr>
      <w:t xml:space="preserve">Czech Climate NGO Network Study  |  p.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4F0" w:sz="4"/>
      </w:pBdr>
    </w:pPr>
    <w:r>
      <w:rPr>
        <w:rFonts w:ascii="Arial" w:cs="Arial" w:eastAsia="Arial" w:hAnsi="Arial"/>
        <w:color w:val="888888"/>
        <w:sz w:val="16"/>
        <w:szCs w:val="16"/>
      </w:rPr>
      <w:t xml:space="preserve">Appendix B — Pipeline Scripts &amp; Library Bibliography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32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2026-04-15T13:47:33.243Z</dcterms:created>
  <dcterms:modified xsi:type="dcterms:W3CDTF">2026-04-15T13:47:33.244Z</dcterms:modified>
</cp:coreProperties>
</file>

<file path=docProps/custom.xml><?xml version="1.0" encoding="utf-8"?>
<Properties xmlns="http://schemas.openxmlformats.org/officeDocument/2006/custom-properties" xmlns:vt="http://schemas.openxmlformats.org/officeDocument/2006/docPropsVTypes"/>
</file>