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A6D7" w14:textId="77777777" w:rsidR="006C1CD8" w:rsidRDefault="006C1CD8">
      <w:pPr>
        <w:spacing w:before="2400"/>
      </w:pPr>
    </w:p>
    <w:p w14:paraId="20CE5648" w14:textId="77777777" w:rsidR="006C1CD8" w:rsidRDefault="00000000">
      <w:pPr>
        <w:spacing w:after="120"/>
        <w:jc w:val="center"/>
      </w:pPr>
      <w:r>
        <w:rPr>
          <w:b/>
          <w:bCs/>
          <w:sz w:val="40"/>
          <w:szCs w:val="40"/>
        </w:rPr>
        <w:t>Effective Response-Sector Stress–Energy as an Alternative to Galactic Dark Matter:</w:t>
      </w:r>
    </w:p>
    <w:p w14:paraId="26D0C945" w14:textId="77777777" w:rsidR="006C1CD8" w:rsidRDefault="00000000">
      <w:pPr>
        <w:spacing w:after="480"/>
        <w:jc w:val="center"/>
      </w:pPr>
      <w:r>
        <w:rPr>
          <w:b/>
          <w:bCs/>
          <w:sz w:val="36"/>
          <w:szCs w:val="36"/>
        </w:rPr>
        <w:t>An Inverse-GR Framework Tested Against 175 SPARC Galaxies</w:t>
      </w:r>
    </w:p>
    <w:p w14:paraId="32C62FFD" w14:textId="77777777" w:rsidR="006C1CD8" w:rsidRDefault="00000000">
      <w:pPr>
        <w:spacing w:after="60"/>
        <w:jc w:val="center"/>
      </w:pPr>
      <w:r>
        <w:rPr>
          <w:sz w:val="28"/>
          <w:szCs w:val="28"/>
        </w:rPr>
        <w:t>Robert D. Kitcey</w:t>
      </w:r>
    </w:p>
    <w:p w14:paraId="782BC12B" w14:textId="77777777" w:rsidR="006C1CD8" w:rsidRDefault="00000000">
      <w:pPr>
        <w:spacing w:after="60"/>
        <w:jc w:val="center"/>
      </w:pPr>
      <w:r>
        <w:rPr>
          <w:i/>
          <w:iCs/>
        </w:rPr>
        <w:t>Lernaean Research™</w:t>
      </w:r>
    </w:p>
    <w:p w14:paraId="419E7AAB" w14:textId="77777777" w:rsidR="006C1CD8" w:rsidRDefault="00000000">
      <w:pPr>
        <w:spacing w:after="60"/>
        <w:jc w:val="center"/>
      </w:pPr>
      <w:r>
        <w:rPr>
          <w:sz w:val="22"/>
          <w:szCs w:val="22"/>
        </w:rPr>
        <w:t>ORCID: 0009-0004-8679-9155</w:t>
      </w:r>
    </w:p>
    <w:p w14:paraId="77D4C942" w14:textId="77777777" w:rsidR="006C1CD8" w:rsidRDefault="00000000">
      <w:pPr>
        <w:spacing w:after="360"/>
        <w:jc w:val="center"/>
      </w:pPr>
      <w:r>
        <w:rPr>
          <w:sz w:val="22"/>
          <w:szCs w:val="22"/>
        </w:rPr>
        <w:t>rkitcey@lernaean.net</w:t>
      </w:r>
    </w:p>
    <w:p w14:paraId="3939F2B2" w14:textId="77777777" w:rsidR="006C1CD8" w:rsidRDefault="00000000">
      <w:pPr>
        <w:spacing w:after="120"/>
        <w:jc w:val="center"/>
      </w:pPr>
      <w:r>
        <w:t>February 2026</w:t>
      </w:r>
    </w:p>
    <w:p w14:paraId="7F206B1B" w14:textId="77777777" w:rsidR="006C1CD8" w:rsidRDefault="00000000">
      <w:pPr>
        <w:spacing w:after="600"/>
        <w:jc w:val="center"/>
      </w:pPr>
      <w:r>
        <w:rPr>
          <w:i/>
          <w:iCs/>
          <w:sz w:val="22"/>
          <w:szCs w:val="22"/>
        </w:rPr>
        <w:t>Draft v5.0.0</w:t>
      </w:r>
    </w:p>
    <w:p w14:paraId="19B9DFD9" w14:textId="77777777" w:rsidR="006C1CD8" w:rsidRDefault="00000000">
      <w:pPr>
        <w:pStyle w:val="Heading1"/>
      </w:pPr>
      <w:bookmarkStart w:id="0" w:name="_Toc222589261"/>
      <w:r>
        <w:t>Executive Summary</w:t>
      </w:r>
      <w:bookmarkEnd w:id="0"/>
    </w:p>
    <w:p w14:paraId="0ACD572F" w14:textId="77777777" w:rsidR="006C1CD8" w:rsidRDefault="00000000">
      <w:pPr>
        <w:spacing w:after="200" w:line="276" w:lineRule="auto"/>
      </w:pPr>
      <w:r>
        <w:t>The dark-matter paradigm explains galactic rotation curve anomalies by postulating a new, non-luminous matter component. Despite decades of null results in direct, indirect, and collider searches, the hypothesis persists largely because no comparably rigorous alternative has been tested against the full breadth of observational data. This paper develops and tests such an alternative. We keep the Einstein tensor standard (general relativity) and do not assume particulate cold dark matter (CDM). Instead, we use observed galactic phenomenology—rotation curves from the SPARC database of 175 galaxies—to infer the effective potentials and effective stress–energy required on the right-hand side of the Einstein equation, then compress that freedom with a low-degree-of-freedom “intrinsic medium response” closure.</w:t>
      </w:r>
    </w:p>
    <w:p w14:paraId="13DE96CC" w14:textId="199AF43F" w:rsidR="004077E5" w:rsidRDefault="00000000">
      <w:pPr>
        <w:spacing w:after="200" w:line="276" w:lineRule="auto"/>
      </w:pPr>
      <w:r>
        <w:t xml:space="preserve">The organizing principle is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t xml:space="preserve">, where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00C94556">
        <w:t xml:space="preserve"> </w:t>
      </w:r>
      <w:r>
        <w:t xml:space="preserve">is the response-sector stress–energy that </w:t>
      </w:r>
    </w:p>
    <w:p w14:paraId="41C5BEB2" w14:textId="5A3180D0" w:rsidR="004077E5" w:rsidRDefault="00000000" w:rsidP="004077E5">
      <w:pPr>
        <w:pStyle w:val="ListParagraph"/>
        <w:numPr>
          <w:ilvl w:val="0"/>
          <w:numId w:val="2"/>
        </w:numPr>
        <w:spacing w:after="200" w:line="276" w:lineRule="auto"/>
      </w:pPr>
      <w:r>
        <w:t xml:space="preserve">explains galaxy halo phenomenology without particulate CDM, and </w:t>
      </w:r>
    </w:p>
    <w:p w14:paraId="2F57D69E" w14:textId="77777777" w:rsidR="004077E5" w:rsidRDefault="00000000" w:rsidP="004077E5">
      <w:pPr>
        <w:pStyle w:val="ListParagraph"/>
        <w:numPr>
          <w:ilvl w:val="0"/>
          <w:numId w:val="2"/>
        </w:numPr>
        <w:spacing w:after="200" w:line="276" w:lineRule="auto"/>
      </w:pPr>
      <w:r>
        <w:lastRenderedPageBreak/>
        <w:t xml:space="preserve">admits a cosmological completion consistent with the empirical ΛCDM success set. </w:t>
      </w:r>
    </w:p>
    <w:p w14:paraId="02966744" w14:textId="2AE2A5BE" w:rsidR="006C1CD8" w:rsidRDefault="00000000" w:rsidP="004077E5">
      <w:pPr>
        <w:spacing w:after="200" w:line="276" w:lineRule="auto"/>
      </w:pPr>
      <w:r>
        <w:t xml:space="preserve">The response sector is activated near a baryonic boundary layer, produces an asymptotic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tail in the extra acceleration, and is described by ≤2 degrees of freedom per galaxy. Across 175 SPARC galaxies, 92% show very strong improvement over baryons-only, 97% pass BIC overfitting tests, and the baryonic Tully–Fisher relation emerges as a consequence rather than an imposed prior.</w:t>
      </w:r>
    </w:p>
    <w:p w14:paraId="5F04503A" w14:textId="77777777" w:rsidR="006C1CD8" w:rsidRDefault="00000000">
      <w:pPr>
        <w:spacing w:after="200" w:line="276" w:lineRule="auto"/>
      </w:pPr>
      <w:r>
        <w:t>We present explicit falsification criteria, discriminant tests (including lensing-facing statements and cosmological viability requirements), and a domain-partitioned roadmap from galaxy phenomenology through gravitational slip to large-scale structure. Claims are partitioned by domain: this work establishes the galaxy-domain closure and enumerates the cosmological completion requirements and discriminants.</w:t>
      </w:r>
    </w:p>
    <w:p w14:paraId="4386A793" w14:textId="77777777" w:rsidR="006C1CD8" w:rsidRDefault="00000000">
      <w:r>
        <w:br w:type="page"/>
      </w:r>
    </w:p>
    <w:p w14:paraId="1FD78F77" w14:textId="77777777" w:rsidR="006C1CD8" w:rsidRDefault="00000000">
      <w:pPr>
        <w:pStyle w:val="Heading1"/>
      </w:pPr>
      <w:bookmarkStart w:id="1" w:name="_Toc222589262"/>
      <w:r>
        <w:t>Table of Contents</w:t>
      </w:r>
      <w:bookmarkEnd w:id="1"/>
    </w:p>
    <w:sdt>
      <w:sdtPr>
        <w:alias w:val="Table of Contents"/>
        <w:id w:val="693200210"/>
      </w:sdtPr>
      <w:sdtContent>
        <w:p w14:paraId="2BA792A3" w14:textId="77777777" w:rsidR="004077E5" w:rsidRDefault="00000000">
          <w:pPr>
            <w:pStyle w:val="TOC1"/>
            <w:tabs>
              <w:tab w:val="right" w:leader="dot" w:pos="9350"/>
            </w:tabs>
            <w:rPr>
              <w:noProof/>
            </w:rPr>
          </w:pPr>
          <w:r>
            <w:fldChar w:fldCharType="begin"/>
          </w:r>
          <w:r>
            <w:instrText>TOC \h \o "1-3"</w:instrText>
          </w:r>
          <w:r>
            <w:fldChar w:fldCharType="separate"/>
          </w:r>
          <w:hyperlink w:anchor="_Toc222589261" w:history="1">
            <w:r w:rsidR="004077E5" w:rsidRPr="004A39DA">
              <w:rPr>
                <w:rStyle w:val="Hyperlink"/>
                <w:noProof/>
              </w:rPr>
              <w:t>Executive Summary</w:t>
            </w:r>
            <w:r w:rsidR="004077E5">
              <w:rPr>
                <w:noProof/>
              </w:rPr>
              <w:tab/>
            </w:r>
            <w:r w:rsidR="004077E5">
              <w:rPr>
                <w:noProof/>
              </w:rPr>
              <w:fldChar w:fldCharType="begin"/>
            </w:r>
            <w:r w:rsidR="004077E5">
              <w:rPr>
                <w:noProof/>
              </w:rPr>
              <w:instrText xml:space="preserve"> PAGEREF _Toc222589261 \h </w:instrText>
            </w:r>
            <w:r w:rsidR="004077E5">
              <w:rPr>
                <w:noProof/>
              </w:rPr>
            </w:r>
            <w:r w:rsidR="004077E5">
              <w:rPr>
                <w:noProof/>
              </w:rPr>
              <w:fldChar w:fldCharType="separate"/>
            </w:r>
            <w:r w:rsidR="004077E5">
              <w:rPr>
                <w:noProof/>
              </w:rPr>
              <w:t>1</w:t>
            </w:r>
            <w:r w:rsidR="004077E5">
              <w:rPr>
                <w:noProof/>
              </w:rPr>
              <w:fldChar w:fldCharType="end"/>
            </w:r>
          </w:hyperlink>
        </w:p>
        <w:p w14:paraId="56B138DA" w14:textId="77777777" w:rsidR="004077E5" w:rsidRDefault="004077E5">
          <w:pPr>
            <w:pStyle w:val="TOC1"/>
            <w:tabs>
              <w:tab w:val="right" w:leader="dot" w:pos="9350"/>
            </w:tabs>
            <w:rPr>
              <w:noProof/>
            </w:rPr>
          </w:pPr>
          <w:hyperlink w:anchor="_Toc222589262" w:history="1">
            <w:r w:rsidRPr="004A39DA">
              <w:rPr>
                <w:rStyle w:val="Hyperlink"/>
                <w:noProof/>
              </w:rPr>
              <w:t>Table of Contents</w:t>
            </w:r>
            <w:r>
              <w:rPr>
                <w:noProof/>
              </w:rPr>
              <w:tab/>
            </w:r>
            <w:r>
              <w:rPr>
                <w:noProof/>
              </w:rPr>
              <w:fldChar w:fldCharType="begin"/>
            </w:r>
            <w:r>
              <w:rPr>
                <w:noProof/>
              </w:rPr>
              <w:instrText xml:space="preserve"> PAGEREF _Toc222589262 \h </w:instrText>
            </w:r>
            <w:r>
              <w:rPr>
                <w:noProof/>
              </w:rPr>
            </w:r>
            <w:r>
              <w:rPr>
                <w:noProof/>
              </w:rPr>
              <w:fldChar w:fldCharType="separate"/>
            </w:r>
            <w:r>
              <w:rPr>
                <w:noProof/>
              </w:rPr>
              <w:t>3</w:t>
            </w:r>
            <w:r>
              <w:rPr>
                <w:noProof/>
              </w:rPr>
              <w:fldChar w:fldCharType="end"/>
            </w:r>
          </w:hyperlink>
        </w:p>
        <w:p w14:paraId="67DEE187" w14:textId="77777777" w:rsidR="004077E5" w:rsidRDefault="004077E5">
          <w:pPr>
            <w:pStyle w:val="TOC1"/>
            <w:tabs>
              <w:tab w:val="right" w:leader="dot" w:pos="9350"/>
            </w:tabs>
            <w:rPr>
              <w:noProof/>
            </w:rPr>
          </w:pPr>
          <w:hyperlink w:anchor="_Toc222589263" w:history="1">
            <w:r w:rsidRPr="004A39DA">
              <w:rPr>
                <w:rStyle w:val="Hyperlink"/>
                <w:noProof/>
              </w:rPr>
              <w:t>Abstract</w:t>
            </w:r>
            <w:r>
              <w:rPr>
                <w:noProof/>
              </w:rPr>
              <w:tab/>
            </w:r>
            <w:r>
              <w:rPr>
                <w:noProof/>
              </w:rPr>
              <w:fldChar w:fldCharType="begin"/>
            </w:r>
            <w:r>
              <w:rPr>
                <w:noProof/>
              </w:rPr>
              <w:instrText xml:space="preserve"> PAGEREF _Toc222589263 \h </w:instrText>
            </w:r>
            <w:r>
              <w:rPr>
                <w:noProof/>
              </w:rPr>
            </w:r>
            <w:r>
              <w:rPr>
                <w:noProof/>
              </w:rPr>
              <w:fldChar w:fldCharType="separate"/>
            </w:r>
            <w:r>
              <w:rPr>
                <w:noProof/>
              </w:rPr>
              <w:t>5</w:t>
            </w:r>
            <w:r>
              <w:rPr>
                <w:noProof/>
              </w:rPr>
              <w:fldChar w:fldCharType="end"/>
            </w:r>
          </w:hyperlink>
        </w:p>
        <w:p w14:paraId="6C7EEC2E" w14:textId="77777777" w:rsidR="004077E5" w:rsidRDefault="004077E5">
          <w:pPr>
            <w:pStyle w:val="TOC1"/>
            <w:tabs>
              <w:tab w:val="right" w:leader="dot" w:pos="9350"/>
            </w:tabs>
            <w:rPr>
              <w:noProof/>
            </w:rPr>
          </w:pPr>
          <w:hyperlink w:anchor="_Toc222589264" w:history="1">
            <w:r w:rsidRPr="004A39DA">
              <w:rPr>
                <w:rStyle w:val="Hyperlink"/>
                <w:noProof/>
              </w:rPr>
              <w:t>1. Introduction</w:t>
            </w:r>
            <w:r>
              <w:rPr>
                <w:noProof/>
              </w:rPr>
              <w:tab/>
            </w:r>
            <w:r>
              <w:rPr>
                <w:noProof/>
              </w:rPr>
              <w:fldChar w:fldCharType="begin"/>
            </w:r>
            <w:r>
              <w:rPr>
                <w:noProof/>
              </w:rPr>
              <w:instrText xml:space="preserve"> PAGEREF _Toc222589264 \h </w:instrText>
            </w:r>
            <w:r>
              <w:rPr>
                <w:noProof/>
              </w:rPr>
            </w:r>
            <w:r>
              <w:rPr>
                <w:noProof/>
              </w:rPr>
              <w:fldChar w:fldCharType="separate"/>
            </w:r>
            <w:r>
              <w:rPr>
                <w:noProof/>
              </w:rPr>
              <w:t>6</w:t>
            </w:r>
            <w:r>
              <w:rPr>
                <w:noProof/>
              </w:rPr>
              <w:fldChar w:fldCharType="end"/>
            </w:r>
          </w:hyperlink>
        </w:p>
        <w:p w14:paraId="5C378F61" w14:textId="77777777" w:rsidR="004077E5" w:rsidRDefault="004077E5">
          <w:pPr>
            <w:pStyle w:val="TOC1"/>
            <w:tabs>
              <w:tab w:val="right" w:leader="dot" w:pos="9350"/>
            </w:tabs>
            <w:rPr>
              <w:noProof/>
            </w:rPr>
          </w:pPr>
          <w:hyperlink w:anchor="_Toc222589265" w:history="1">
            <w:r w:rsidRPr="004A39DA">
              <w:rPr>
                <w:rStyle w:val="Hyperlink"/>
                <w:noProof/>
              </w:rPr>
              <w:t>2. From Phenomenology to Effective Source: The Inverse-GR Construction</w:t>
            </w:r>
            <w:r>
              <w:rPr>
                <w:noProof/>
              </w:rPr>
              <w:tab/>
            </w:r>
            <w:r>
              <w:rPr>
                <w:noProof/>
              </w:rPr>
              <w:fldChar w:fldCharType="begin"/>
            </w:r>
            <w:r>
              <w:rPr>
                <w:noProof/>
              </w:rPr>
              <w:instrText xml:space="preserve"> PAGEREF _Toc222589265 \h </w:instrText>
            </w:r>
            <w:r>
              <w:rPr>
                <w:noProof/>
              </w:rPr>
            </w:r>
            <w:r>
              <w:rPr>
                <w:noProof/>
              </w:rPr>
              <w:fldChar w:fldCharType="separate"/>
            </w:r>
            <w:r>
              <w:rPr>
                <w:noProof/>
              </w:rPr>
              <w:t>8</w:t>
            </w:r>
            <w:r>
              <w:rPr>
                <w:noProof/>
              </w:rPr>
              <w:fldChar w:fldCharType="end"/>
            </w:r>
          </w:hyperlink>
        </w:p>
        <w:p w14:paraId="5A846104" w14:textId="77777777" w:rsidR="004077E5" w:rsidRDefault="004077E5">
          <w:pPr>
            <w:pStyle w:val="TOC2"/>
            <w:tabs>
              <w:tab w:val="right" w:leader="dot" w:pos="9350"/>
            </w:tabs>
            <w:rPr>
              <w:noProof/>
            </w:rPr>
          </w:pPr>
          <w:hyperlink w:anchor="_Toc222589266" w:history="1">
            <w:r w:rsidRPr="004A39DA">
              <w:rPr>
                <w:rStyle w:val="Hyperlink"/>
                <w:noProof/>
              </w:rPr>
              <w:t>2.1 Kinematics to Required Radial Acceleration</w:t>
            </w:r>
            <w:r>
              <w:rPr>
                <w:noProof/>
              </w:rPr>
              <w:tab/>
            </w:r>
            <w:r>
              <w:rPr>
                <w:noProof/>
              </w:rPr>
              <w:fldChar w:fldCharType="begin"/>
            </w:r>
            <w:r>
              <w:rPr>
                <w:noProof/>
              </w:rPr>
              <w:instrText xml:space="preserve"> PAGEREF _Toc222589266 \h </w:instrText>
            </w:r>
            <w:r>
              <w:rPr>
                <w:noProof/>
              </w:rPr>
            </w:r>
            <w:r>
              <w:rPr>
                <w:noProof/>
              </w:rPr>
              <w:fldChar w:fldCharType="separate"/>
            </w:r>
            <w:r>
              <w:rPr>
                <w:noProof/>
              </w:rPr>
              <w:t>8</w:t>
            </w:r>
            <w:r>
              <w:rPr>
                <w:noProof/>
              </w:rPr>
              <w:fldChar w:fldCharType="end"/>
            </w:r>
          </w:hyperlink>
        </w:p>
        <w:p w14:paraId="238ABC0F" w14:textId="77777777" w:rsidR="004077E5" w:rsidRDefault="004077E5">
          <w:pPr>
            <w:pStyle w:val="TOC2"/>
            <w:tabs>
              <w:tab w:val="right" w:leader="dot" w:pos="9350"/>
            </w:tabs>
            <w:rPr>
              <w:noProof/>
            </w:rPr>
          </w:pPr>
          <w:hyperlink w:anchor="_Toc222589267" w:history="1">
            <w:r w:rsidRPr="004A39DA">
              <w:rPr>
                <w:rStyle w:val="Hyperlink"/>
                <w:noProof/>
              </w:rPr>
              <w:t>2.2 Weak-Field Metric Potentials</w:t>
            </w:r>
            <w:r>
              <w:rPr>
                <w:noProof/>
              </w:rPr>
              <w:tab/>
            </w:r>
            <w:r>
              <w:rPr>
                <w:noProof/>
              </w:rPr>
              <w:fldChar w:fldCharType="begin"/>
            </w:r>
            <w:r>
              <w:rPr>
                <w:noProof/>
              </w:rPr>
              <w:instrText xml:space="preserve"> PAGEREF _Toc222589267 \h </w:instrText>
            </w:r>
            <w:r>
              <w:rPr>
                <w:noProof/>
              </w:rPr>
            </w:r>
            <w:r>
              <w:rPr>
                <w:noProof/>
              </w:rPr>
              <w:fldChar w:fldCharType="separate"/>
            </w:r>
            <w:r>
              <w:rPr>
                <w:noProof/>
              </w:rPr>
              <w:t>8</w:t>
            </w:r>
            <w:r>
              <w:rPr>
                <w:noProof/>
              </w:rPr>
              <w:fldChar w:fldCharType="end"/>
            </w:r>
          </w:hyperlink>
        </w:p>
        <w:p w14:paraId="1C5D4A9E" w14:textId="77777777" w:rsidR="004077E5" w:rsidRDefault="004077E5">
          <w:pPr>
            <w:pStyle w:val="TOC2"/>
            <w:tabs>
              <w:tab w:val="right" w:leader="dot" w:pos="9350"/>
            </w:tabs>
            <w:rPr>
              <w:noProof/>
            </w:rPr>
          </w:pPr>
          <w:hyperlink w:anchor="_Toc222589268" w:history="1">
            <w:r w:rsidRPr="004A39DA">
              <w:rPr>
                <w:rStyle w:val="Hyperlink"/>
                <w:noProof/>
              </w:rPr>
              <w:t>2.3 Effective Enclosed Mass and Density</w:t>
            </w:r>
            <w:r>
              <w:rPr>
                <w:noProof/>
              </w:rPr>
              <w:tab/>
            </w:r>
            <w:r>
              <w:rPr>
                <w:noProof/>
              </w:rPr>
              <w:fldChar w:fldCharType="begin"/>
            </w:r>
            <w:r>
              <w:rPr>
                <w:noProof/>
              </w:rPr>
              <w:instrText xml:space="preserve"> PAGEREF _Toc222589268 \h </w:instrText>
            </w:r>
            <w:r>
              <w:rPr>
                <w:noProof/>
              </w:rPr>
            </w:r>
            <w:r>
              <w:rPr>
                <w:noProof/>
              </w:rPr>
              <w:fldChar w:fldCharType="separate"/>
            </w:r>
            <w:r>
              <w:rPr>
                <w:noProof/>
              </w:rPr>
              <w:t>8</w:t>
            </w:r>
            <w:r>
              <w:rPr>
                <w:noProof/>
              </w:rPr>
              <w:fldChar w:fldCharType="end"/>
            </w:r>
          </w:hyperlink>
        </w:p>
        <w:p w14:paraId="42044798" w14:textId="77777777" w:rsidR="004077E5" w:rsidRDefault="004077E5">
          <w:pPr>
            <w:pStyle w:val="TOC2"/>
            <w:tabs>
              <w:tab w:val="right" w:leader="dot" w:pos="9350"/>
            </w:tabs>
            <w:rPr>
              <w:noProof/>
            </w:rPr>
          </w:pPr>
          <w:hyperlink w:anchor="_Toc222589269" w:history="1">
            <w:r w:rsidRPr="004A39DA">
              <w:rPr>
                <w:rStyle w:val="Hyperlink"/>
                <w:noProof/>
              </w:rPr>
              <w:t>2.4 Effective Stress–Energy: What Is Being Added in GR</w:t>
            </w:r>
            <w:r>
              <w:rPr>
                <w:noProof/>
              </w:rPr>
              <w:tab/>
            </w:r>
            <w:r>
              <w:rPr>
                <w:noProof/>
              </w:rPr>
              <w:fldChar w:fldCharType="begin"/>
            </w:r>
            <w:r>
              <w:rPr>
                <w:noProof/>
              </w:rPr>
              <w:instrText xml:space="preserve"> PAGEREF _Toc222589269 \h </w:instrText>
            </w:r>
            <w:r>
              <w:rPr>
                <w:noProof/>
              </w:rPr>
            </w:r>
            <w:r>
              <w:rPr>
                <w:noProof/>
              </w:rPr>
              <w:fldChar w:fldCharType="separate"/>
            </w:r>
            <w:r>
              <w:rPr>
                <w:noProof/>
              </w:rPr>
              <w:t>9</w:t>
            </w:r>
            <w:r>
              <w:rPr>
                <w:noProof/>
              </w:rPr>
              <w:fldChar w:fldCharType="end"/>
            </w:r>
          </w:hyperlink>
        </w:p>
        <w:p w14:paraId="393B74E6" w14:textId="77777777" w:rsidR="004077E5" w:rsidRDefault="004077E5">
          <w:pPr>
            <w:pStyle w:val="TOC2"/>
            <w:tabs>
              <w:tab w:val="right" w:leader="dot" w:pos="9350"/>
            </w:tabs>
            <w:rPr>
              <w:noProof/>
            </w:rPr>
          </w:pPr>
          <w:hyperlink w:anchor="_Toc222589270" w:history="1">
            <w:r w:rsidRPr="004A39DA">
              <w:rPr>
                <w:rStyle w:val="Hyperlink"/>
                <w:noProof/>
              </w:rPr>
              <w:t>2.5 Conservation Constraint</w:t>
            </w:r>
            <w:r>
              <w:rPr>
                <w:noProof/>
              </w:rPr>
              <w:tab/>
            </w:r>
            <w:r>
              <w:rPr>
                <w:noProof/>
              </w:rPr>
              <w:fldChar w:fldCharType="begin"/>
            </w:r>
            <w:r>
              <w:rPr>
                <w:noProof/>
              </w:rPr>
              <w:instrText xml:space="preserve"> PAGEREF _Toc222589270 \h </w:instrText>
            </w:r>
            <w:r>
              <w:rPr>
                <w:noProof/>
              </w:rPr>
            </w:r>
            <w:r>
              <w:rPr>
                <w:noProof/>
              </w:rPr>
              <w:fldChar w:fldCharType="separate"/>
            </w:r>
            <w:r>
              <w:rPr>
                <w:noProof/>
              </w:rPr>
              <w:t>9</w:t>
            </w:r>
            <w:r>
              <w:rPr>
                <w:noProof/>
              </w:rPr>
              <w:fldChar w:fldCharType="end"/>
            </w:r>
          </w:hyperlink>
        </w:p>
        <w:p w14:paraId="39007DDD" w14:textId="77777777" w:rsidR="004077E5" w:rsidRDefault="004077E5">
          <w:pPr>
            <w:pStyle w:val="TOC1"/>
            <w:tabs>
              <w:tab w:val="right" w:leader="dot" w:pos="9350"/>
            </w:tabs>
            <w:rPr>
              <w:noProof/>
            </w:rPr>
          </w:pPr>
          <w:hyperlink w:anchor="_Toc222589271" w:history="1">
            <w:r w:rsidRPr="004A39DA">
              <w:rPr>
                <w:rStyle w:val="Hyperlink"/>
                <w:noProof/>
              </w:rPr>
              <w:t>3. Minimal Response-Sector Model Specification</w:t>
            </w:r>
            <w:r>
              <w:rPr>
                <w:noProof/>
              </w:rPr>
              <w:tab/>
            </w:r>
            <w:r>
              <w:rPr>
                <w:noProof/>
              </w:rPr>
              <w:fldChar w:fldCharType="begin"/>
            </w:r>
            <w:r>
              <w:rPr>
                <w:noProof/>
              </w:rPr>
              <w:instrText xml:space="preserve"> PAGEREF _Toc222589271 \h </w:instrText>
            </w:r>
            <w:r>
              <w:rPr>
                <w:noProof/>
              </w:rPr>
            </w:r>
            <w:r>
              <w:rPr>
                <w:noProof/>
              </w:rPr>
              <w:fldChar w:fldCharType="separate"/>
            </w:r>
            <w:r>
              <w:rPr>
                <w:noProof/>
              </w:rPr>
              <w:t>10</w:t>
            </w:r>
            <w:r>
              <w:rPr>
                <w:noProof/>
              </w:rPr>
              <w:fldChar w:fldCharType="end"/>
            </w:r>
          </w:hyperlink>
        </w:p>
        <w:p w14:paraId="62E946BF" w14:textId="77777777" w:rsidR="004077E5" w:rsidRDefault="004077E5">
          <w:pPr>
            <w:pStyle w:val="TOC2"/>
            <w:tabs>
              <w:tab w:val="right" w:leader="dot" w:pos="9350"/>
            </w:tabs>
            <w:rPr>
              <w:noProof/>
            </w:rPr>
          </w:pPr>
          <w:hyperlink w:anchor="_Toc222589272" w:history="1">
            <w:r w:rsidRPr="004A39DA">
              <w:rPr>
                <w:rStyle w:val="Hyperlink"/>
                <w:noProof/>
              </w:rPr>
              <w:t>3.1 Design Principles</w:t>
            </w:r>
            <w:r>
              <w:rPr>
                <w:noProof/>
              </w:rPr>
              <w:tab/>
            </w:r>
            <w:r>
              <w:rPr>
                <w:noProof/>
              </w:rPr>
              <w:fldChar w:fldCharType="begin"/>
            </w:r>
            <w:r>
              <w:rPr>
                <w:noProof/>
              </w:rPr>
              <w:instrText xml:space="preserve"> PAGEREF _Toc222589272 \h </w:instrText>
            </w:r>
            <w:r>
              <w:rPr>
                <w:noProof/>
              </w:rPr>
            </w:r>
            <w:r>
              <w:rPr>
                <w:noProof/>
              </w:rPr>
              <w:fldChar w:fldCharType="separate"/>
            </w:r>
            <w:r>
              <w:rPr>
                <w:noProof/>
              </w:rPr>
              <w:t>10</w:t>
            </w:r>
            <w:r>
              <w:rPr>
                <w:noProof/>
              </w:rPr>
              <w:fldChar w:fldCharType="end"/>
            </w:r>
          </w:hyperlink>
        </w:p>
        <w:p w14:paraId="2A4C07D2" w14:textId="77777777" w:rsidR="004077E5" w:rsidRDefault="004077E5">
          <w:pPr>
            <w:pStyle w:val="TOC2"/>
            <w:tabs>
              <w:tab w:val="right" w:leader="dot" w:pos="9350"/>
            </w:tabs>
            <w:rPr>
              <w:noProof/>
            </w:rPr>
          </w:pPr>
          <w:hyperlink w:anchor="_Toc222589273" w:history="1">
            <w:r w:rsidRPr="004A39DA">
              <w:rPr>
                <w:rStyle w:val="Hyperlink"/>
                <w:noProof/>
              </w:rPr>
              <w:t>3.2 Auxiliary-Field Boundary-Layer Model</w:t>
            </w:r>
            <w:r>
              <w:rPr>
                <w:noProof/>
              </w:rPr>
              <w:tab/>
            </w:r>
            <w:r>
              <w:rPr>
                <w:noProof/>
              </w:rPr>
              <w:fldChar w:fldCharType="begin"/>
            </w:r>
            <w:r>
              <w:rPr>
                <w:noProof/>
              </w:rPr>
              <w:instrText xml:space="preserve"> PAGEREF _Toc222589273 \h </w:instrText>
            </w:r>
            <w:r>
              <w:rPr>
                <w:noProof/>
              </w:rPr>
            </w:r>
            <w:r>
              <w:rPr>
                <w:noProof/>
              </w:rPr>
              <w:fldChar w:fldCharType="separate"/>
            </w:r>
            <w:r>
              <w:rPr>
                <w:noProof/>
              </w:rPr>
              <w:t>10</w:t>
            </w:r>
            <w:r>
              <w:rPr>
                <w:noProof/>
              </w:rPr>
              <w:fldChar w:fldCharType="end"/>
            </w:r>
          </w:hyperlink>
        </w:p>
        <w:p w14:paraId="41D4D57C" w14:textId="77777777" w:rsidR="004077E5" w:rsidRDefault="004077E5">
          <w:pPr>
            <w:pStyle w:val="TOC2"/>
            <w:tabs>
              <w:tab w:val="right" w:leader="dot" w:pos="9350"/>
            </w:tabs>
            <w:rPr>
              <w:noProof/>
            </w:rPr>
          </w:pPr>
          <w:hyperlink w:anchor="_Toc222589274" w:history="1">
            <w:r w:rsidRPr="004A39DA">
              <w:rPr>
                <w:rStyle w:val="Hyperlink"/>
                <w:noProof/>
              </w:rPr>
              <w:t>3.3 Operational Implementation</w:t>
            </w:r>
            <w:r>
              <w:rPr>
                <w:noProof/>
              </w:rPr>
              <w:tab/>
            </w:r>
            <w:r>
              <w:rPr>
                <w:noProof/>
              </w:rPr>
              <w:fldChar w:fldCharType="begin"/>
            </w:r>
            <w:r>
              <w:rPr>
                <w:noProof/>
              </w:rPr>
              <w:instrText xml:space="preserve"> PAGEREF _Toc222589274 \h </w:instrText>
            </w:r>
            <w:r>
              <w:rPr>
                <w:noProof/>
              </w:rPr>
            </w:r>
            <w:r>
              <w:rPr>
                <w:noProof/>
              </w:rPr>
              <w:fldChar w:fldCharType="separate"/>
            </w:r>
            <w:r>
              <w:rPr>
                <w:noProof/>
              </w:rPr>
              <w:t>10</w:t>
            </w:r>
            <w:r>
              <w:rPr>
                <w:noProof/>
              </w:rPr>
              <w:fldChar w:fldCharType="end"/>
            </w:r>
          </w:hyperlink>
        </w:p>
        <w:p w14:paraId="1D0ED9DB" w14:textId="77777777" w:rsidR="004077E5" w:rsidRDefault="004077E5">
          <w:pPr>
            <w:pStyle w:val="TOC2"/>
            <w:tabs>
              <w:tab w:val="right" w:leader="dot" w:pos="9350"/>
            </w:tabs>
            <w:rPr>
              <w:noProof/>
            </w:rPr>
          </w:pPr>
          <w:hyperlink w:anchor="_Toc222589275" w:history="1">
            <w:r w:rsidRPr="004A39DA">
              <w:rPr>
                <w:rStyle w:val="Hyperlink"/>
                <w:noProof/>
              </w:rPr>
              <w:t>3.4 The Constitutive “Gravitational Dielectric” Alternative</w:t>
            </w:r>
            <w:r>
              <w:rPr>
                <w:noProof/>
              </w:rPr>
              <w:tab/>
            </w:r>
            <w:r>
              <w:rPr>
                <w:noProof/>
              </w:rPr>
              <w:fldChar w:fldCharType="begin"/>
            </w:r>
            <w:r>
              <w:rPr>
                <w:noProof/>
              </w:rPr>
              <w:instrText xml:space="preserve"> PAGEREF _Toc222589275 \h </w:instrText>
            </w:r>
            <w:r>
              <w:rPr>
                <w:noProof/>
              </w:rPr>
            </w:r>
            <w:r>
              <w:rPr>
                <w:noProof/>
              </w:rPr>
              <w:fldChar w:fldCharType="separate"/>
            </w:r>
            <w:r>
              <w:rPr>
                <w:noProof/>
              </w:rPr>
              <w:t>10</w:t>
            </w:r>
            <w:r>
              <w:rPr>
                <w:noProof/>
              </w:rPr>
              <w:fldChar w:fldCharType="end"/>
            </w:r>
          </w:hyperlink>
        </w:p>
        <w:p w14:paraId="5DC857EF" w14:textId="77777777" w:rsidR="004077E5" w:rsidRDefault="004077E5">
          <w:pPr>
            <w:pStyle w:val="TOC2"/>
            <w:tabs>
              <w:tab w:val="right" w:leader="dot" w:pos="9350"/>
            </w:tabs>
            <w:rPr>
              <w:noProof/>
            </w:rPr>
          </w:pPr>
          <w:hyperlink w:anchor="_Toc222589276" w:history="1">
            <w:r w:rsidRPr="004A39DA">
              <w:rPr>
                <w:rStyle w:val="Hyperlink"/>
                <w:noProof/>
              </w:rPr>
              <w:t>3.5 Three Completion Routes</w:t>
            </w:r>
            <w:r>
              <w:rPr>
                <w:noProof/>
              </w:rPr>
              <w:tab/>
            </w:r>
            <w:r>
              <w:rPr>
                <w:noProof/>
              </w:rPr>
              <w:fldChar w:fldCharType="begin"/>
            </w:r>
            <w:r>
              <w:rPr>
                <w:noProof/>
              </w:rPr>
              <w:instrText xml:space="preserve"> PAGEREF _Toc222589276 \h </w:instrText>
            </w:r>
            <w:r>
              <w:rPr>
                <w:noProof/>
              </w:rPr>
            </w:r>
            <w:r>
              <w:rPr>
                <w:noProof/>
              </w:rPr>
              <w:fldChar w:fldCharType="separate"/>
            </w:r>
            <w:r>
              <w:rPr>
                <w:noProof/>
              </w:rPr>
              <w:t>11</w:t>
            </w:r>
            <w:r>
              <w:rPr>
                <w:noProof/>
              </w:rPr>
              <w:fldChar w:fldCharType="end"/>
            </w:r>
          </w:hyperlink>
        </w:p>
        <w:p w14:paraId="69E2608F" w14:textId="77777777" w:rsidR="004077E5" w:rsidRDefault="004077E5">
          <w:pPr>
            <w:pStyle w:val="TOC1"/>
            <w:tabs>
              <w:tab w:val="right" w:leader="dot" w:pos="9350"/>
            </w:tabs>
            <w:rPr>
              <w:noProof/>
            </w:rPr>
          </w:pPr>
          <w:hyperlink w:anchor="_Toc222589277" w:history="1">
            <w:r w:rsidRPr="004A39DA">
              <w:rPr>
                <w:rStyle w:val="Hyperlink"/>
                <w:noProof/>
              </w:rPr>
              <w:t>4. Data and Pipeline</w:t>
            </w:r>
            <w:r>
              <w:rPr>
                <w:noProof/>
              </w:rPr>
              <w:tab/>
            </w:r>
            <w:r>
              <w:rPr>
                <w:noProof/>
              </w:rPr>
              <w:fldChar w:fldCharType="begin"/>
            </w:r>
            <w:r>
              <w:rPr>
                <w:noProof/>
              </w:rPr>
              <w:instrText xml:space="preserve"> PAGEREF _Toc222589277 \h </w:instrText>
            </w:r>
            <w:r>
              <w:rPr>
                <w:noProof/>
              </w:rPr>
            </w:r>
            <w:r>
              <w:rPr>
                <w:noProof/>
              </w:rPr>
              <w:fldChar w:fldCharType="separate"/>
            </w:r>
            <w:r>
              <w:rPr>
                <w:noProof/>
              </w:rPr>
              <w:t>12</w:t>
            </w:r>
            <w:r>
              <w:rPr>
                <w:noProof/>
              </w:rPr>
              <w:fldChar w:fldCharType="end"/>
            </w:r>
          </w:hyperlink>
        </w:p>
        <w:p w14:paraId="2C9F4E01" w14:textId="77777777" w:rsidR="004077E5" w:rsidRDefault="004077E5">
          <w:pPr>
            <w:pStyle w:val="TOC2"/>
            <w:tabs>
              <w:tab w:val="right" w:leader="dot" w:pos="9350"/>
            </w:tabs>
            <w:rPr>
              <w:noProof/>
            </w:rPr>
          </w:pPr>
          <w:hyperlink w:anchor="_Toc222589278" w:history="1">
            <w:r w:rsidRPr="004A39DA">
              <w:rPr>
                <w:rStyle w:val="Hyperlink"/>
                <w:noProof/>
              </w:rPr>
              <w:t>4.1 The SPARC Database</w:t>
            </w:r>
            <w:r>
              <w:rPr>
                <w:noProof/>
              </w:rPr>
              <w:tab/>
            </w:r>
            <w:r>
              <w:rPr>
                <w:noProof/>
              </w:rPr>
              <w:fldChar w:fldCharType="begin"/>
            </w:r>
            <w:r>
              <w:rPr>
                <w:noProof/>
              </w:rPr>
              <w:instrText xml:space="preserve"> PAGEREF _Toc222589278 \h </w:instrText>
            </w:r>
            <w:r>
              <w:rPr>
                <w:noProof/>
              </w:rPr>
            </w:r>
            <w:r>
              <w:rPr>
                <w:noProof/>
              </w:rPr>
              <w:fldChar w:fldCharType="separate"/>
            </w:r>
            <w:r>
              <w:rPr>
                <w:noProof/>
              </w:rPr>
              <w:t>12</w:t>
            </w:r>
            <w:r>
              <w:rPr>
                <w:noProof/>
              </w:rPr>
              <w:fldChar w:fldCharType="end"/>
            </w:r>
          </w:hyperlink>
        </w:p>
        <w:p w14:paraId="76804018" w14:textId="77777777" w:rsidR="004077E5" w:rsidRDefault="004077E5">
          <w:pPr>
            <w:pStyle w:val="TOC2"/>
            <w:tabs>
              <w:tab w:val="right" w:leader="dot" w:pos="9350"/>
            </w:tabs>
            <w:rPr>
              <w:noProof/>
            </w:rPr>
          </w:pPr>
          <w:hyperlink w:anchor="_Toc222589279" w:history="1">
            <w:r w:rsidRPr="004A39DA">
              <w:rPr>
                <w:rStyle w:val="Hyperlink"/>
                <w:noProof/>
              </w:rPr>
              <w:t>4.2 Baryonic Velocity Construction</w:t>
            </w:r>
            <w:r>
              <w:rPr>
                <w:noProof/>
              </w:rPr>
              <w:tab/>
            </w:r>
            <w:r>
              <w:rPr>
                <w:noProof/>
              </w:rPr>
              <w:fldChar w:fldCharType="begin"/>
            </w:r>
            <w:r>
              <w:rPr>
                <w:noProof/>
              </w:rPr>
              <w:instrText xml:space="preserve"> PAGEREF _Toc222589279 \h </w:instrText>
            </w:r>
            <w:r>
              <w:rPr>
                <w:noProof/>
              </w:rPr>
            </w:r>
            <w:r>
              <w:rPr>
                <w:noProof/>
              </w:rPr>
              <w:fldChar w:fldCharType="separate"/>
            </w:r>
            <w:r>
              <w:rPr>
                <w:noProof/>
              </w:rPr>
              <w:t>12</w:t>
            </w:r>
            <w:r>
              <w:rPr>
                <w:noProof/>
              </w:rPr>
              <w:fldChar w:fldCharType="end"/>
            </w:r>
          </w:hyperlink>
        </w:p>
        <w:p w14:paraId="3127E0B7" w14:textId="77777777" w:rsidR="004077E5" w:rsidRDefault="004077E5">
          <w:pPr>
            <w:pStyle w:val="TOC2"/>
            <w:tabs>
              <w:tab w:val="right" w:leader="dot" w:pos="9350"/>
            </w:tabs>
            <w:rPr>
              <w:noProof/>
            </w:rPr>
          </w:pPr>
          <w:hyperlink w:anchor="_Toc222589280" w:history="1">
            <w:r w:rsidRPr="004A39DA">
              <w:rPr>
                <w:rStyle w:val="Hyperlink"/>
                <w:noProof/>
              </w:rPr>
              <w:t>4.3 Transition Radius Determination</w:t>
            </w:r>
            <w:r>
              <w:rPr>
                <w:noProof/>
              </w:rPr>
              <w:tab/>
            </w:r>
            <w:r>
              <w:rPr>
                <w:noProof/>
              </w:rPr>
              <w:fldChar w:fldCharType="begin"/>
            </w:r>
            <w:r>
              <w:rPr>
                <w:noProof/>
              </w:rPr>
              <w:instrText xml:space="preserve"> PAGEREF _Toc222589280 \h </w:instrText>
            </w:r>
            <w:r>
              <w:rPr>
                <w:noProof/>
              </w:rPr>
            </w:r>
            <w:r>
              <w:rPr>
                <w:noProof/>
              </w:rPr>
              <w:fldChar w:fldCharType="separate"/>
            </w:r>
            <w:r>
              <w:rPr>
                <w:noProof/>
              </w:rPr>
              <w:t>12</w:t>
            </w:r>
            <w:r>
              <w:rPr>
                <w:noProof/>
              </w:rPr>
              <w:fldChar w:fldCharType="end"/>
            </w:r>
          </w:hyperlink>
        </w:p>
        <w:p w14:paraId="61E49A08" w14:textId="77777777" w:rsidR="004077E5" w:rsidRDefault="004077E5">
          <w:pPr>
            <w:pStyle w:val="TOC2"/>
            <w:tabs>
              <w:tab w:val="right" w:leader="dot" w:pos="9350"/>
            </w:tabs>
            <w:rPr>
              <w:noProof/>
            </w:rPr>
          </w:pPr>
          <w:hyperlink w:anchor="_Toc222589281" w:history="1">
            <w:r w:rsidRPr="004A39DA">
              <w:rPr>
                <w:rStyle w:val="Hyperlink"/>
                <w:noProof/>
              </w:rPr>
              <w:t>4.4 Fit Procedure and Amplitude Determination</w:t>
            </w:r>
            <w:r>
              <w:rPr>
                <w:noProof/>
              </w:rPr>
              <w:tab/>
            </w:r>
            <w:r>
              <w:rPr>
                <w:noProof/>
              </w:rPr>
              <w:fldChar w:fldCharType="begin"/>
            </w:r>
            <w:r>
              <w:rPr>
                <w:noProof/>
              </w:rPr>
              <w:instrText xml:space="preserve"> PAGEREF _Toc222589281 \h </w:instrText>
            </w:r>
            <w:r>
              <w:rPr>
                <w:noProof/>
              </w:rPr>
            </w:r>
            <w:r>
              <w:rPr>
                <w:noProof/>
              </w:rPr>
              <w:fldChar w:fldCharType="separate"/>
            </w:r>
            <w:r>
              <w:rPr>
                <w:noProof/>
              </w:rPr>
              <w:t>12</w:t>
            </w:r>
            <w:r>
              <w:rPr>
                <w:noProof/>
              </w:rPr>
              <w:fldChar w:fldCharType="end"/>
            </w:r>
          </w:hyperlink>
        </w:p>
        <w:p w14:paraId="19F5FEAC" w14:textId="77777777" w:rsidR="004077E5" w:rsidRDefault="004077E5">
          <w:pPr>
            <w:pStyle w:val="TOC2"/>
            <w:tabs>
              <w:tab w:val="right" w:leader="dot" w:pos="9350"/>
            </w:tabs>
            <w:rPr>
              <w:noProof/>
            </w:rPr>
          </w:pPr>
          <w:hyperlink w:anchor="_Toc222589282" w:history="1">
            <w:r w:rsidRPr="004A39DA">
              <w:rPr>
                <w:rStyle w:val="Hyperlink"/>
                <w:noProof/>
              </w:rPr>
              <w:t>4.5 Six-Panel Diagnostic Atlas</w:t>
            </w:r>
            <w:r>
              <w:rPr>
                <w:noProof/>
              </w:rPr>
              <w:tab/>
            </w:r>
            <w:r>
              <w:rPr>
                <w:noProof/>
              </w:rPr>
              <w:fldChar w:fldCharType="begin"/>
            </w:r>
            <w:r>
              <w:rPr>
                <w:noProof/>
              </w:rPr>
              <w:instrText xml:space="preserve"> PAGEREF _Toc222589282 \h </w:instrText>
            </w:r>
            <w:r>
              <w:rPr>
                <w:noProof/>
              </w:rPr>
            </w:r>
            <w:r>
              <w:rPr>
                <w:noProof/>
              </w:rPr>
              <w:fldChar w:fldCharType="separate"/>
            </w:r>
            <w:r>
              <w:rPr>
                <w:noProof/>
              </w:rPr>
              <w:t>12</w:t>
            </w:r>
            <w:r>
              <w:rPr>
                <w:noProof/>
              </w:rPr>
              <w:fldChar w:fldCharType="end"/>
            </w:r>
          </w:hyperlink>
        </w:p>
        <w:p w14:paraId="0D37D731" w14:textId="77777777" w:rsidR="004077E5" w:rsidRDefault="004077E5">
          <w:pPr>
            <w:pStyle w:val="TOC1"/>
            <w:tabs>
              <w:tab w:val="right" w:leader="dot" w:pos="9350"/>
            </w:tabs>
            <w:rPr>
              <w:noProof/>
            </w:rPr>
          </w:pPr>
          <w:hyperlink w:anchor="_Toc222589283" w:history="1">
            <w:r w:rsidRPr="004A39DA">
              <w:rPr>
                <w:rStyle w:val="Hyperlink"/>
                <w:noProof/>
              </w:rPr>
              <w:t>5. Results Across 175 SPARC Galaxies</w:t>
            </w:r>
            <w:r>
              <w:rPr>
                <w:noProof/>
              </w:rPr>
              <w:tab/>
            </w:r>
            <w:r>
              <w:rPr>
                <w:noProof/>
              </w:rPr>
              <w:fldChar w:fldCharType="begin"/>
            </w:r>
            <w:r>
              <w:rPr>
                <w:noProof/>
              </w:rPr>
              <w:instrText xml:space="preserve"> PAGEREF _Toc222589283 \h </w:instrText>
            </w:r>
            <w:r>
              <w:rPr>
                <w:noProof/>
              </w:rPr>
            </w:r>
            <w:r>
              <w:rPr>
                <w:noProof/>
              </w:rPr>
              <w:fldChar w:fldCharType="separate"/>
            </w:r>
            <w:r>
              <w:rPr>
                <w:noProof/>
              </w:rPr>
              <w:t>14</w:t>
            </w:r>
            <w:r>
              <w:rPr>
                <w:noProof/>
              </w:rPr>
              <w:fldChar w:fldCharType="end"/>
            </w:r>
          </w:hyperlink>
        </w:p>
        <w:p w14:paraId="324729F3" w14:textId="77777777" w:rsidR="004077E5" w:rsidRDefault="004077E5">
          <w:pPr>
            <w:pStyle w:val="TOC2"/>
            <w:tabs>
              <w:tab w:val="right" w:leader="dot" w:pos="9350"/>
            </w:tabs>
            <w:rPr>
              <w:noProof/>
            </w:rPr>
          </w:pPr>
          <w:hyperlink w:anchor="_Toc222589284" w:history="1">
            <w:r w:rsidRPr="004A39DA">
              <w:rPr>
                <w:rStyle w:val="Hyperlink"/>
                <w:noProof/>
              </w:rPr>
              <w:t>5.1 Global Fit Performance</w:t>
            </w:r>
            <w:r>
              <w:rPr>
                <w:noProof/>
              </w:rPr>
              <w:tab/>
            </w:r>
            <w:r>
              <w:rPr>
                <w:noProof/>
              </w:rPr>
              <w:fldChar w:fldCharType="begin"/>
            </w:r>
            <w:r>
              <w:rPr>
                <w:noProof/>
              </w:rPr>
              <w:instrText xml:space="preserve"> PAGEREF _Toc222589284 \h </w:instrText>
            </w:r>
            <w:r>
              <w:rPr>
                <w:noProof/>
              </w:rPr>
            </w:r>
            <w:r>
              <w:rPr>
                <w:noProof/>
              </w:rPr>
              <w:fldChar w:fldCharType="separate"/>
            </w:r>
            <w:r>
              <w:rPr>
                <w:noProof/>
              </w:rPr>
              <w:t>14</w:t>
            </w:r>
            <w:r>
              <w:rPr>
                <w:noProof/>
              </w:rPr>
              <w:fldChar w:fldCharType="end"/>
            </w:r>
          </w:hyperlink>
        </w:p>
        <w:p w14:paraId="6F211D20" w14:textId="77777777" w:rsidR="004077E5" w:rsidRDefault="004077E5">
          <w:pPr>
            <w:pStyle w:val="TOC2"/>
            <w:tabs>
              <w:tab w:val="right" w:leader="dot" w:pos="9350"/>
            </w:tabs>
            <w:rPr>
              <w:noProof/>
            </w:rPr>
          </w:pPr>
          <w:hyperlink w:anchor="_Toc222589285" w:history="1">
            <w:r w:rsidRPr="004A39DA">
              <w:rPr>
                <w:rStyle w:val="Hyperlink"/>
                <w:noProof/>
              </w:rPr>
              <w:t>5.2 Representative Galaxy Diagnostics</w:t>
            </w:r>
            <w:r>
              <w:rPr>
                <w:noProof/>
              </w:rPr>
              <w:tab/>
            </w:r>
            <w:r>
              <w:rPr>
                <w:noProof/>
              </w:rPr>
              <w:fldChar w:fldCharType="begin"/>
            </w:r>
            <w:r>
              <w:rPr>
                <w:noProof/>
              </w:rPr>
              <w:instrText xml:space="preserve"> PAGEREF _Toc222589285 \h </w:instrText>
            </w:r>
            <w:r>
              <w:rPr>
                <w:noProof/>
              </w:rPr>
            </w:r>
            <w:r>
              <w:rPr>
                <w:noProof/>
              </w:rPr>
              <w:fldChar w:fldCharType="separate"/>
            </w:r>
            <w:r>
              <w:rPr>
                <w:noProof/>
              </w:rPr>
              <w:t>14</w:t>
            </w:r>
            <w:r>
              <w:rPr>
                <w:noProof/>
              </w:rPr>
              <w:fldChar w:fldCharType="end"/>
            </w:r>
          </w:hyperlink>
        </w:p>
        <w:p w14:paraId="64674A43" w14:textId="77777777" w:rsidR="004077E5" w:rsidRDefault="004077E5">
          <w:pPr>
            <w:pStyle w:val="TOC2"/>
            <w:tabs>
              <w:tab w:val="right" w:leader="dot" w:pos="9350"/>
            </w:tabs>
            <w:rPr>
              <w:noProof/>
            </w:rPr>
          </w:pPr>
          <w:hyperlink w:anchor="_Toc222589286" w:history="1">
            <w:r w:rsidRPr="004A39DA">
              <w:rPr>
                <w:rStyle w:val="Hyperlink"/>
                <w:noProof/>
              </w:rPr>
              <w:t>5.3 Emergent Baryonic Tully–Fisher Relation</w:t>
            </w:r>
            <w:r>
              <w:rPr>
                <w:noProof/>
              </w:rPr>
              <w:tab/>
            </w:r>
            <w:r>
              <w:rPr>
                <w:noProof/>
              </w:rPr>
              <w:fldChar w:fldCharType="begin"/>
            </w:r>
            <w:r>
              <w:rPr>
                <w:noProof/>
              </w:rPr>
              <w:instrText xml:space="preserve"> PAGEREF _Toc222589286 \h </w:instrText>
            </w:r>
            <w:r>
              <w:rPr>
                <w:noProof/>
              </w:rPr>
            </w:r>
            <w:r>
              <w:rPr>
                <w:noProof/>
              </w:rPr>
              <w:fldChar w:fldCharType="separate"/>
            </w:r>
            <w:r>
              <w:rPr>
                <w:noProof/>
              </w:rPr>
              <w:t>18</w:t>
            </w:r>
            <w:r>
              <w:rPr>
                <w:noProof/>
              </w:rPr>
              <w:fldChar w:fldCharType="end"/>
            </w:r>
          </w:hyperlink>
        </w:p>
        <w:p w14:paraId="6998CD12" w14:textId="77777777" w:rsidR="004077E5" w:rsidRDefault="004077E5">
          <w:pPr>
            <w:pStyle w:val="TOC2"/>
            <w:tabs>
              <w:tab w:val="right" w:leader="dot" w:pos="9350"/>
            </w:tabs>
            <w:rPr>
              <w:noProof/>
            </w:rPr>
          </w:pPr>
          <w:hyperlink w:anchor="_Toc222589287" w:history="1">
            <w:r w:rsidRPr="004A39DA">
              <w:rPr>
                <w:rStyle w:val="Hyperlink"/>
                <w:noProof/>
              </w:rPr>
              <w:t>5.4 Fitted vs. Robust Amplitude Comparison</w:t>
            </w:r>
            <w:r>
              <w:rPr>
                <w:noProof/>
              </w:rPr>
              <w:tab/>
            </w:r>
            <w:r>
              <w:rPr>
                <w:noProof/>
              </w:rPr>
              <w:fldChar w:fldCharType="begin"/>
            </w:r>
            <w:r>
              <w:rPr>
                <w:noProof/>
              </w:rPr>
              <w:instrText xml:space="preserve"> PAGEREF _Toc222589287 \h </w:instrText>
            </w:r>
            <w:r>
              <w:rPr>
                <w:noProof/>
              </w:rPr>
            </w:r>
            <w:r>
              <w:rPr>
                <w:noProof/>
              </w:rPr>
              <w:fldChar w:fldCharType="separate"/>
            </w:r>
            <w:r>
              <w:rPr>
                <w:noProof/>
              </w:rPr>
              <w:t>18</w:t>
            </w:r>
            <w:r>
              <w:rPr>
                <w:noProof/>
              </w:rPr>
              <w:fldChar w:fldCharType="end"/>
            </w:r>
          </w:hyperlink>
        </w:p>
        <w:p w14:paraId="2600187D" w14:textId="77777777" w:rsidR="004077E5" w:rsidRDefault="004077E5">
          <w:pPr>
            <w:pStyle w:val="TOC2"/>
            <w:tabs>
              <w:tab w:val="right" w:leader="dot" w:pos="9350"/>
            </w:tabs>
            <w:rPr>
              <w:noProof/>
            </w:rPr>
          </w:pPr>
          <w:hyperlink w:anchor="_Toc222589288" w:history="1">
            <w:r w:rsidRPr="004A39DA">
              <w:rPr>
                <w:rStyle w:val="Hyperlink"/>
                <w:noProof/>
              </w:rPr>
              <w:t>5.5 Mass-to-Light Ratio Sensitivity</w:t>
            </w:r>
            <w:r>
              <w:rPr>
                <w:noProof/>
              </w:rPr>
              <w:tab/>
            </w:r>
            <w:r>
              <w:rPr>
                <w:noProof/>
              </w:rPr>
              <w:fldChar w:fldCharType="begin"/>
            </w:r>
            <w:r>
              <w:rPr>
                <w:noProof/>
              </w:rPr>
              <w:instrText xml:space="preserve"> PAGEREF _Toc222589288 \h </w:instrText>
            </w:r>
            <w:r>
              <w:rPr>
                <w:noProof/>
              </w:rPr>
            </w:r>
            <w:r>
              <w:rPr>
                <w:noProof/>
              </w:rPr>
              <w:fldChar w:fldCharType="separate"/>
            </w:r>
            <w:r>
              <w:rPr>
                <w:noProof/>
              </w:rPr>
              <w:t>18</w:t>
            </w:r>
            <w:r>
              <w:rPr>
                <w:noProof/>
              </w:rPr>
              <w:fldChar w:fldCharType="end"/>
            </w:r>
          </w:hyperlink>
        </w:p>
        <w:p w14:paraId="6CB82AEE" w14:textId="77777777" w:rsidR="004077E5" w:rsidRDefault="004077E5">
          <w:pPr>
            <w:pStyle w:val="TOC2"/>
            <w:tabs>
              <w:tab w:val="right" w:leader="dot" w:pos="9350"/>
            </w:tabs>
            <w:rPr>
              <w:noProof/>
            </w:rPr>
          </w:pPr>
          <w:hyperlink w:anchor="_Toc222589289" w:history="1">
            <w:r w:rsidRPr="004A39DA">
              <w:rPr>
                <w:rStyle w:val="Hyperlink"/>
                <w:noProof/>
              </w:rPr>
              <w:t>5.6 Oscillatory Signatures and Negative-Q Galaxies</w:t>
            </w:r>
            <w:r>
              <w:rPr>
                <w:noProof/>
              </w:rPr>
              <w:tab/>
            </w:r>
            <w:r>
              <w:rPr>
                <w:noProof/>
              </w:rPr>
              <w:fldChar w:fldCharType="begin"/>
            </w:r>
            <w:r>
              <w:rPr>
                <w:noProof/>
              </w:rPr>
              <w:instrText xml:space="preserve"> PAGEREF _Toc222589289 \h </w:instrText>
            </w:r>
            <w:r>
              <w:rPr>
                <w:noProof/>
              </w:rPr>
            </w:r>
            <w:r>
              <w:rPr>
                <w:noProof/>
              </w:rPr>
              <w:fldChar w:fldCharType="separate"/>
            </w:r>
            <w:r>
              <w:rPr>
                <w:noProof/>
              </w:rPr>
              <w:t>18</w:t>
            </w:r>
            <w:r>
              <w:rPr>
                <w:noProof/>
              </w:rPr>
              <w:fldChar w:fldCharType="end"/>
            </w:r>
          </w:hyperlink>
        </w:p>
        <w:p w14:paraId="7053DD27" w14:textId="77777777" w:rsidR="004077E5" w:rsidRDefault="004077E5">
          <w:pPr>
            <w:pStyle w:val="TOC1"/>
            <w:tabs>
              <w:tab w:val="right" w:leader="dot" w:pos="9350"/>
            </w:tabs>
            <w:rPr>
              <w:noProof/>
            </w:rPr>
          </w:pPr>
          <w:hyperlink w:anchor="_Toc222589290" w:history="1">
            <w:r w:rsidRPr="004A39DA">
              <w:rPr>
                <w:rStyle w:val="Hyperlink"/>
                <w:noProof/>
              </w:rPr>
              <w:t>6. Empirical Validation Ladder</w:t>
            </w:r>
            <w:r>
              <w:rPr>
                <w:noProof/>
              </w:rPr>
              <w:tab/>
            </w:r>
            <w:r>
              <w:rPr>
                <w:noProof/>
              </w:rPr>
              <w:fldChar w:fldCharType="begin"/>
            </w:r>
            <w:r>
              <w:rPr>
                <w:noProof/>
              </w:rPr>
              <w:instrText xml:space="preserve"> PAGEREF _Toc222589290 \h </w:instrText>
            </w:r>
            <w:r>
              <w:rPr>
                <w:noProof/>
              </w:rPr>
            </w:r>
            <w:r>
              <w:rPr>
                <w:noProof/>
              </w:rPr>
              <w:fldChar w:fldCharType="separate"/>
            </w:r>
            <w:r>
              <w:rPr>
                <w:noProof/>
              </w:rPr>
              <w:t>19</w:t>
            </w:r>
            <w:r>
              <w:rPr>
                <w:noProof/>
              </w:rPr>
              <w:fldChar w:fldCharType="end"/>
            </w:r>
          </w:hyperlink>
        </w:p>
        <w:p w14:paraId="5C580233" w14:textId="77777777" w:rsidR="004077E5" w:rsidRDefault="004077E5">
          <w:pPr>
            <w:pStyle w:val="TOC2"/>
            <w:tabs>
              <w:tab w:val="right" w:leader="dot" w:pos="9350"/>
            </w:tabs>
            <w:rPr>
              <w:noProof/>
            </w:rPr>
          </w:pPr>
          <w:hyperlink w:anchor="_Toc222589291" w:history="1">
            <w:r w:rsidRPr="004A39DA">
              <w:rPr>
                <w:rStyle w:val="Hyperlink"/>
                <w:noProof/>
              </w:rPr>
              <w:t>6.1 Step 1: Data Reproducibility</w:t>
            </w:r>
            <w:r>
              <w:rPr>
                <w:noProof/>
              </w:rPr>
              <w:tab/>
            </w:r>
            <w:r>
              <w:rPr>
                <w:noProof/>
              </w:rPr>
              <w:fldChar w:fldCharType="begin"/>
            </w:r>
            <w:r>
              <w:rPr>
                <w:noProof/>
              </w:rPr>
              <w:instrText xml:space="preserve"> PAGEREF _Toc222589291 \h </w:instrText>
            </w:r>
            <w:r>
              <w:rPr>
                <w:noProof/>
              </w:rPr>
            </w:r>
            <w:r>
              <w:rPr>
                <w:noProof/>
              </w:rPr>
              <w:fldChar w:fldCharType="separate"/>
            </w:r>
            <w:r>
              <w:rPr>
                <w:noProof/>
              </w:rPr>
              <w:t>19</w:t>
            </w:r>
            <w:r>
              <w:rPr>
                <w:noProof/>
              </w:rPr>
              <w:fldChar w:fldCharType="end"/>
            </w:r>
          </w:hyperlink>
        </w:p>
        <w:p w14:paraId="3759410F" w14:textId="77777777" w:rsidR="004077E5" w:rsidRDefault="004077E5">
          <w:pPr>
            <w:pStyle w:val="TOC2"/>
            <w:tabs>
              <w:tab w:val="right" w:leader="dot" w:pos="9350"/>
            </w:tabs>
            <w:rPr>
              <w:noProof/>
            </w:rPr>
          </w:pPr>
          <w:hyperlink w:anchor="_Toc222589292" w:history="1">
            <w:r w:rsidRPr="004A39DA">
              <w:rPr>
                <w:rStyle w:val="Hyperlink"/>
                <w:noProof/>
              </w:rPr>
              <w:t>6.2 Step 2: Baseline Fits and Residual Definitions</w:t>
            </w:r>
            <w:r>
              <w:rPr>
                <w:noProof/>
              </w:rPr>
              <w:tab/>
            </w:r>
            <w:r>
              <w:rPr>
                <w:noProof/>
              </w:rPr>
              <w:fldChar w:fldCharType="begin"/>
            </w:r>
            <w:r>
              <w:rPr>
                <w:noProof/>
              </w:rPr>
              <w:instrText xml:space="preserve"> PAGEREF _Toc222589292 \h </w:instrText>
            </w:r>
            <w:r>
              <w:rPr>
                <w:noProof/>
              </w:rPr>
            </w:r>
            <w:r>
              <w:rPr>
                <w:noProof/>
              </w:rPr>
              <w:fldChar w:fldCharType="separate"/>
            </w:r>
            <w:r>
              <w:rPr>
                <w:noProof/>
              </w:rPr>
              <w:t>19</w:t>
            </w:r>
            <w:r>
              <w:rPr>
                <w:noProof/>
              </w:rPr>
              <w:fldChar w:fldCharType="end"/>
            </w:r>
          </w:hyperlink>
        </w:p>
        <w:p w14:paraId="7621B0D1" w14:textId="77777777" w:rsidR="004077E5" w:rsidRDefault="004077E5">
          <w:pPr>
            <w:pStyle w:val="TOC2"/>
            <w:tabs>
              <w:tab w:val="right" w:leader="dot" w:pos="9350"/>
            </w:tabs>
            <w:rPr>
              <w:noProof/>
            </w:rPr>
          </w:pPr>
          <w:hyperlink w:anchor="_Toc222589293" w:history="1">
            <w:r w:rsidRPr="004A39DA">
              <w:rPr>
                <w:rStyle w:val="Hyperlink"/>
                <w:noProof/>
              </w:rPr>
              <w:t>6.3 Step 3: Non-Fragile Inference</w:t>
            </w:r>
            <w:r>
              <w:rPr>
                <w:noProof/>
              </w:rPr>
              <w:tab/>
            </w:r>
            <w:r>
              <w:rPr>
                <w:noProof/>
              </w:rPr>
              <w:fldChar w:fldCharType="begin"/>
            </w:r>
            <w:r>
              <w:rPr>
                <w:noProof/>
              </w:rPr>
              <w:instrText xml:space="preserve"> PAGEREF _Toc222589293 \h </w:instrText>
            </w:r>
            <w:r>
              <w:rPr>
                <w:noProof/>
              </w:rPr>
            </w:r>
            <w:r>
              <w:rPr>
                <w:noProof/>
              </w:rPr>
              <w:fldChar w:fldCharType="separate"/>
            </w:r>
            <w:r>
              <w:rPr>
                <w:noProof/>
              </w:rPr>
              <w:t>19</w:t>
            </w:r>
            <w:r>
              <w:rPr>
                <w:noProof/>
              </w:rPr>
              <w:fldChar w:fldCharType="end"/>
            </w:r>
          </w:hyperlink>
        </w:p>
        <w:p w14:paraId="05893000" w14:textId="77777777" w:rsidR="004077E5" w:rsidRDefault="004077E5">
          <w:pPr>
            <w:pStyle w:val="TOC2"/>
            <w:tabs>
              <w:tab w:val="right" w:leader="dot" w:pos="9350"/>
            </w:tabs>
            <w:rPr>
              <w:noProof/>
            </w:rPr>
          </w:pPr>
          <w:hyperlink w:anchor="_Toc222589294" w:history="1">
            <w:r w:rsidRPr="004A39DA">
              <w:rPr>
                <w:rStyle w:val="Hyperlink"/>
                <w:noProof/>
              </w:rPr>
              <w:t>6.4 Step 4: Stratified Permutation Stress Tests</w:t>
            </w:r>
            <w:r>
              <w:rPr>
                <w:noProof/>
              </w:rPr>
              <w:tab/>
            </w:r>
            <w:r>
              <w:rPr>
                <w:noProof/>
              </w:rPr>
              <w:fldChar w:fldCharType="begin"/>
            </w:r>
            <w:r>
              <w:rPr>
                <w:noProof/>
              </w:rPr>
              <w:instrText xml:space="preserve"> PAGEREF _Toc222589294 \h </w:instrText>
            </w:r>
            <w:r>
              <w:rPr>
                <w:noProof/>
              </w:rPr>
            </w:r>
            <w:r>
              <w:rPr>
                <w:noProof/>
              </w:rPr>
              <w:fldChar w:fldCharType="separate"/>
            </w:r>
            <w:r>
              <w:rPr>
                <w:noProof/>
              </w:rPr>
              <w:t>19</w:t>
            </w:r>
            <w:r>
              <w:rPr>
                <w:noProof/>
              </w:rPr>
              <w:fldChar w:fldCharType="end"/>
            </w:r>
          </w:hyperlink>
        </w:p>
        <w:p w14:paraId="7B031D07" w14:textId="77777777" w:rsidR="004077E5" w:rsidRDefault="004077E5">
          <w:pPr>
            <w:pStyle w:val="TOC2"/>
            <w:tabs>
              <w:tab w:val="right" w:leader="dot" w:pos="9350"/>
            </w:tabs>
            <w:rPr>
              <w:noProof/>
            </w:rPr>
          </w:pPr>
          <w:hyperlink w:anchor="_Toc222589295" w:history="1">
            <w:r w:rsidRPr="004A39DA">
              <w:rPr>
                <w:rStyle w:val="Hyperlink"/>
                <w:noProof/>
              </w:rPr>
              <w:t>6.5 Step 5: Out-of-Sample Cross-Validation</w:t>
            </w:r>
            <w:r>
              <w:rPr>
                <w:noProof/>
              </w:rPr>
              <w:tab/>
            </w:r>
            <w:r>
              <w:rPr>
                <w:noProof/>
              </w:rPr>
              <w:fldChar w:fldCharType="begin"/>
            </w:r>
            <w:r>
              <w:rPr>
                <w:noProof/>
              </w:rPr>
              <w:instrText xml:space="preserve"> PAGEREF _Toc222589295 \h </w:instrText>
            </w:r>
            <w:r>
              <w:rPr>
                <w:noProof/>
              </w:rPr>
            </w:r>
            <w:r>
              <w:rPr>
                <w:noProof/>
              </w:rPr>
              <w:fldChar w:fldCharType="separate"/>
            </w:r>
            <w:r>
              <w:rPr>
                <w:noProof/>
              </w:rPr>
              <w:t>19</w:t>
            </w:r>
            <w:r>
              <w:rPr>
                <w:noProof/>
              </w:rPr>
              <w:fldChar w:fldCharType="end"/>
            </w:r>
          </w:hyperlink>
        </w:p>
        <w:p w14:paraId="417D9C1D" w14:textId="77777777" w:rsidR="004077E5" w:rsidRDefault="004077E5">
          <w:pPr>
            <w:pStyle w:val="TOC2"/>
            <w:tabs>
              <w:tab w:val="right" w:leader="dot" w:pos="9350"/>
            </w:tabs>
            <w:rPr>
              <w:noProof/>
            </w:rPr>
          </w:pPr>
          <w:hyperlink w:anchor="_Toc222589296" w:history="1">
            <w:r w:rsidRPr="004A39DA">
              <w:rPr>
                <w:rStyle w:val="Hyperlink"/>
                <w:noProof/>
              </w:rPr>
              <w:t>6.6 Step 6: Negative Controls</w:t>
            </w:r>
            <w:r>
              <w:rPr>
                <w:noProof/>
              </w:rPr>
              <w:tab/>
            </w:r>
            <w:r>
              <w:rPr>
                <w:noProof/>
              </w:rPr>
              <w:fldChar w:fldCharType="begin"/>
            </w:r>
            <w:r>
              <w:rPr>
                <w:noProof/>
              </w:rPr>
              <w:instrText xml:space="preserve"> PAGEREF _Toc222589296 \h </w:instrText>
            </w:r>
            <w:r>
              <w:rPr>
                <w:noProof/>
              </w:rPr>
            </w:r>
            <w:r>
              <w:rPr>
                <w:noProof/>
              </w:rPr>
              <w:fldChar w:fldCharType="separate"/>
            </w:r>
            <w:r>
              <w:rPr>
                <w:noProof/>
              </w:rPr>
              <w:t>19</w:t>
            </w:r>
            <w:r>
              <w:rPr>
                <w:noProof/>
              </w:rPr>
              <w:fldChar w:fldCharType="end"/>
            </w:r>
          </w:hyperlink>
        </w:p>
        <w:p w14:paraId="0ADAE712" w14:textId="77777777" w:rsidR="004077E5" w:rsidRDefault="004077E5">
          <w:pPr>
            <w:pStyle w:val="TOC1"/>
            <w:tabs>
              <w:tab w:val="right" w:leader="dot" w:pos="9350"/>
            </w:tabs>
            <w:rPr>
              <w:noProof/>
            </w:rPr>
          </w:pPr>
          <w:hyperlink w:anchor="_Toc222589297" w:history="1">
            <w:r w:rsidRPr="004A39DA">
              <w:rPr>
                <w:rStyle w:val="Hyperlink"/>
                <w:noProof/>
              </w:rPr>
              <w:t>7. Falsification Criteria and Discriminant Tests</w:t>
            </w:r>
            <w:r>
              <w:rPr>
                <w:noProof/>
              </w:rPr>
              <w:tab/>
            </w:r>
            <w:r>
              <w:rPr>
                <w:noProof/>
              </w:rPr>
              <w:fldChar w:fldCharType="begin"/>
            </w:r>
            <w:r>
              <w:rPr>
                <w:noProof/>
              </w:rPr>
              <w:instrText xml:space="preserve"> PAGEREF _Toc222589297 \h </w:instrText>
            </w:r>
            <w:r>
              <w:rPr>
                <w:noProof/>
              </w:rPr>
            </w:r>
            <w:r>
              <w:rPr>
                <w:noProof/>
              </w:rPr>
              <w:fldChar w:fldCharType="separate"/>
            </w:r>
            <w:r>
              <w:rPr>
                <w:noProof/>
              </w:rPr>
              <w:t>21</w:t>
            </w:r>
            <w:r>
              <w:rPr>
                <w:noProof/>
              </w:rPr>
              <w:fldChar w:fldCharType="end"/>
            </w:r>
          </w:hyperlink>
        </w:p>
        <w:p w14:paraId="0ADF4B8C" w14:textId="77777777" w:rsidR="004077E5" w:rsidRDefault="004077E5">
          <w:pPr>
            <w:pStyle w:val="TOC2"/>
            <w:tabs>
              <w:tab w:val="right" w:leader="dot" w:pos="9350"/>
            </w:tabs>
            <w:rPr>
              <w:noProof/>
            </w:rPr>
          </w:pPr>
          <w:hyperlink w:anchor="_Toc222589298" w:history="1">
            <w:r w:rsidRPr="004A39DA">
              <w:rPr>
                <w:rStyle w:val="Hyperlink"/>
                <w:noProof/>
              </w:rPr>
              <w:t>7.1 Criterion 1: Compression Failure</w:t>
            </w:r>
            <w:r>
              <w:rPr>
                <w:noProof/>
              </w:rPr>
              <w:tab/>
            </w:r>
            <w:r>
              <w:rPr>
                <w:noProof/>
              </w:rPr>
              <w:fldChar w:fldCharType="begin"/>
            </w:r>
            <w:r>
              <w:rPr>
                <w:noProof/>
              </w:rPr>
              <w:instrText xml:space="preserve"> PAGEREF _Toc222589298 \h </w:instrText>
            </w:r>
            <w:r>
              <w:rPr>
                <w:noProof/>
              </w:rPr>
            </w:r>
            <w:r>
              <w:rPr>
                <w:noProof/>
              </w:rPr>
              <w:fldChar w:fldCharType="separate"/>
            </w:r>
            <w:r>
              <w:rPr>
                <w:noProof/>
              </w:rPr>
              <w:t>21</w:t>
            </w:r>
            <w:r>
              <w:rPr>
                <w:noProof/>
              </w:rPr>
              <w:fldChar w:fldCharType="end"/>
            </w:r>
          </w:hyperlink>
        </w:p>
        <w:p w14:paraId="33620191" w14:textId="77777777" w:rsidR="004077E5" w:rsidRDefault="004077E5">
          <w:pPr>
            <w:pStyle w:val="TOC2"/>
            <w:tabs>
              <w:tab w:val="right" w:leader="dot" w:pos="9350"/>
            </w:tabs>
            <w:rPr>
              <w:noProof/>
            </w:rPr>
          </w:pPr>
          <w:hyperlink w:anchor="_Toc222589299" w:history="1">
            <w:r w:rsidRPr="004A39DA">
              <w:rPr>
                <w:rStyle w:val="Hyperlink"/>
                <w:noProof/>
              </w:rPr>
              <w:t>7.2 Criterion 2: Out-of-Sample Prediction Failure</w:t>
            </w:r>
            <w:r>
              <w:rPr>
                <w:noProof/>
              </w:rPr>
              <w:tab/>
            </w:r>
            <w:r>
              <w:rPr>
                <w:noProof/>
              </w:rPr>
              <w:fldChar w:fldCharType="begin"/>
            </w:r>
            <w:r>
              <w:rPr>
                <w:noProof/>
              </w:rPr>
              <w:instrText xml:space="preserve"> PAGEREF _Toc222589299 \h </w:instrText>
            </w:r>
            <w:r>
              <w:rPr>
                <w:noProof/>
              </w:rPr>
            </w:r>
            <w:r>
              <w:rPr>
                <w:noProof/>
              </w:rPr>
              <w:fldChar w:fldCharType="separate"/>
            </w:r>
            <w:r>
              <w:rPr>
                <w:noProof/>
              </w:rPr>
              <w:t>21</w:t>
            </w:r>
            <w:r>
              <w:rPr>
                <w:noProof/>
              </w:rPr>
              <w:fldChar w:fldCharType="end"/>
            </w:r>
          </w:hyperlink>
        </w:p>
        <w:p w14:paraId="51E2EAFF" w14:textId="77777777" w:rsidR="004077E5" w:rsidRDefault="004077E5">
          <w:pPr>
            <w:pStyle w:val="TOC2"/>
            <w:tabs>
              <w:tab w:val="right" w:leader="dot" w:pos="9350"/>
            </w:tabs>
            <w:rPr>
              <w:noProof/>
            </w:rPr>
          </w:pPr>
          <w:hyperlink w:anchor="_Toc222589300" w:history="1">
            <w:r w:rsidRPr="004A39DA">
              <w:rPr>
                <w:rStyle w:val="Hyperlink"/>
                <w:noProof/>
              </w:rPr>
              <w:t>7.3 Criterion 3: Gravitational Slip / Lensing Inconsistency</w:t>
            </w:r>
            <w:r>
              <w:rPr>
                <w:noProof/>
              </w:rPr>
              <w:tab/>
            </w:r>
            <w:r>
              <w:rPr>
                <w:noProof/>
              </w:rPr>
              <w:fldChar w:fldCharType="begin"/>
            </w:r>
            <w:r>
              <w:rPr>
                <w:noProof/>
              </w:rPr>
              <w:instrText xml:space="preserve"> PAGEREF _Toc222589300 \h </w:instrText>
            </w:r>
            <w:r>
              <w:rPr>
                <w:noProof/>
              </w:rPr>
            </w:r>
            <w:r>
              <w:rPr>
                <w:noProof/>
              </w:rPr>
              <w:fldChar w:fldCharType="separate"/>
            </w:r>
            <w:r>
              <w:rPr>
                <w:noProof/>
              </w:rPr>
              <w:t>21</w:t>
            </w:r>
            <w:r>
              <w:rPr>
                <w:noProof/>
              </w:rPr>
              <w:fldChar w:fldCharType="end"/>
            </w:r>
          </w:hyperlink>
        </w:p>
        <w:p w14:paraId="095E11E1" w14:textId="77777777" w:rsidR="004077E5" w:rsidRDefault="004077E5">
          <w:pPr>
            <w:pStyle w:val="TOC2"/>
            <w:tabs>
              <w:tab w:val="right" w:leader="dot" w:pos="9350"/>
            </w:tabs>
            <w:rPr>
              <w:noProof/>
            </w:rPr>
          </w:pPr>
          <w:hyperlink w:anchor="_Toc222589301" w:history="1">
            <w:r w:rsidRPr="004A39DA">
              <w:rPr>
                <w:rStyle w:val="Hyperlink"/>
                <w:noProof/>
              </w:rPr>
              <w:t>7.4 Criterion 4: Cosmological Growth Incompatibility</w:t>
            </w:r>
            <w:r>
              <w:rPr>
                <w:noProof/>
              </w:rPr>
              <w:tab/>
            </w:r>
            <w:r>
              <w:rPr>
                <w:noProof/>
              </w:rPr>
              <w:fldChar w:fldCharType="begin"/>
            </w:r>
            <w:r>
              <w:rPr>
                <w:noProof/>
              </w:rPr>
              <w:instrText xml:space="preserve"> PAGEREF _Toc222589301 \h </w:instrText>
            </w:r>
            <w:r>
              <w:rPr>
                <w:noProof/>
              </w:rPr>
            </w:r>
            <w:r>
              <w:rPr>
                <w:noProof/>
              </w:rPr>
              <w:fldChar w:fldCharType="separate"/>
            </w:r>
            <w:r>
              <w:rPr>
                <w:noProof/>
              </w:rPr>
              <w:t>21</w:t>
            </w:r>
            <w:r>
              <w:rPr>
                <w:noProof/>
              </w:rPr>
              <w:fldChar w:fldCharType="end"/>
            </w:r>
          </w:hyperlink>
        </w:p>
        <w:p w14:paraId="78E0A506" w14:textId="77777777" w:rsidR="004077E5" w:rsidRDefault="004077E5">
          <w:pPr>
            <w:pStyle w:val="TOC2"/>
            <w:tabs>
              <w:tab w:val="right" w:leader="dot" w:pos="9350"/>
            </w:tabs>
            <w:rPr>
              <w:noProof/>
            </w:rPr>
          </w:pPr>
          <w:hyperlink w:anchor="_Toc222589302" w:history="1">
            <w:r w:rsidRPr="004A39DA">
              <w:rPr>
                <w:rStyle w:val="Hyperlink"/>
                <w:noProof/>
              </w:rPr>
              <w:t>7.5 The Discriminant Triad</w:t>
            </w:r>
            <w:r>
              <w:rPr>
                <w:noProof/>
              </w:rPr>
              <w:tab/>
            </w:r>
            <w:r>
              <w:rPr>
                <w:noProof/>
              </w:rPr>
              <w:fldChar w:fldCharType="begin"/>
            </w:r>
            <w:r>
              <w:rPr>
                <w:noProof/>
              </w:rPr>
              <w:instrText xml:space="preserve"> PAGEREF _Toc222589302 \h </w:instrText>
            </w:r>
            <w:r>
              <w:rPr>
                <w:noProof/>
              </w:rPr>
            </w:r>
            <w:r>
              <w:rPr>
                <w:noProof/>
              </w:rPr>
              <w:fldChar w:fldCharType="separate"/>
            </w:r>
            <w:r>
              <w:rPr>
                <w:noProof/>
              </w:rPr>
              <w:t>21</w:t>
            </w:r>
            <w:r>
              <w:rPr>
                <w:noProof/>
              </w:rPr>
              <w:fldChar w:fldCharType="end"/>
            </w:r>
          </w:hyperlink>
        </w:p>
        <w:p w14:paraId="5D27D189" w14:textId="77777777" w:rsidR="004077E5" w:rsidRDefault="004077E5">
          <w:pPr>
            <w:pStyle w:val="TOC1"/>
            <w:tabs>
              <w:tab w:val="right" w:leader="dot" w:pos="9350"/>
            </w:tabs>
            <w:rPr>
              <w:noProof/>
            </w:rPr>
          </w:pPr>
          <w:hyperlink w:anchor="_Toc222589303" w:history="1">
            <w:r w:rsidRPr="004A39DA">
              <w:rPr>
                <w:rStyle w:val="Hyperlink"/>
                <w:noProof/>
              </w:rPr>
              <w:t>8. Lensing and Cosmological Viability</w:t>
            </w:r>
            <w:r>
              <w:rPr>
                <w:noProof/>
              </w:rPr>
              <w:tab/>
            </w:r>
            <w:r>
              <w:rPr>
                <w:noProof/>
              </w:rPr>
              <w:fldChar w:fldCharType="begin"/>
            </w:r>
            <w:r>
              <w:rPr>
                <w:noProof/>
              </w:rPr>
              <w:instrText xml:space="preserve"> PAGEREF _Toc222589303 \h </w:instrText>
            </w:r>
            <w:r>
              <w:rPr>
                <w:noProof/>
              </w:rPr>
            </w:r>
            <w:r>
              <w:rPr>
                <w:noProof/>
              </w:rPr>
              <w:fldChar w:fldCharType="separate"/>
            </w:r>
            <w:r>
              <w:rPr>
                <w:noProof/>
              </w:rPr>
              <w:t>23</w:t>
            </w:r>
            <w:r>
              <w:rPr>
                <w:noProof/>
              </w:rPr>
              <w:fldChar w:fldCharType="end"/>
            </w:r>
          </w:hyperlink>
        </w:p>
        <w:p w14:paraId="5B9E666F" w14:textId="77777777" w:rsidR="004077E5" w:rsidRDefault="004077E5">
          <w:pPr>
            <w:pStyle w:val="TOC2"/>
            <w:tabs>
              <w:tab w:val="right" w:leader="dot" w:pos="9350"/>
            </w:tabs>
            <w:rPr>
              <w:noProof/>
            </w:rPr>
          </w:pPr>
          <w:hyperlink w:anchor="_Toc222589304" w:history="1">
            <w:r w:rsidRPr="004A39DA">
              <w:rPr>
                <w:rStyle w:val="Hyperlink"/>
                <w:noProof/>
              </w:rPr>
              <w:t>8.1 Lensing: The Weyl Potential Constraint</w:t>
            </w:r>
            <w:r>
              <w:rPr>
                <w:noProof/>
              </w:rPr>
              <w:tab/>
            </w:r>
            <w:r>
              <w:rPr>
                <w:noProof/>
              </w:rPr>
              <w:fldChar w:fldCharType="begin"/>
            </w:r>
            <w:r>
              <w:rPr>
                <w:noProof/>
              </w:rPr>
              <w:instrText xml:space="preserve"> PAGEREF _Toc222589304 \h </w:instrText>
            </w:r>
            <w:r>
              <w:rPr>
                <w:noProof/>
              </w:rPr>
            </w:r>
            <w:r>
              <w:rPr>
                <w:noProof/>
              </w:rPr>
              <w:fldChar w:fldCharType="separate"/>
            </w:r>
            <w:r>
              <w:rPr>
                <w:noProof/>
              </w:rPr>
              <w:t>23</w:t>
            </w:r>
            <w:r>
              <w:rPr>
                <w:noProof/>
              </w:rPr>
              <w:fldChar w:fldCharType="end"/>
            </w:r>
          </w:hyperlink>
        </w:p>
        <w:p w14:paraId="66CC9F37" w14:textId="77777777" w:rsidR="004077E5" w:rsidRDefault="004077E5">
          <w:pPr>
            <w:pStyle w:val="TOC3"/>
            <w:tabs>
              <w:tab w:val="right" w:leader="dot" w:pos="9350"/>
            </w:tabs>
            <w:rPr>
              <w:noProof/>
            </w:rPr>
          </w:pPr>
          <w:hyperlink w:anchor="_Toc222589305" w:history="1">
            <w:r w:rsidRPr="004A39DA">
              <w:rPr>
                <w:rStyle w:val="Hyperlink"/>
                <w:noProof/>
              </w:rPr>
              <w:t>8.1.1 Working Hypothesis: Metric Equivalence</w:t>
            </w:r>
            <w:r>
              <w:rPr>
                <w:noProof/>
              </w:rPr>
              <w:tab/>
            </w:r>
            <w:r>
              <w:rPr>
                <w:noProof/>
              </w:rPr>
              <w:fldChar w:fldCharType="begin"/>
            </w:r>
            <w:r>
              <w:rPr>
                <w:noProof/>
              </w:rPr>
              <w:instrText xml:space="preserve"> PAGEREF _Toc222589305 \h </w:instrText>
            </w:r>
            <w:r>
              <w:rPr>
                <w:noProof/>
              </w:rPr>
            </w:r>
            <w:r>
              <w:rPr>
                <w:noProof/>
              </w:rPr>
              <w:fldChar w:fldCharType="separate"/>
            </w:r>
            <w:r>
              <w:rPr>
                <w:noProof/>
              </w:rPr>
              <w:t>23</w:t>
            </w:r>
            <w:r>
              <w:rPr>
                <w:noProof/>
              </w:rPr>
              <w:fldChar w:fldCharType="end"/>
            </w:r>
          </w:hyperlink>
        </w:p>
        <w:p w14:paraId="5304FA97" w14:textId="77777777" w:rsidR="004077E5" w:rsidRDefault="004077E5">
          <w:pPr>
            <w:pStyle w:val="TOC3"/>
            <w:tabs>
              <w:tab w:val="right" w:leader="dot" w:pos="9350"/>
            </w:tabs>
            <w:rPr>
              <w:noProof/>
            </w:rPr>
          </w:pPr>
          <w:hyperlink w:anchor="_Toc222589306" w:history="1">
            <w:r w:rsidRPr="004A39DA">
              <w:rPr>
                <w:rStyle w:val="Hyperlink"/>
                <w:noProof/>
              </w:rPr>
              <w:t>8.1.2 Gravitational Slip as a Discriminant</w:t>
            </w:r>
            <w:r>
              <w:rPr>
                <w:noProof/>
              </w:rPr>
              <w:tab/>
            </w:r>
            <w:r>
              <w:rPr>
                <w:noProof/>
              </w:rPr>
              <w:fldChar w:fldCharType="begin"/>
            </w:r>
            <w:r>
              <w:rPr>
                <w:noProof/>
              </w:rPr>
              <w:instrText xml:space="preserve"> PAGEREF _Toc222589306 \h </w:instrText>
            </w:r>
            <w:r>
              <w:rPr>
                <w:noProof/>
              </w:rPr>
            </w:r>
            <w:r>
              <w:rPr>
                <w:noProof/>
              </w:rPr>
              <w:fldChar w:fldCharType="separate"/>
            </w:r>
            <w:r>
              <w:rPr>
                <w:noProof/>
              </w:rPr>
              <w:t>23</w:t>
            </w:r>
            <w:r>
              <w:rPr>
                <w:noProof/>
              </w:rPr>
              <w:fldChar w:fldCharType="end"/>
            </w:r>
          </w:hyperlink>
        </w:p>
        <w:p w14:paraId="010E4522" w14:textId="77777777" w:rsidR="004077E5" w:rsidRDefault="004077E5">
          <w:pPr>
            <w:pStyle w:val="TOC2"/>
            <w:tabs>
              <w:tab w:val="right" w:leader="dot" w:pos="9350"/>
            </w:tabs>
            <w:rPr>
              <w:noProof/>
            </w:rPr>
          </w:pPr>
          <w:hyperlink w:anchor="_Toc222589307" w:history="1">
            <w:r w:rsidRPr="004A39DA">
              <w:rPr>
                <w:rStyle w:val="Hyperlink"/>
                <w:noProof/>
              </w:rPr>
              <w:t>8.2 Cosmological Background</w:t>
            </w:r>
            <w:r>
              <w:rPr>
                <w:noProof/>
              </w:rPr>
              <w:tab/>
            </w:r>
            <w:r>
              <w:rPr>
                <w:noProof/>
              </w:rPr>
              <w:fldChar w:fldCharType="begin"/>
            </w:r>
            <w:r>
              <w:rPr>
                <w:noProof/>
              </w:rPr>
              <w:instrText xml:space="preserve"> PAGEREF _Toc222589307 \h </w:instrText>
            </w:r>
            <w:r>
              <w:rPr>
                <w:noProof/>
              </w:rPr>
            </w:r>
            <w:r>
              <w:rPr>
                <w:noProof/>
              </w:rPr>
              <w:fldChar w:fldCharType="separate"/>
            </w:r>
            <w:r>
              <w:rPr>
                <w:noProof/>
              </w:rPr>
              <w:t>23</w:t>
            </w:r>
            <w:r>
              <w:rPr>
                <w:noProof/>
              </w:rPr>
              <w:fldChar w:fldCharType="end"/>
            </w:r>
          </w:hyperlink>
        </w:p>
        <w:p w14:paraId="1B7EC766" w14:textId="77777777" w:rsidR="004077E5" w:rsidRDefault="004077E5">
          <w:pPr>
            <w:pStyle w:val="TOC2"/>
            <w:tabs>
              <w:tab w:val="right" w:leader="dot" w:pos="9350"/>
            </w:tabs>
            <w:rPr>
              <w:noProof/>
            </w:rPr>
          </w:pPr>
          <w:hyperlink w:anchor="_Toc222589308" w:history="1">
            <w:r w:rsidRPr="004A39DA">
              <w:rPr>
                <w:rStyle w:val="Hyperlink"/>
                <w:noProof/>
              </w:rPr>
              <w:t>8.3 Cosmological Perturbations</w:t>
            </w:r>
            <w:r>
              <w:rPr>
                <w:noProof/>
              </w:rPr>
              <w:tab/>
            </w:r>
            <w:r>
              <w:rPr>
                <w:noProof/>
              </w:rPr>
              <w:fldChar w:fldCharType="begin"/>
            </w:r>
            <w:r>
              <w:rPr>
                <w:noProof/>
              </w:rPr>
              <w:instrText xml:space="preserve"> PAGEREF _Toc222589308 \h </w:instrText>
            </w:r>
            <w:r>
              <w:rPr>
                <w:noProof/>
              </w:rPr>
            </w:r>
            <w:r>
              <w:rPr>
                <w:noProof/>
              </w:rPr>
              <w:fldChar w:fldCharType="separate"/>
            </w:r>
            <w:r>
              <w:rPr>
                <w:noProof/>
              </w:rPr>
              <w:t>23</w:t>
            </w:r>
            <w:r>
              <w:rPr>
                <w:noProof/>
              </w:rPr>
              <w:fldChar w:fldCharType="end"/>
            </w:r>
          </w:hyperlink>
        </w:p>
        <w:p w14:paraId="69B467AC" w14:textId="77777777" w:rsidR="004077E5" w:rsidRDefault="004077E5">
          <w:pPr>
            <w:pStyle w:val="TOC2"/>
            <w:tabs>
              <w:tab w:val="right" w:leader="dot" w:pos="9350"/>
            </w:tabs>
            <w:rPr>
              <w:noProof/>
            </w:rPr>
          </w:pPr>
          <w:hyperlink w:anchor="_Toc222589309" w:history="1">
            <w:r w:rsidRPr="004A39DA">
              <w:rPr>
                <w:rStyle w:val="Hyperlink"/>
                <w:noProof/>
              </w:rPr>
              <w:t>8.4 Domain Partition and Honest Scope</w:t>
            </w:r>
            <w:r>
              <w:rPr>
                <w:noProof/>
              </w:rPr>
              <w:tab/>
            </w:r>
            <w:r>
              <w:rPr>
                <w:noProof/>
              </w:rPr>
              <w:fldChar w:fldCharType="begin"/>
            </w:r>
            <w:r>
              <w:rPr>
                <w:noProof/>
              </w:rPr>
              <w:instrText xml:space="preserve"> PAGEREF _Toc222589309 \h </w:instrText>
            </w:r>
            <w:r>
              <w:rPr>
                <w:noProof/>
              </w:rPr>
            </w:r>
            <w:r>
              <w:rPr>
                <w:noProof/>
              </w:rPr>
              <w:fldChar w:fldCharType="separate"/>
            </w:r>
            <w:r>
              <w:rPr>
                <w:noProof/>
              </w:rPr>
              <w:t>24</w:t>
            </w:r>
            <w:r>
              <w:rPr>
                <w:noProof/>
              </w:rPr>
              <w:fldChar w:fldCharType="end"/>
            </w:r>
          </w:hyperlink>
        </w:p>
        <w:p w14:paraId="48FA3219" w14:textId="77777777" w:rsidR="004077E5" w:rsidRDefault="004077E5">
          <w:pPr>
            <w:pStyle w:val="TOC1"/>
            <w:tabs>
              <w:tab w:val="right" w:leader="dot" w:pos="9350"/>
            </w:tabs>
            <w:rPr>
              <w:noProof/>
            </w:rPr>
          </w:pPr>
          <w:hyperlink w:anchor="_Toc222589310" w:history="1">
            <w:r w:rsidRPr="004A39DA">
              <w:rPr>
                <w:rStyle w:val="Hyperlink"/>
                <w:noProof/>
              </w:rPr>
              <w:t>9. Discussion</w:t>
            </w:r>
            <w:r>
              <w:rPr>
                <w:noProof/>
              </w:rPr>
              <w:tab/>
            </w:r>
            <w:r>
              <w:rPr>
                <w:noProof/>
              </w:rPr>
              <w:fldChar w:fldCharType="begin"/>
            </w:r>
            <w:r>
              <w:rPr>
                <w:noProof/>
              </w:rPr>
              <w:instrText xml:space="preserve"> PAGEREF _Toc222589310 \h </w:instrText>
            </w:r>
            <w:r>
              <w:rPr>
                <w:noProof/>
              </w:rPr>
            </w:r>
            <w:r>
              <w:rPr>
                <w:noProof/>
              </w:rPr>
              <w:fldChar w:fldCharType="separate"/>
            </w:r>
            <w:r>
              <w:rPr>
                <w:noProof/>
              </w:rPr>
              <w:t>25</w:t>
            </w:r>
            <w:r>
              <w:rPr>
                <w:noProof/>
              </w:rPr>
              <w:fldChar w:fldCharType="end"/>
            </w:r>
          </w:hyperlink>
        </w:p>
        <w:p w14:paraId="4160CDF0" w14:textId="77777777" w:rsidR="004077E5" w:rsidRDefault="004077E5">
          <w:pPr>
            <w:pStyle w:val="TOC2"/>
            <w:tabs>
              <w:tab w:val="right" w:leader="dot" w:pos="9350"/>
            </w:tabs>
            <w:rPr>
              <w:noProof/>
            </w:rPr>
          </w:pPr>
          <w:hyperlink w:anchor="_Toc222589311" w:history="1">
            <w:r w:rsidRPr="004A39DA">
              <w:rPr>
                <w:rStyle w:val="Hyperlink"/>
                <w:noProof/>
              </w:rPr>
              <w:t>9.1 What the Response Sector Is (and What It Is Not)</w:t>
            </w:r>
            <w:r>
              <w:rPr>
                <w:noProof/>
              </w:rPr>
              <w:tab/>
            </w:r>
            <w:r>
              <w:rPr>
                <w:noProof/>
              </w:rPr>
              <w:fldChar w:fldCharType="begin"/>
            </w:r>
            <w:r>
              <w:rPr>
                <w:noProof/>
              </w:rPr>
              <w:instrText xml:space="preserve"> PAGEREF _Toc222589311 \h </w:instrText>
            </w:r>
            <w:r>
              <w:rPr>
                <w:noProof/>
              </w:rPr>
            </w:r>
            <w:r>
              <w:rPr>
                <w:noProof/>
              </w:rPr>
              <w:fldChar w:fldCharType="separate"/>
            </w:r>
            <w:r>
              <w:rPr>
                <w:noProof/>
              </w:rPr>
              <w:t>25</w:t>
            </w:r>
            <w:r>
              <w:rPr>
                <w:noProof/>
              </w:rPr>
              <w:fldChar w:fldCharType="end"/>
            </w:r>
          </w:hyperlink>
        </w:p>
        <w:p w14:paraId="39C93665" w14:textId="77777777" w:rsidR="004077E5" w:rsidRDefault="004077E5">
          <w:pPr>
            <w:pStyle w:val="TOC2"/>
            <w:tabs>
              <w:tab w:val="right" w:leader="dot" w:pos="9350"/>
            </w:tabs>
            <w:rPr>
              <w:noProof/>
            </w:rPr>
          </w:pPr>
          <w:hyperlink w:anchor="_Toc222589312" w:history="1">
            <w:r w:rsidRPr="004A39DA">
              <w:rPr>
                <w:rStyle w:val="Hyperlink"/>
                <w:noProof/>
              </w:rPr>
              <w:t>9.2 Relation to MOND and TeVeS</w:t>
            </w:r>
            <w:r>
              <w:rPr>
                <w:noProof/>
              </w:rPr>
              <w:tab/>
            </w:r>
            <w:r>
              <w:rPr>
                <w:noProof/>
              </w:rPr>
              <w:fldChar w:fldCharType="begin"/>
            </w:r>
            <w:r>
              <w:rPr>
                <w:noProof/>
              </w:rPr>
              <w:instrText xml:space="preserve"> PAGEREF _Toc222589312 \h </w:instrText>
            </w:r>
            <w:r>
              <w:rPr>
                <w:noProof/>
              </w:rPr>
            </w:r>
            <w:r>
              <w:rPr>
                <w:noProof/>
              </w:rPr>
              <w:fldChar w:fldCharType="separate"/>
            </w:r>
            <w:r>
              <w:rPr>
                <w:noProof/>
              </w:rPr>
              <w:t>25</w:t>
            </w:r>
            <w:r>
              <w:rPr>
                <w:noProof/>
              </w:rPr>
              <w:fldChar w:fldCharType="end"/>
            </w:r>
          </w:hyperlink>
        </w:p>
        <w:p w14:paraId="7738A218" w14:textId="77777777" w:rsidR="004077E5" w:rsidRDefault="004077E5">
          <w:pPr>
            <w:pStyle w:val="TOC2"/>
            <w:tabs>
              <w:tab w:val="right" w:leader="dot" w:pos="9350"/>
            </w:tabs>
            <w:rPr>
              <w:noProof/>
            </w:rPr>
          </w:pPr>
          <w:hyperlink w:anchor="_Toc222589313" w:history="1">
            <w:r w:rsidRPr="004A39DA">
              <w:rPr>
                <w:rStyle w:val="Hyperlink"/>
                <w:noProof/>
              </w:rPr>
              <w:t>9.3 Relation to Emergent Gravity and Nonlocal Gravity</w:t>
            </w:r>
            <w:r>
              <w:rPr>
                <w:noProof/>
              </w:rPr>
              <w:tab/>
            </w:r>
            <w:r>
              <w:rPr>
                <w:noProof/>
              </w:rPr>
              <w:fldChar w:fldCharType="begin"/>
            </w:r>
            <w:r>
              <w:rPr>
                <w:noProof/>
              </w:rPr>
              <w:instrText xml:space="preserve"> PAGEREF _Toc222589313 \h </w:instrText>
            </w:r>
            <w:r>
              <w:rPr>
                <w:noProof/>
              </w:rPr>
            </w:r>
            <w:r>
              <w:rPr>
                <w:noProof/>
              </w:rPr>
              <w:fldChar w:fldCharType="separate"/>
            </w:r>
            <w:r>
              <w:rPr>
                <w:noProof/>
              </w:rPr>
              <w:t>25</w:t>
            </w:r>
            <w:r>
              <w:rPr>
                <w:noProof/>
              </w:rPr>
              <w:fldChar w:fldCharType="end"/>
            </w:r>
          </w:hyperlink>
        </w:p>
        <w:p w14:paraId="52AF7804" w14:textId="77777777" w:rsidR="004077E5" w:rsidRDefault="004077E5">
          <w:pPr>
            <w:pStyle w:val="TOC2"/>
            <w:tabs>
              <w:tab w:val="right" w:leader="dot" w:pos="9350"/>
            </w:tabs>
            <w:rPr>
              <w:noProof/>
            </w:rPr>
          </w:pPr>
          <w:hyperlink w:anchor="_Toc222589314" w:history="1">
            <w:r w:rsidRPr="004A39DA">
              <w:rPr>
                <w:rStyle w:val="Hyperlink"/>
                <w:noProof/>
              </w:rPr>
              <w:t>9.4 Strengths of the Current Work</w:t>
            </w:r>
            <w:r>
              <w:rPr>
                <w:noProof/>
              </w:rPr>
              <w:tab/>
            </w:r>
            <w:r>
              <w:rPr>
                <w:noProof/>
              </w:rPr>
              <w:fldChar w:fldCharType="begin"/>
            </w:r>
            <w:r>
              <w:rPr>
                <w:noProof/>
              </w:rPr>
              <w:instrText xml:space="preserve"> PAGEREF _Toc222589314 \h </w:instrText>
            </w:r>
            <w:r>
              <w:rPr>
                <w:noProof/>
              </w:rPr>
            </w:r>
            <w:r>
              <w:rPr>
                <w:noProof/>
              </w:rPr>
              <w:fldChar w:fldCharType="separate"/>
            </w:r>
            <w:r>
              <w:rPr>
                <w:noProof/>
              </w:rPr>
              <w:t>25</w:t>
            </w:r>
            <w:r>
              <w:rPr>
                <w:noProof/>
              </w:rPr>
              <w:fldChar w:fldCharType="end"/>
            </w:r>
          </w:hyperlink>
        </w:p>
        <w:p w14:paraId="309C10B0" w14:textId="77777777" w:rsidR="004077E5" w:rsidRDefault="004077E5">
          <w:pPr>
            <w:pStyle w:val="TOC2"/>
            <w:tabs>
              <w:tab w:val="right" w:leader="dot" w:pos="9350"/>
            </w:tabs>
            <w:rPr>
              <w:noProof/>
            </w:rPr>
          </w:pPr>
          <w:hyperlink w:anchor="_Toc222589315" w:history="1">
            <w:r w:rsidRPr="004A39DA">
              <w:rPr>
                <w:rStyle w:val="Hyperlink"/>
                <w:noProof/>
              </w:rPr>
              <w:t>9.5 Limitations and Open Questions</w:t>
            </w:r>
            <w:r>
              <w:rPr>
                <w:noProof/>
              </w:rPr>
              <w:tab/>
            </w:r>
            <w:r>
              <w:rPr>
                <w:noProof/>
              </w:rPr>
              <w:fldChar w:fldCharType="begin"/>
            </w:r>
            <w:r>
              <w:rPr>
                <w:noProof/>
              </w:rPr>
              <w:instrText xml:space="preserve"> PAGEREF _Toc222589315 \h </w:instrText>
            </w:r>
            <w:r>
              <w:rPr>
                <w:noProof/>
              </w:rPr>
            </w:r>
            <w:r>
              <w:rPr>
                <w:noProof/>
              </w:rPr>
              <w:fldChar w:fldCharType="separate"/>
            </w:r>
            <w:r>
              <w:rPr>
                <w:noProof/>
              </w:rPr>
              <w:t>25</w:t>
            </w:r>
            <w:r>
              <w:rPr>
                <w:noProof/>
              </w:rPr>
              <w:fldChar w:fldCharType="end"/>
            </w:r>
          </w:hyperlink>
        </w:p>
        <w:p w14:paraId="6E39049B" w14:textId="77777777" w:rsidR="004077E5" w:rsidRDefault="004077E5">
          <w:pPr>
            <w:pStyle w:val="TOC2"/>
            <w:tabs>
              <w:tab w:val="right" w:leader="dot" w:pos="9350"/>
            </w:tabs>
            <w:rPr>
              <w:noProof/>
            </w:rPr>
          </w:pPr>
          <w:hyperlink w:anchor="_Toc222589316" w:history="1">
            <w:r w:rsidRPr="004A39DA">
              <w:rPr>
                <w:rStyle w:val="Hyperlink"/>
                <w:noProof/>
              </w:rPr>
              <w:t>9.6 The Historical Lesson</w:t>
            </w:r>
            <w:r>
              <w:rPr>
                <w:noProof/>
              </w:rPr>
              <w:tab/>
            </w:r>
            <w:r>
              <w:rPr>
                <w:noProof/>
              </w:rPr>
              <w:fldChar w:fldCharType="begin"/>
            </w:r>
            <w:r>
              <w:rPr>
                <w:noProof/>
              </w:rPr>
              <w:instrText xml:space="preserve"> PAGEREF _Toc222589316 \h </w:instrText>
            </w:r>
            <w:r>
              <w:rPr>
                <w:noProof/>
              </w:rPr>
            </w:r>
            <w:r>
              <w:rPr>
                <w:noProof/>
              </w:rPr>
              <w:fldChar w:fldCharType="separate"/>
            </w:r>
            <w:r>
              <w:rPr>
                <w:noProof/>
              </w:rPr>
              <w:t>26</w:t>
            </w:r>
            <w:r>
              <w:rPr>
                <w:noProof/>
              </w:rPr>
              <w:fldChar w:fldCharType="end"/>
            </w:r>
          </w:hyperlink>
        </w:p>
        <w:p w14:paraId="1C7291E4" w14:textId="77777777" w:rsidR="004077E5" w:rsidRDefault="004077E5">
          <w:pPr>
            <w:pStyle w:val="TOC1"/>
            <w:tabs>
              <w:tab w:val="right" w:leader="dot" w:pos="9350"/>
            </w:tabs>
            <w:rPr>
              <w:noProof/>
            </w:rPr>
          </w:pPr>
          <w:hyperlink w:anchor="_Toc222589317" w:history="1">
            <w:r w:rsidRPr="004A39DA">
              <w:rPr>
                <w:rStyle w:val="Hyperlink"/>
                <w:noProof/>
              </w:rPr>
              <w:t>10. Conclusion</w:t>
            </w:r>
            <w:r>
              <w:rPr>
                <w:noProof/>
              </w:rPr>
              <w:tab/>
            </w:r>
            <w:r>
              <w:rPr>
                <w:noProof/>
              </w:rPr>
              <w:fldChar w:fldCharType="begin"/>
            </w:r>
            <w:r>
              <w:rPr>
                <w:noProof/>
              </w:rPr>
              <w:instrText xml:space="preserve"> PAGEREF _Toc222589317 \h </w:instrText>
            </w:r>
            <w:r>
              <w:rPr>
                <w:noProof/>
              </w:rPr>
            </w:r>
            <w:r>
              <w:rPr>
                <w:noProof/>
              </w:rPr>
              <w:fldChar w:fldCharType="separate"/>
            </w:r>
            <w:r>
              <w:rPr>
                <w:noProof/>
              </w:rPr>
              <w:t>27</w:t>
            </w:r>
            <w:r>
              <w:rPr>
                <w:noProof/>
              </w:rPr>
              <w:fldChar w:fldCharType="end"/>
            </w:r>
          </w:hyperlink>
        </w:p>
        <w:p w14:paraId="72539ABD" w14:textId="77777777" w:rsidR="004077E5" w:rsidRDefault="004077E5">
          <w:pPr>
            <w:pStyle w:val="TOC1"/>
            <w:tabs>
              <w:tab w:val="right" w:leader="dot" w:pos="9350"/>
            </w:tabs>
            <w:rPr>
              <w:noProof/>
            </w:rPr>
          </w:pPr>
          <w:hyperlink w:anchor="_Toc222589318" w:history="1">
            <w:r w:rsidRPr="004A39DA">
              <w:rPr>
                <w:rStyle w:val="Hyperlink"/>
                <w:noProof/>
              </w:rPr>
              <w:t>References</w:t>
            </w:r>
            <w:r>
              <w:rPr>
                <w:noProof/>
              </w:rPr>
              <w:tab/>
            </w:r>
            <w:r>
              <w:rPr>
                <w:noProof/>
              </w:rPr>
              <w:fldChar w:fldCharType="begin"/>
            </w:r>
            <w:r>
              <w:rPr>
                <w:noProof/>
              </w:rPr>
              <w:instrText xml:space="preserve"> PAGEREF _Toc222589318 \h </w:instrText>
            </w:r>
            <w:r>
              <w:rPr>
                <w:noProof/>
              </w:rPr>
            </w:r>
            <w:r>
              <w:rPr>
                <w:noProof/>
              </w:rPr>
              <w:fldChar w:fldCharType="separate"/>
            </w:r>
            <w:r>
              <w:rPr>
                <w:noProof/>
              </w:rPr>
              <w:t>28</w:t>
            </w:r>
            <w:r>
              <w:rPr>
                <w:noProof/>
              </w:rPr>
              <w:fldChar w:fldCharType="end"/>
            </w:r>
          </w:hyperlink>
        </w:p>
        <w:p w14:paraId="0C64265F" w14:textId="77777777" w:rsidR="006C1CD8" w:rsidRDefault="00000000">
          <w:r>
            <w:fldChar w:fldCharType="end"/>
          </w:r>
        </w:p>
      </w:sdtContent>
    </w:sdt>
    <w:p w14:paraId="7920B897" w14:textId="77777777" w:rsidR="006C1CD8" w:rsidRDefault="00000000">
      <w:r>
        <w:br w:type="page"/>
      </w:r>
    </w:p>
    <w:p w14:paraId="77566DE4" w14:textId="77777777" w:rsidR="006C1CD8" w:rsidRDefault="00000000">
      <w:pPr>
        <w:pStyle w:val="Heading1"/>
      </w:pPr>
      <w:bookmarkStart w:id="2" w:name="_Toc222589263"/>
      <w:r>
        <w:t>Abstract</w:t>
      </w:r>
      <w:bookmarkEnd w:id="2"/>
    </w:p>
    <w:p w14:paraId="49C2B98A" w14:textId="0D1D7A1E" w:rsidR="006C1CD8" w:rsidRDefault="00000000">
      <w:pPr>
        <w:spacing w:after="200" w:line="276" w:lineRule="auto"/>
      </w:pPr>
      <w:r>
        <w:t xml:space="preserve">We present a systematic, falsification-first framework for explaining galaxy rotation-curve anomalies without invoking particulate cold dark matter. Working strictly within general relativity (GR), we define the response-sector stress–energy </w:t>
      </w:r>
      <m:oMath>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oMath>
      <w:r w:rsidR="00214E42">
        <w:t xml:space="preserve"> </w:t>
      </w:r>
      <w:r>
        <w:t xml:space="preserve">as the minimal effective source required so that the metric potentials inferred from observed kinematics satisfy the Einstein equation with baryons alone. We operationalize this as an inverse-GR construction: observed rotation curves constrain the Newtonian-gauge potential Φ; the residual acceleration beyond baryonic predictions defines an effective extra density whose outer behavior scales as </w:t>
      </w:r>
      <m:oMath>
        <m:r>
          <w:rPr>
            <w:rFonts w:ascii="Cambria Math" w:hAnsi="Cambria Math"/>
          </w:rPr>
          <m:t>1</m:t>
        </m:r>
        <m:r>
          <m:rPr>
            <m:lit/>
          </m:rPr>
          <w:rPr>
            <w:rFonts w:ascii="Cambria Math" w:hAnsi="Cambria Math"/>
          </w:rPr>
          <m:t>/</m:t>
        </m:r>
        <m:r>
          <w:rPr>
            <w:rFonts w:ascii="Cambria Math" w:hAnsi="Cambria Math"/>
          </w:rPr>
          <m:t>r</m:t>
        </m:r>
        <m:r>
          <w:rPr>
            <w:rFonts w:ascii="Cambria Math" w:hAnsi="Cambria Math"/>
            <w:vertAlign w:val="superscript"/>
          </w:rPr>
          <m:t>2</m:t>
        </m:r>
      </m:oMath>
      <w:r>
        <w:t>, matching the classic “halo” profile—but interpreted here as the effective stress–energy of a spacetime response, not a new matter species.</w:t>
      </w:r>
    </w:p>
    <w:p w14:paraId="2E2681DD" w14:textId="77777777" w:rsidR="004077E5" w:rsidRDefault="00000000">
      <w:pPr>
        <w:spacing w:after="200" w:line="276" w:lineRule="auto"/>
      </w:pPr>
      <w:r>
        <w:t xml:space="preserve">We compress the inverse freedom with a boundary-layer closure: an auxiliary scalar field sourced near the baryonic transition radius (where </w:t>
      </w:r>
      <w:proofErr w:type="spellStart"/>
      <w:r>
        <w:rPr>
          <w:i/>
          <w:iCs/>
        </w:rPr>
        <w:t>g</w:t>
      </w:r>
      <w:r>
        <w:rPr>
          <w:vertAlign w:val="subscript"/>
        </w:rPr>
        <w:t>bar</w:t>
      </w:r>
      <w:proofErr w:type="spellEnd"/>
      <w:r>
        <w:t xml:space="preserve"> ≈ </w:t>
      </w:r>
      <w:r>
        <w:rPr>
          <w:i/>
          <w:iCs/>
        </w:rPr>
        <w:t>a</w:t>
      </w:r>
      <w:r>
        <w:rPr>
          <w:vertAlign w:val="subscript"/>
        </w:rPr>
        <w:t>0</w:t>
      </w:r>
      <w:r>
        <w:t xml:space="preserve">) and obeying an approximate flux-conservation law outside it, yielding a </w:t>
      </w:r>
      <m:oMath>
        <m:f>
          <m:fPr>
            <m:ctrlPr>
              <w:rPr>
                <w:rFonts w:ascii="Cambria Math" w:hAnsi="Cambria Math"/>
                <w:i/>
              </w:rPr>
            </m:ctrlPr>
          </m:fPr>
          <m:num>
            <m:r>
              <w:rPr>
                <w:rFonts w:ascii="Cambria Math" w:hAnsi="Cambria Math"/>
              </w:rPr>
              <m:t>1</m:t>
            </m:r>
          </m:num>
          <m:den>
            <m:r>
              <w:rPr>
                <w:rFonts w:ascii="Cambria Math" w:hAnsi="Cambria Math"/>
              </w:rPr>
              <m:t>R</m:t>
            </m:r>
          </m:den>
        </m:f>
      </m:oMath>
      <w:r>
        <w:t xml:space="preserve"> gradient with a single amplitude parameter </w:t>
      </w:r>
      <w:r>
        <w:rPr>
          <w:i/>
          <w:iCs/>
        </w:rPr>
        <w:t>Q</w:t>
      </w:r>
      <w:r>
        <w:t xml:space="preserve">. Applied to 175 galaxies from the Spitzer Photometry and Accurate Rotation Curves (SPARC) database, the framework achieves: </w:t>
      </w:r>
    </w:p>
    <w:p w14:paraId="36D07581" w14:textId="7638A390" w:rsidR="004077E5" w:rsidRDefault="00000000" w:rsidP="004077E5">
      <w:pPr>
        <w:pStyle w:val="ListParagraph"/>
        <w:numPr>
          <w:ilvl w:val="0"/>
          <w:numId w:val="3"/>
        </w:numPr>
        <w:spacing w:after="200" w:line="276" w:lineRule="auto"/>
      </w:pPr>
      <w:r>
        <w:t xml:space="preserve">very strong fit improvement over baryons-only for 92% of galaxies; </w:t>
      </w:r>
    </w:p>
    <w:p w14:paraId="1C87D666" w14:textId="77777777" w:rsidR="004077E5" w:rsidRDefault="00000000" w:rsidP="004077E5">
      <w:pPr>
        <w:pStyle w:val="ListParagraph"/>
        <w:numPr>
          <w:ilvl w:val="0"/>
          <w:numId w:val="3"/>
        </w:numPr>
        <w:spacing w:after="200" w:line="276" w:lineRule="auto"/>
      </w:pPr>
      <w:r>
        <w:t xml:space="preserve">BIC overfitting rejection in 97% of cases; </w:t>
      </w:r>
    </w:p>
    <w:p w14:paraId="56F6FF77" w14:textId="77777777" w:rsidR="004077E5" w:rsidRDefault="00000000" w:rsidP="004077E5">
      <w:pPr>
        <w:pStyle w:val="ListParagraph"/>
        <w:numPr>
          <w:ilvl w:val="0"/>
          <w:numId w:val="3"/>
        </w:numPr>
        <w:spacing w:after="200" w:line="276" w:lineRule="auto"/>
      </w:pPr>
      <w:r>
        <w:t xml:space="preserve">recovery of the baryonic Tully–Fisher relation as an emergent consequence (Spearman ρ = 0.94); and </w:t>
      </w:r>
    </w:p>
    <w:p w14:paraId="4E54CAC2" w14:textId="45B9B1CA" w:rsidR="006C1CD8" w:rsidRDefault="00000000" w:rsidP="004077E5">
      <w:pPr>
        <w:pStyle w:val="ListParagraph"/>
        <w:numPr>
          <w:ilvl w:val="0"/>
          <w:numId w:val="3"/>
        </w:numPr>
        <w:spacing w:after="200" w:line="276" w:lineRule="auto"/>
      </w:pPr>
      <w:r>
        <w:t xml:space="preserve">confirmation of fitted amplitudes by an independent robust estimator (Huber </w:t>
      </w:r>
      <w:r w:rsidRPr="004077E5">
        <w:rPr>
          <w:i/>
          <w:iCs/>
        </w:rPr>
        <w:t>M</w:t>
      </w:r>
      <w:r>
        <w:t>-estimator; Spearman ρ ≈ 0.97).</w:t>
      </w:r>
    </w:p>
    <w:p w14:paraId="25F35656" w14:textId="77777777" w:rsidR="006C1CD8" w:rsidRDefault="00000000">
      <w:pPr>
        <w:spacing w:after="200" w:line="276" w:lineRule="auto"/>
      </w:pPr>
      <w:r>
        <w:t>We enumerate four explicit falsification criteria, provide a first lensing-facing statement (metric-equivalence working hypothesis with predicted gravitational slip as a key discriminant), and sketch the minimal cosmological viability requirements. This work establishes the galaxy-domain closure; cosmological completion remains a defined program.</w:t>
      </w:r>
    </w:p>
    <w:p w14:paraId="0343DD44" w14:textId="77777777" w:rsidR="006C1CD8" w:rsidRDefault="00000000">
      <w:pPr>
        <w:spacing w:after="200" w:line="276" w:lineRule="auto"/>
      </w:pPr>
      <w:r>
        <w:rPr>
          <w:b/>
          <w:bCs/>
        </w:rPr>
        <w:t xml:space="preserve">Keywords: </w:t>
      </w:r>
      <w:r>
        <w:t>galaxy rotation curves, dark matter alternatives, general relativity, effective field theory, response-sector stress–energy, boundary-layer physics, SPARC database, falsification criteria</w:t>
      </w:r>
    </w:p>
    <w:p w14:paraId="5D8C19C5" w14:textId="77777777" w:rsidR="006C1CD8" w:rsidRDefault="00000000">
      <w:r>
        <w:br w:type="page"/>
      </w:r>
    </w:p>
    <w:p w14:paraId="62C590E1" w14:textId="77777777" w:rsidR="006C1CD8" w:rsidRDefault="00000000">
      <w:pPr>
        <w:pStyle w:val="Heading1"/>
      </w:pPr>
      <w:bookmarkStart w:id="3" w:name="_Toc222589264"/>
      <w:r>
        <w:t>1. Introduction</w:t>
      </w:r>
      <w:bookmarkEnd w:id="3"/>
    </w:p>
    <w:p w14:paraId="5053F150" w14:textId="77777777" w:rsidR="006C1CD8" w:rsidRDefault="00000000">
      <w:pPr>
        <w:spacing w:after="200" w:line="276" w:lineRule="auto"/>
      </w:pPr>
      <w:r>
        <w:t>For nearly a century, the dark-matter paradigm has served as the dominant explanatory framework for gravitational anomalies at galactic and cosmological scales. Beginning with Zwicky’s (1933) inference of “missing mass” in the Coma Cluster and reinforced by galactic rotation-curve measurements (Rubin &amp; Ford, 1970; Bosma, 1978), the hypothesis that a non-luminous, non-baryonic matter component pervades the universe has become deeply embedded in astrophysical practice. The ΛCDM concordance model—in which cold dark matter provides approximately 27% of the cosmic energy budget—fits the cosmic microwave background power spectrum (Planck Collaboration, 2020), baryon acoustic oscillation data, and the broad features of large-scale structure with remarkable precision.</w:t>
      </w:r>
    </w:p>
    <w:p w14:paraId="3F5D6148" w14:textId="77777777" w:rsidR="006C1CD8" w:rsidRDefault="00000000">
      <w:pPr>
        <w:spacing w:after="200" w:line="276" w:lineRule="auto"/>
      </w:pPr>
      <w:r>
        <w:t>Yet the foundational assumption of ΛCDM—that a new particle species exists and interacts primarily through gravity—remains empirically unverified. Decades of increasingly sensitive direct-detection experiments, including LUX (</w:t>
      </w:r>
      <w:proofErr w:type="spellStart"/>
      <w:r>
        <w:t>Akerib</w:t>
      </w:r>
      <w:proofErr w:type="spellEnd"/>
      <w:r>
        <w:t xml:space="preserve"> et al., 2017), XENON1T (Aprile et al., 2018), and PandaX-II (Cui et al., 2017), have yielded null results. Indirect searches via cosmic-ray spectra (Aguilar et al., 2013) and gamma-ray observations of dwarf spheroidal galaxies (Ackermann et al., 2015) have likewise failed to identify a dark-matter signal. Collider experiments at the LHC have found no evidence of dark-matter production. These persistent null results, spanning three independent detection channels, invite a re-examination of the premises that led to the dark-matter hypothesis.</w:t>
      </w:r>
    </w:p>
    <w:p w14:paraId="7C69CB1D" w14:textId="77777777" w:rsidR="006C1CD8" w:rsidRDefault="00000000">
      <w:pPr>
        <w:spacing w:after="200" w:line="276" w:lineRule="auto"/>
      </w:pPr>
      <w:r>
        <w:t xml:space="preserve">This paper develops a specific, testable alternative. We retain the Einstein field equations in their standard form—the left-hand side (geometry) is unchanged—and ask what </w:t>
      </w:r>
      <w:r>
        <w:rPr>
          <w:i/>
          <w:iCs/>
        </w:rPr>
        <w:t>effective stress–energy</w:t>
      </w:r>
      <w:r>
        <w:t xml:space="preserve"> on the right-hand side is required to explain observed rotation curves if we do not assume particulate CDM. The organizing equation is:</w:t>
      </w:r>
    </w:p>
    <w:p w14:paraId="125579FD" w14:textId="1B835D9C" w:rsidR="00C94556" w:rsidRDefault="00C94556">
      <w:pPr>
        <w:spacing w:after="200" w:line="276" w:lineRule="auto"/>
        <w:rPr>
          <w:rFonts w:ascii="Cambria Math" w:eastAsia="Cambria Math" w:hAnsi="Cambria Math" w:cs="Cambria Math"/>
          <w:i/>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m:rPr>
                  <m:sty m:val="p"/>
                </m:rPr>
                <w:rPr>
                  <w:rFonts w:ascii="Cambria Math" w:eastAsia="Cambria Math" w:hAnsi="Cambria Math" w:cs="Cambria Math"/>
                </w:rPr>
                <m:t>μν</m:t>
              </m:r>
            </m:sub>
          </m:sSub>
          <m:r>
            <w:rPr>
              <w:rFonts w:ascii="Cambria Math" w:eastAsia="Cambria Math" w:hAnsi="Cambria Math" w:cs="Cambria Math"/>
            </w:rPr>
            <m:t>=8</m:t>
          </m:r>
          <m:r>
            <m:rPr>
              <m:sty m:val="p"/>
            </m:rPr>
            <w:rPr>
              <w:rFonts w:ascii="Cambria Math" w:eastAsia="Cambria Math" w:hAnsi="Cambria Math" w:cs="Cambria Math"/>
            </w:rPr>
            <m:t>π</m:t>
          </m:r>
          <m:r>
            <w:rPr>
              <w:rFonts w:ascii="Cambria Math" w:eastAsia="Cambria Math" w:hAnsi="Cambria Math" w:cs="Cambria Math"/>
            </w:rPr>
            <m:t>G</m:t>
          </m:r>
          <m:d>
            <m:dPr>
              <m:ctrlPr>
                <w:rPr>
                  <w:rFonts w:ascii="Cambria Math" w:eastAsia="Cambria Math" w:hAnsi="Cambria Math" w:cs="Cambria Math"/>
                  <w:iCs/>
                </w:rPr>
              </m:ctrlPr>
            </m:dPr>
            <m:e>
              <m:sSubSup>
                <m:sSubSupPr>
                  <m:ctrlPr>
                    <w:rPr>
                      <w:rFonts w:ascii="Cambria Math" w:eastAsia="Cambria Math" w:hAnsi="Cambria Math" w:cs="Cambria Math"/>
                      <w:i/>
                      <w:iCs/>
                    </w:rPr>
                  </m:ctrlPr>
                </m:sSubSupPr>
                <m:e>
                  <m:r>
                    <w:rPr>
                      <w:rFonts w:ascii="Cambria Math" w:eastAsia="Cambria Math" w:hAnsi="Cambria Math" w:cs="Cambria Math"/>
                    </w:rPr>
                    <m:t>T</m:t>
                  </m:r>
                  <m:ctrlPr>
                    <w:rPr>
                      <w:rFonts w:ascii="Cambria Math" w:eastAsia="Cambria Math" w:hAnsi="Cambria Math" w:cs="Cambria Math"/>
                      <w:iCs/>
                    </w:rPr>
                  </m:ctrlPr>
                </m:e>
                <m:sub>
                  <m:r>
                    <m:rPr>
                      <m:sty m:val="p"/>
                    </m:rPr>
                    <w:rPr>
                      <w:rFonts w:ascii="Cambria Math" w:eastAsia="Cambria Math" w:hAnsi="Cambria Math" w:cs="Cambria Math"/>
                    </w:rPr>
                    <m:t>μν</m:t>
                  </m:r>
                </m:sub>
                <m:sup>
                  <m:r>
                    <m:rPr>
                      <m:nor/>
                    </m:rPr>
                    <w:rPr>
                      <w:rFonts w:ascii="Cambria Math" w:eastAsia="Cambria Math" w:hAnsi="Cambria Math" w:cs="Cambria Math"/>
                      <w:iCs/>
                    </w:rPr>
                    <m:t>bar</m:t>
                  </m:r>
                </m:sup>
              </m:sSubSup>
              <m:r>
                <w:rPr>
                  <w:rFonts w:ascii="Cambria Math" w:eastAsia="Cambria Math" w:hAnsi="Cambria Math" w:cs="Cambria Math"/>
                </w:rPr>
                <m:t>+</m:t>
              </m:r>
              <m:sSubSup>
                <m:sSubSupPr>
                  <m:ctrlPr>
                    <w:rPr>
                      <w:rFonts w:ascii="Cambria Math" w:eastAsia="Cambria Math" w:hAnsi="Cambria Math" w:cs="Cambria Math"/>
                      <w:i/>
                      <w:iCs/>
                    </w:rPr>
                  </m:ctrlPr>
                </m:sSubSupPr>
                <m:e>
                  <m:r>
                    <w:rPr>
                      <w:rFonts w:ascii="Cambria Math" w:eastAsia="Cambria Math" w:hAnsi="Cambria Math" w:cs="Cambria Math"/>
                    </w:rPr>
                    <m:t>T</m:t>
                  </m:r>
                </m:e>
                <m:sub>
                  <m:r>
                    <m:rPr>
                      <m:sty m:val="p"/>
                    </m:rPr>
                    <w:rPr>
                      <w:rFonts w:ascii="Cambria Math" w:eastAsia="Cambria Math" w:hAnsi="Cambria Math" w:cs="Cambria Math"/>
                    </w:rPr>
                    <m:t>μν</m:t>
                  </m:r>
                </m:sub>
                <m:sup>
                  <m:r>
                    <m:rPr>
                      <m:nor/>
                    </m:rPr>
                    <w:rPr>
                      <w:rFonts w:ascii="Cambria Math" w:eastAsia="Cambria Math" w:hAnsi="Cambria Math" w:cs="Cambria Math"/>
                      <w:iCs/>
                    </w:rPr>
                    <m:t>resp</m:t>
                  </m:r>
                </m:sup>
              </m:sSubSup>
              <m:ctrlPr>
                <w:rPr>
                  <w:rFonts w:ascii="Cambria Math" w:eastAsia="Cambria Math" w:hAnsi="Cambria Math" w:cs="Cambria Math"/>
                  <w:i/>
                  <w:iCs/>
                </w:rPr>
              </m:ctrlPr>
            </m:e>
          </m:d>
        </m:oMath>
      </m:oMathPara>
    </w:p>
    <w:p w14:paraId="4102B02A" w14:textId="567EA942" w:rsidR="006C1CD8" w:rsidRDefault="00000000">
      <w:pPr>
        <w:spacing w:after="200" w:line="276" w:lineRule="auto"/>
      </w:pPr>
      <w:r>
        <w:t xml:space="preserve">where </w:t>
      </w:r>
      <m:oMath>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w:rPr>
                <w:rFonts w:ascii="Cambria Math" w:hAnsi="Cambria Math"/>
              </w:rPr>
              <m:t>resp</m:t>
            </m:r>
          </m:sup>
        </m:sSubSup>
      </m:oMath>
      <w:r w:rsidR="00C94556">
        <w:t xml:space="preserve"> </w:t>
      </w:r>
      <w:r>
        <w:t>is the response-sector stress–energy—the minimal effective source that accounts for the “missing curvature” in the circular-orbit sector. This is an inverse-GR construction: we work from observed phenomenology backward to the implied source, then compress the resulting freedom with a low-degree-of-freedom closure tied to baryonic structure.</w:t>
      </w:r>
    </w:p>
    <w:p w14:paraId="1F2D1D1E" w14:textId="77777777" w:rsidR="006C1CD8" w:rsidRDefault="00000000">
      <w:pPr>
        <w:spacing w:after="200" w:line="276" w:lineRule="auto"/>
      </w:pPr>
      <w:r>
        <w:t>The approach has a well-known historical precedent. In the nineteenth century, the anomalous perihelion precession of Mercury was widely attributed to an undiscovered intra-Mercurial planet, Vulcan (Le Verrier, 1859). The resolution came not from finding the unseen matter but from revising the gravitational framework itself—Einstein’s general relativity explained the anomaly through spacetime geometry (Einstein, 1915). We do not claim the analogy is exact, but the structural lesson is apt: when gravitational anomalies are attributed to unseen matter, the possibility that the anomaly reflects deeper geometric structure deserves serious investigation.</w:t>
      </w:r>
    </w:p>
    <w:p w14:paraId="20C2CF62" w14:textId="77777777" w:rsidR="006C1CD8" w:rsidRDefault="00000000">
      <w:pPr>
        <w:jc w:val="center"/>
      </w:pPr>
      <w:r>
        <w:rPr>
          <w:noProof/>
        </w:rPr>
        <w:drawing>
          <wp:inline distT="0" distB="0" distL="0" distR="0" wp14:anchorId="7C341095" wp14:editId="746D12DF">
            <wp:extent cx="4953000" cy="3238500"/>
            <wp:effectExtent l="0" t="0" r="0" b="0"/>
            <wp:docPr id="1" name="/home/claude/concept_image.jpg" descr="/home/claude/concept_image.jpg" title="/home/claude/concep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38500"/>
                    </a:xfrm>
                    <a:prstGeom prst="rect">
                      <a:avLst/>
                    </a:prstGeom>
                  </pic:spPr>
                </pic:pic>
              </a:graphicData>
            </a:graphic>
          </wp:inline>
        </w:drawing>
      </w:r>
    </w:p>
    <w:p w14:paraId="6C9AA104" w14:textId="77777777" w:rsidR="006C1CD8" w:rsidRDefault="00000000">
      <w:pPr>
        <w:spacing w:before="120" w:after="240"/>
        <w:ind w:left="720" w:right="720"/>
        <w:jc w:val="both"/>
      </w:pPr>
      <w:r>
        <w:rPr>
          <w:b/>
          <w:bCs/>
        </w:rPr>
        <w:t xml:space="preserve">Figure 1. </w:t>
      </w:r>
      <w:r>
        <w:rPr>
          <w:i/>
          <w:iCs/>
        </w:rPr>
        <w:t>Conceptual schematic of the response-sector framework. The central luminous disk represents the baryonic mass distribution. Concentric lobes illustrate the radial residual Δ(R) = V</w:t>
      </w:r>
      <w:r>
        <w:rPr>
          <w:i/>
          <w:iCs/>
          <w:vertAlign w:val="superscript"/>
        </w:rPr>
        <w:t>²</w:t>
      </w:r>
      <w:r>
        <w:rPr>
          <w:i/>
          <w:iCs/>
        </w:rPr>
        <w:t>obs − V</w:t>
      </w:r>
      <w:r>
        <w:rPr>
          <w:i/>
          <w:iCs/>
          <w:vertAlign w:val="superscript"/>
        </w:rPr>
        <w:t>²</w:t>
      </w:r>
      <w:r>
        <w:rPr>
          <w:i/>
          <w:iCs/>
        </w:rPr>
        <w:t>bar, with compression (Δ &gt; 0, orange) and rarefaction (Δ &lt; 0, blue) zones. The dashed ellipse marks the transition radius R</w:t>
      </w:r>
      <w:r>
        <w:rPr>
          <w:i/>
          <w:iCs/>
          <w:vertAlign w:val="subscript"/>
        </w:rPr>
        <w:t>t</w:t>
      </w:r>
      <w:r>
        <w:rPr>
          <w:i/>
          <w:iCs/>
        </w:rPr>
        <w:t xml:space="preserve"> where </w:t>
      </w:r>
      <w:proofErr w:type="spellStart"/>
      <w:r>
        <w:rPr>
          <w:i/>
          <w:iCs/>
        </w:rPr>
        <w:t>g</w:t>
      </w:r>
      <w:r>
        <w:rPr>
          <w:i/>
          <w:iCs/>
          <w:vertAlign w:val="subscript"/>
        </w:rPr>
        <w:t>bar</w:t>
      </w:r>
      <w:proofErr w:type="spellEnd"/>
      <w:r>
        <w:rPr>
          <w:i/>
          <w:iCs/>
        </w:rPr>
        <w:t xml:space="preserve"> ≈ a</w:t>
      </w:r>
      <w:r>
        <w:rPr>
          <w:i/>
          <w:iCs/>
          <w:vertAlign w:val="subscript"/>
        </w:rPr>
        <w:t>0</w:t>
      </w:r>
      <w:r>
        <w:rPr>
          <w:i/>
          <w:iCs/>
        </w:rPr>
        <w:t xml:space="preserve">. Two amplitude estimators are distinguished: </w:t>
      </w:r>
      <w:proofErr w:type="spellStart"/>
      <w:r>
        <w:rPr>
          <w:i/>
          <w:iCs/>
        </w:rPr>
        <w:t>Q</w:t>
      </w:r>
      <w:r>
        <w:rPr>
          <w:i/>
          <w:iCs/>
          <w:vertAlign w:val="subscript"/>
        </w:rPr>
        <w:t>est</w:t>
      </w:r>
      <w:proofErr w:type="spellEnd"/>
      <w:r>
        <w:rPr>
          <w:i/>
          <w:iCs/>
        </w:rPr>
        <w:t xml:space="preserve"> (robust outer-subset Huber location) and </w:t>
      </w:r>
      <w:proofErr w:type="spellStart"/>
      <w:r>
        <w:rPr>
          <w:i/>
          <w:iCs/>
        </w:rPr>
        <w:t>Q</w:t>
      </w:r>
      <w:r>
        <w:rPr>
          <w:i/>
          <w:iCs/>
          <w:vertAlign w:val="subscript"/>
        </w:rPr>
        <w:t>best</w:t>
      </w:r>
      <w:proofErr w:type="spellEnd"/>
      <w:r>
        <w:rPr>
          <w:i/>
          <w:iCs/>
        </w:rPr>
        <w:t xml:space="preserve"> (single-parameter model-closure fit). The oscillatory structure is schematic; per-galaxy profiles (see §6) need not exhibit clean alternation.</w:t>
      </w:r>
    </w:p>
    <w:p w14:paraId="031FFC0F" w14:textId="77777777" w:rsidR="006C1CD8" w:rsidRDefault="00000000">
      <w:pPr>
        <w:spacing w:after="200" w:line="276" w:lineRule="auto"/>
      </w:pPr>
      <w:r>
        <w:t>We proceed as follows. Section 2 develops the inverse-GR construction from kinematics to effective stress–energy. Section 3 specifies the minimal response-sector model. Section 4 describes the SPARC data and pipeline. Section 5 presents results across 175 galaxies. Section 6 provides the empirical validation ladder. Section 7 states explicit falsification criteria and discriminant tests. Section 8 addresses lensing and cosmological viability. Section 9 discusses implications and scope limitations, and Section 10 concludes.</w:t>
      </w:r>
    </w:p>
    <w:p w14:paraId="7D158A9C" w14:textId="77777777" w:rsidR="006C1CD8" w:rsidRDefault="00000000">
      <w:r>
        <w:br w:type="page"/>
      </w:r>
    </w:p>
    <w:p w14:paraId="3E738799" w14:textId="77777777" w:rsidR="006C1CD8" w:rsidRDefault="00000000">
      <w:pPr>
        <w:pStyle w:val="Heading1"/>
      </w:pPr>
      <w:bookmarkStart w:id="4" w:name="_Toc222589265"/>
      <w:r>
        <w:t>2. From Phenomenology to Effective Source: The Inverse-GR Construction</w:t>
      </w:r>
      <w:bookmarkEnd w:id="4"/>
    </w:p>
    <w:p w14:paraId="7125CBF9" w14:textId="77777777" w:rsidR="006C1CD8" w:rsidRDefault="00000000">
      <w:pPr>
        <w:spacing w:after="200" w:line="276" w:lineRule="auto"/>
      </w:pPr>
      <w:r>
        <w:t>The standard approach to galaxy dynamics begins with a theoretical mass model (baryons + dark matter) and predicts observable kinematics. We invert this logic: we begin with observed kinematics and infer what effective source is required within standard GR.</w:t>
      </w:r>
    </w:p>
    <w:p w14:paraId="520F1607" w14:textId="77777777" w:rsidR="006C1CD8" w:rsidRDefault="00000000">
      <w:pPr>
        <w:pStyle w:val="Heading2"/>
      </w:pPr>
      <w:bookmarkStart w:id="5" w:name="_Toc222589266"/>
      <w:r>
        <w:t>2.1 Kinematics to Required Radial Acceleration</w:t>
      </w:r>
      <w:bookmarkEnd w:id="5"/>
    </w:p>
    <w:p w14:paraId="27CCED13" w14:textId="77777777" w:rsidR="006C1CD8" w:rsidRDefault="00000000">
      <w:pPr>
        <w:spacing w:after="200" w:line="276" w:lineRule="auto"/>
      </w:pPr>
      <w:r>
        <w:t xml:space="preserve">For each galaxy in the SPARC database, the observed rotation curve provides the centripetal acceleration at galactocentric radius </w:t>
      </w:r>
      <w:r>
        <w:rPr>
          <w:i/>
          <w:iCs/>
        </w:rPr>
        <w:t>R</w:t>
      </w:r>
      <w:r>
        <w:t>:</w:t>
      </w:r>
    </w:p>
    <w:p w14:paraId="7BAFC645" w14:textId="3105445C" w:rsidR="006C1CD8" w:rsidRPr="004077E5" w:rsidRDefault="004077E5">
      <w:pPr>
        <w:spacing w:before="120" w:after="120"/>
        <w:jc w:val="center"/>
        <w:rPr>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m:t>
          </m:r>
          <m:f>
            <m:fPr>
              <m:ctrlPr>
                <w:rPr>
                  <w:rFonts w:ascii="Cambria Math" w:eastAsia="Cambria Math" w:hAnsi="Cambria Math" w:cs="Cambria Math"/>
                  <w:i/>
                  <w:iCs/>
                </w:rPr>
              </m:ctrlPr>
            </m:fPr>
            <m:num>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num>
            <m:den>
              <m:r>
                <w:rPr>
                  <w:rFonts w:ascii="Cambria Math" w:eastAsia="Cambria Math" w:hAnsi="Cambria Math" w:cs="Cambria Math"/>
                </w:rPr>
                <m:t>R</m:t>
              </m:r>
            </m:den>
          </m:f>
        </m:oMath>
      </m:oMathPara>
    </w:p>
    <w:p w14:paraId="21563323" w14:textId="77777777" w:rsidR="006C1CD8" w:rsidRDefault="00000000">
      <w:pPr>
        <w:spacing w:after="200" w:line="276" w:lineRule="auto"/>
      </w:pPr>
      <w:r>
        <w:t xml:space="preserve">The baryonic prediction </w:t>
      </w:r>
      <w:proofErr w:type="spellStart"/>
      <w:r>
        <w:rPr>
          <w:i/>
          <w:iCs/>
        </w:rPr>
        <w:t>g</w:t>
      </w:r>
      <w:r>
        <w:rPr>
          <w:vertAlign w:val="subscript"/>
        </w:rPr>
        <w:t>bar</w:t>
      </w:r>
      <w:proofErr w:type="spellEnd"/>
      <w:r>
        <w:t>(</w:t>
      </w:r>
      <w:r>
        <w:rPr>
          <w:i/>
          <w:iCs/>
        </w:rPr>
        <w:t>R</w:t>
      </w:r>
      <w:r>
        <w:t>) is constructed from SPARC’s decomposed photometric and gas-mass components (Lelli et al., 2016), with a chosen stellar mass-to-light ratio Υ</w:t>
      </w:r>
      <w:r>
        <w:rPr>
          <w:vertAlign w:val="subscript"/>
        </w:rPr>
        <w:t>*</w:t>
      </w:r>
      <w:r>
        <w:t>. The residual defines the “missing curvature” in the circular-orbit sector:</w:t>
      </w:r>
    </w:p>
    <w:p w14:paraId="28EE5DC3" w14:textId="77777777" w:rsidR="005657CB" w:rsidRDefault="005657CB">
      <w:pPr>
        <w:spacing w:after="200" w:line="276" w:lineRule="auto"/>
        <w:rPr>
          <w:iCs/>
        </w:rPr>
      </w:pPr>
      <m:oMathPara>
        <m:oMath>
          <m:sSub>
            <m:sSubPr>
              <m:ctrlPr>
                <w:rPr>
                  <w:rFonts w:ascii="Cambria Math" w:eastAsia="Cambria Math" w:hAnsi="Cambria Math" w:cs="Cambria Math"/>
                  <w:i/>
                  <w:iCs/>
                </w:rPr>
              </m:ctrlPr>
            </m:sSubPr>
            <m:e>
              <m:r>
                <w:rPr>
                  <w:rFonts w:ascii="Cambria Math" w:eastAsia="Cambria Math" w:hAnsi="Cambria Math" w:cs="Cambria Math"/>
                </w:rPr>
                <m:t>g</m:t>
              </m:r>
            </m:e>
            <m:sub>
              <m:r>
                <m:rPr>
                  <m:nor/>
                </m:rPr>
                <w:rPr>
                  <w:rFonts w:ascii="Cambria Math" w:eastAsia="Cambria Math" w:hAnsi="Cambria Math" w:cs="Cambria Math"/>
                  <w:iCs/>
                </w:rPr>
                <m:t>extra</m:t>
              </m:r>
            </m:sub>
          </m:sSub>
          <m:d>
            <m:dPr>
              <m:ctrlPr>
                <w:rPr>
                  <w:rFonts w:ascii="Cambria Math" w:eastAsia="Cambria Math" w:hAnsi="Cambria Math" w:cs="Cambria Math"/>
                  <w:i/>
                  <w:iCs/>
                </w:rPr>
              </m:ctrlPr>
            </m:dPr>
            <m:e>
              <m:r>
                <w:rPr>
                  <w:rFonts w:ascii="Cambria Math" w:eastAsia="Cambria Math" w:hAnsi="Cambria Math" w:cs="Cambria Math"/>
                </w:rPr>
                <m:t>R</m:t>
              </m:r>
            </m:e>
          </m:d>
          <m:r>
            <m:rPr>
              <m:sty m:val="p"/>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g</m:t>
              </m:r>
              <m:ctrlPr>
                <w:rPr>
                  <w:rFonts w:ascii="Cambria Math" w:eastAsia="Cambria Math" w:hAnsi="Cambria Math" w:cs="Cambria Math"/>
                  <w:iCs/>
                </w:rPr>
              </m:ctrlPr>
            </m:e>
            <m:sub>
              <m:r>
                <m:rPr>
                  <m:nor/>
                </m:rPr>
                <w:rPr>
                  <w:rFonts w:ascii="Cambria Math" w:eastAsia="Cambria Math" w:hAnsi="Cambria Math" w:cs="Cambria Math"/>
                  <w:iCs/>
                </w:rPr>
                <m:t>obs</m:t>
              </m:r>
            </m:sub>
          </m:sSub>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g</m:t>
              </m:r>
            </m:e>
            <m:sub>
              <m:r>
                <m:rPr>
                  <m:nor/>
                </m:rPr>
                <w:rPr>
                  <w:rFonts w:ascii="Cambria Math" w:eastAsia="Cambria Math" w:hAnsi="Cambria Math" w:cs="Cambria Math"/>
                  <w:iCs/>
                </w:rPr>
                <m:t>bar</m:t>
              </m:r>
            </m:sub>
          </m:sSub>
          <m:d>
            <m:dPr>
              <m:ctrlPr>
                <w:rPr>
                  <w:rFonts w:ascii="Cambria Math" w:eastAsia="Cambria Math" w:hAnsi="Cambria Math" w:cs="Cambria Math"/>
                  <w:i/>
                  <w:iCs/>
                </w:rPr>
              </m:ctrlPr>
            </m:dPr>
            <m:e>
              <m:r>
                <w:rPr>
                  <w:rFonts w:ascii="Cambria Math" w:eastAsia="Cambria Math" w:hAnsi="Cambria Math" w:cs="Cambria Math"/>
                </w:rPr>
                <m:t>R</m:t>
              </m:r>
            </m:e>
          </m:d>
        </m:oMath>
      </m:oMathPara>
    </w:p>
    <w:p w14:paraId="7CA2A760" w14:textId="19CB57A7" w:rsidR="006C1CD8" w:rsidRPr="005657CB" w:rsidRDefault="00000000">
      <w:pPr>
        <w:spacing w:after="200" w:line="276" w:lineRule="auto"/>
      </w:pPr>
      <w:r>
        <w:t xml:space="preserve">This residual is model-independent: it is a direct comparison of observed kinematics with the baryonic gravitational prediction. In the CDM interpretation, </w:t>
      </w:r>
      <w:proofErr w:type="spellStart"/>
      <w:r>
        <w:rPr>
          <w:i/>
          <w:iCs/>
        </w:rPr>
        <w:t>g</w:t>
      </w:r>
      <w:r>
        <w:rPr>
          <w:vertAlign w:val="subscript"/>
        </w:rPr>
        <w:t>extra</w:t>
      </w:r>
      <w:proofErr w:type="spellEnd"/>
      <w:r>
        <w:t xml:space="preserve"> is sourced by an additional mass component. In the response-sector interpretation, it is the effective geometric response of spacetime to the baryonic source.</w:t>
      </w:r>
    </w:p>
    <w:p w14:paraId="06FC16C6" w14:textId="77777777" w:rsidR="006C1CD8" w:rsidRDefault="00000000">
      <w:pPr>
        <w:pStyle w:val="Heading2"/>
      </w:pPr>
      <w:bookmarkStart w:id="6" w:name="_Toc222589267"/>
      <w:r>
        <w:t>2.2 Weak-Field Metric Potentials</w:t>
      </w:r>
      <w:bookmarkEnd w:id="6"/>
    </w:p>
    <w:p w14:paraId="10026EF1" w14:textId="77777777" w:rsidR="006C1CD8" w:rsidRDefault="00000000">
      <w:pPr>
        <w:spacing w:after="200" w:line="276" w:lineRule="auto"/>
      </w:pPr>
      <w:r>
        <w:t>In the Newtonian gauge for weak gravitational fields, the line element takes the form:</w:t>
      </w:r>
    </w:p>
    <w:p w14:paraId="4866D231" w14:textId="1F24FEB4" w:rsidR="006C1CD8" w:rsidRDefault="005657CB">
      <w:pPr>
        <w:spacing w:before="120" w:after="120"/>
        <w:jc w:val="center"/>
      </w:pPr>
      <m:oMathPara>
        <m:oMath>
          <m:r>
            <w:rPr>
              <w:rFonts w:ascii="Cambria Math" w:eastAsia="Cambria Math" w:hAnsi="Cambria Math" w:cs="Cambria Math"/>
            </w:rPr>
            <m:t>d</m:t>
          </m:r>
          <m:sSup>
            <m:sSupPr>
              <m:ctrlPr>
                <w:rPr>
                  <w:rFonts w:ascii="Cambria Math" w:eastAsia="Cambria Math" w:hAnsi="Cambria Math" w:cs="Cambria Math"/>
                  <w:i/>
                  <w:iCs/>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eastAsia="Cambria Math" w:hAnsi="Cambria Math" w:cs="Cambria Math"/>
                  <w:i/>
                  <w:iCs/>
                </w:rPr>
              </m:ctrlPr>
            </m:dPr>
            <m:e>
              <m:r>
                <w:rPr>
                  <w:rFonts w:ascii="Cambria Math" w:eastAsia="Cambria Math" w:hAnsi="Cambria Math" w:cs="Cambria Math"/>
                </w:rPr>
                <m:t>1+2</m:t>
              </m:r>
              <m:r>
                <m:rPr>
                  <m:sty m:val="p"/>
                </m:rPr>
                <w:rPr>
                  <w:rFonts w:ascii="Cambria Math" w:eastAsia="Cambria Math" w:hAnsi="Cambria Math" w:cs="Cambria Math"/>
                </w:rPr>
                <m:t>Φ</m:t>
              </m:r>
            </m:e>
          </m:d>
          <m:r>
            <w:rPr>
              <w:rFonts w:ascii="Cambria Math" w:eastAsia="Cambria Math" w:hAnsi="Cambria Math" w:cs="Cambria Math"/>
            </w:rPr>
            <m:t> </m:t>
          </m:r>
          <m:r>
            <w:rPr>
              <w:rFonts w:ascii="Cambria Math" w:eastAsia="Cambria Math" w:hAnsi="Cambria Math" w:cs="Cambria Math"/>
            </w:rPr>
            <m:t>d</m:t>
          </m:r>
          <m:sSup>
            <m:sSupPr>
              <m:ctrlPr>
                <w:rPr>
                  <w:rFonts w:ascii="Cambria Math" w:eastAsia="Cambria Math" w:hAnsi="Cambria Math" w:cs="Cambria Math"/>
                  <w:i/>
                  <w:iCs/>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eastAsia="Cambria Math" w:hAnsi="Cambria Math" w:cs="Cambria Math"/>
                  <w:i/>
                  <w:iCs/>
                </w:rPr>
              </m:ctrlPr>
            </m:dPr>
            <m:e>
              <m:r>
                <w:rPr>
                  <w:rFonts w:ascii="Cambria Math" w:eastAsia="Cambria Math" w:hAnsi="Cambria Math" w:cs="Cambria Math"/>
                </w:rPr>
                <m:t>1-2</m:t>
              </m:r>
              <m:r>
                <m:rPr>
                  <m:sty m:val="p"/>
                </m:rPr>
                <w:rPr>
                  <w:rFonts w:ascii="Cambria Math" w:eastAsia="Cambria Math" w:hAnsi="Cambria Math" w:cs="Cambria Math"/>
                </w:rPr>
                <m:t>Ψ</m:t>
              </m:r>
            </m:e>
          </m:d>
          <m:r>
            <w:rPr>
              <w:rFonts w:ascii="Cambria Math" w:eastAsia="Cambria Math" w:hAnsi="Cambria Math" w:cs="Cambria Math"/>
            </w:rPr>
            <m:t> </m:t>
          </m:r>
          <m:r>
            <w:rPr>
              <w:rFonts w:ascii="Cambria Math" w:eastAsia="Cambria Math" w:hAnsi="Cambria Math" w:cs="Cambria Math"/>
            </w:rPr>
            <m:t>d</m:t>
          </m:r>
          <m:sSup>
            <m:sSupPr>
              <m:ctrlPr>
                <w:rPr>
                  <w:rFonts w:ascii="Cambria Math" w:eastAsia="Cambria Math" w:hAnsi="Cambria Math" w:cs="Cambria Math"/>
                  <w:i/>
                  <w:iCs/>
                </w:rPr>
              </m:ctrlPr>
            </m:sSupPr>
            <m:e>
              <m:r>
                <w:rPr>
                  <w:rFonts w:ascii="Cambria Math" w:eastAsia="Cambria Math" w:hAnsi="Cambria Math" w:cs="Cambria Math"/>
                </w:rPr>
                <m:t>x</m:t>
              </m:r>
            </m:e>
            <m:sup>
              <m:r>
                <w:rPr>
                  <w:rFonts w:ascii="Cambria Math" w:eastAsia="Cambria Math" w:hAnsi="Cambria Math" w:cs="Cambria Math"/>
                </w:rPr>
                <m:t>2</m:t>
              </m:r>
            </m:sup>
          </m:sSup>
        </m:oMath>
      </m:oMathPara>
    </w:p>
    <w:p w14:paraId="2B9A75F2" w14:textId="4EEE47BD" w:rsidR="006C1CD8" w:rsidRDefault="00000000">
      <w:pPr>
        <w:spacing w:after="200" w:line="276" w:lineRule="auto"/>
      </w:pPr>
      <w:r>
        <w:t xml:space="preserve">To leading order for nonrelativistic motion, the radial acceleration is </w:t>
      </w:r>
      <w:r>
        <w:rPr>
          <w:b/>
          <w:bCs/>
        </w:rPr>
        <w:t>a</w:t>
      </w:r>
      <w:r>
        <w:t xml:space="preserve"> ≈ −∇Φ. Gravitational lensing depends on the Weyl combination </w:t>
      </w:r>
      <w:proofErr w:type="spellStart"/>
      <w:r>
        <w:t>Φ</w:t>
      </w:r>
      <w:r>
        <w:rPr>
          <w:vertAlign w:val="subscript"/>
        </w:rPr>
        <w:t>lens</w:t>
      </w:r>
      <w:proofErr w:type="spellEnd"/>
      <w:r>
        <w:t xml:space="preserve"> ∝ (Φ + Ψ)/2. </w:t>
      </w:r>
      <w:r w:rsidR="004077E5">
        <w:t>Thus,</w:t>
      </w:r>
      <w:r>
        <w:t xml:space="preserve"> rotation curves primarily constrain Φ, while lensing constrains the combination (Φ + Ψ). A metric-equivalent response-sector claim is strongest if it produces Φ ≈ Ψ in the relevant regime; if it predicts gravitational slip (Φ ≠ Ψ), that slip becomes a key discriminant (see §8).</w:t>
      </w:r>
    </w:p>
    <w:p w14:paraId="5FAB9E14" w14:textId="77777777" w:rsidR="006C1CD8" w:rsidRDefault="00000000">
      <w:pPr>
        <w:pStyle w:val="Heading2"/>
      </w:pPr>
      <w:bookmarkStart w:id="7" w:name="_Toc222589268"/>
      <w:r>
        <w:t>2.3 Effective Enclosed Mass and Density</w:t>
      </w:r>
      <w:bookmarkEnd w:id="7"/>
    </w:p>
    <w:p w14:paraId="55DC44F3" w14:textId="77777777" w:rsidR="006C1CD8" w:rsidRDefault="00000000">
      <w:pPr>
        <w:spacing w:after="200" w:line="276" w:lineRule="auto"/>
      </w:pPr>
      <w:r>
        <w:t xml:space="preserve">For spherically symmetric intuition (useful even for disk galaxies), circular orbits obey </w:t>
      </w:r>
      <w:r>
        <w:rPr>
          <w:i/>
          <w:iCs/>
        </w:rPr>
        <w:t>v</w:t>
      </w:r>
      <w:r>
        <w:rPr>
          <w:vertAlign w:val="superscript"/>
        </w:rPr>
        <w:t>2</w:t>
      </w:r>
      <w:r>
        <w:t>(</w:t>
      </w:r>
      <w:r>
        <w:rPr>
          <w:i/>
          <w:iCs/>
        </w:rPr>
        <w:t>r</w:t>
      </w:r>
      <w:r>
        <w:t xml:space="preserve">) = </w:t>
      </w:r>
      <w:r>
        <w:rPr>
          <w:i/>
          <w:iCs/>
        </w:rPr>
        <w:t>GM</w:t>
      </w:r>
      <w:r>
        <w:t>(&lt;</w:t>
      </w:r>
      <w:r>
        <w:rPr>
          <w:i/>
          <w:iCs/>
        </w:rPr>
        <w:t>r</w:t>
      </w:r>
      <w:r>
        <w:t>)/</w:t>
      </w:r>
      <w:r>
        <w:rPr>
          <w:i/>
          <w:iCs/>
        </w:rPr>
        <w:t>r</w:t>
      </w:r>
      <w:r>
        <w:t>. Given the observed rotation curve, we define an effective enclosed mass:</w:t>
      </w:r>
    </w:p>
    <w:p w14:paraId="7E4DF664" w14:textId="0C25FF2E" w:rsidR="006C1CD8" w:rsidRDefault="004077E5">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M</m:t>
              </m:r>
            </m:e>
            <m:sub>
              <m:r>
                <w:rPr>
                  <w:rFonts w:ascii="Cambria Math" w:eastAsia="Cambria Math" w:hAnsi="Cambria Math" w:cs="Cambria Math"/>
                </w:rPr>
                <m:t>eff</m:t>
              </m:r>
              <m:d>
                <m:dPr>
                  <m:ctrlPr>
                    <w:rPr>
                      <w:rFonts w:ascii="Cambria Math" w:eastAsia="Cambria Math" w:hAnsi="Cambria Math" w:cs="Cambria Math"/>
                      <w:i/>
                      <w:iCs/>
                    </w:rPr>
                  </m:ctrlPr>
                </m:dPr>
                <m:e>
                  <m:r>
                    <w:rPr>
                      <w:rFonts w:ascii="Cambria Math" w:eastAsia="Cambria Math" w:hAnsi="Cambria Math" w:cs="Cambria Math"/>
                    </w:rPr>
                    <m:t>&lt;r</m:t>
                  </m:r>
                </m:e>
              </m:d>
            </m:sub>
          </m:sSub>
          <m:r>
            <w:rPr>
              <w:rFonts w:ascii="Cambria Math" w:eastAsia="Cambria Math" w:hAnsi="Cambria Math" w:cs="Cambria Math"/>
            </w:rPr>
            <m:t>= r</m:t>
          </m:r>
          <m:f>
            <m:fPr>
              <m:ctrlPr>
                <w:rPr>
                  <w:rFonts w:ascii="Cambria Math" w:eastAsia="Cambria Math" w:hAnsi="Cambria Math" w:cs="Cambria Math"/>
                  <w:i/>
                  <w:iCs/>
                </w:rPr>
              </m:ctrlPr>
            </m:fPr>
            <m:num>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num>
            <m:den>
              <m:r>
                <w:rPr>
                  <w:rFonts w:ascii="Cambria Math" w:eastAsia="Cambria Math" w:hAnsi="Cambria Math" w:cs="Cambria Math"/>
                </w:rPr>
                <m:t>G</m:t>
              </m:r>
            </m:den>
          </m:f>
        </m:oMath>
      </m:oMathPara>
    </w:p>
    <w:p w14:paraId="0FF24B8C" w14:textId="77777777" w:rsidR="006C1CD8" w:rsidRDefault="00000000">
      <w:pPr>
        <w:spacing w:after="200" w:line="276" w:lineRule="auto"/>
      </w:pPr>
      <w:r>
        <w:t>Subtracting baryons yields an effective extra enclosed mass and, by differentiation, an effective extra density:</w:t>
      </w:r>
    </w:p>
    <w:p w14:paraId="5D48FF04" w14:textId="3F961B2C" w:rsidR="006C1CD8" w:rsidRDefault="004077E5">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ρ</m:t>
              </m:r>
            </m:e>
            <m:sub>
              <m:r>
                <w:rPr>
                  <w:rFonts w:ascii="Cambria Math" w:eastAsia="Cambria Math" w:hAnsi="Cambria Math" w:cs="Cambria Math"/>
                </w:rPr>
                <m:t>extra</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m:t>
          </m:r>
          <m:f>
            <m:fPr>
              <m:ctrlPr>
                <w:rPr>
                  <w:rFonts w:ascii="Cambria Math" w:eastAsia="Cambria Math" w:hAnsi="Cambria Math" w:cs="Cambria Math"/>
                  <w:i/>
                  <w:iCs/>
                </w:rPr>
              </m:ctrlPr>
            </m:fPr>
            <m:num>
              <m:d>
                <m:dPr>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1</m:t>
                      </m:r>
                    </m:num>
                    <m:den>
                      <m:r>
                        <w:rPr>
                          <w:rFonts w:ascii="Cambria Math" w:eastAsia="Cambria Math" w:hAnsi="Cambria Math" w:cs="Cambria Math"/>
                        </w:rPr>
                        <m:t>4π</m:t>
                      </m:r>
                      <m:sSup>
                        <m:sSupPr>
                          <m:ctrlPr>
                            <w:rPr>
                              <w:rFonts w:ascii="Cambria Math" w:eastAsia="Cambria Math" w:hAnsi="Cambria Math" w:cs="Cambria Math"/>
                              <w:i/>
                              <w:iCs/>
                            </w:rPr>
                          </m:ctrlPr>
                        </m:sSupPr>
                        <m:e>
                          <m:r>
                            <w:rPr>
                              <w:rFonts w:ascii="Cambria Math" w:eastAsia="Cambria Math" w:hAnsi="Cambria Math" w:cs="Cambria Math"/>
                            </w:rPr>
                            <m:t>r</m:t>
                          </m:r>
                        </m:e>
                        <m:sup>
                          <m:r>
                            <w:rPr>
                              <w:rFonts w:ascii="Cambria Math" w:eastAsia="Cambria Math" w:hAnsi="Cambria Math" w:cs="Cambria Math"/>
                            </w:rPr>
                            <m:t>2</m:t>
                          </m:r>
                        </m:sup>
                      </m:sSup>
                    </m:den>
                  </m:f>
                </m:e>
              </m:d>
              <m:r>
                <w:rPr>
                  <w:rFonts w:ascii="Cambria Math" w:eastAsia="Cambria Math" w:hAnsi="Cambria Math" w:cs="Cambria Math"/>
                </w:rPr>
                <m:t>d</m:t>
              </m:r>
            </m:num>
            <m:den>
              <m:r>
                <w:rPr>
                  <w:rFonts w:ascii="Cambria Math" w:eastAsia="Cambria Math" w:hAnsi="Cambria Math" w:cs="Cambria Math"/>
                </w:rPr>
                <m:t>dr</m:t>
              </m:r>
            </m:den>
          </m:f>
          <m:d>
            <m:dPr>
              <m:begChr m:val="["/>
              <m:endChr m:val="]"/>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r</m:t>
                  </m:r>
                  <m:d>
                    <m:dPr>
                      <m:ctrlPr>
                        <w:rPr>
                          <w:rFonts w:ascii="Cambria Math" w:eastAsia="Cambria Math" w:hAnsi="Cambria Math" w:cs="Cambria Math"/>
                          <w:i/>
                          <w:iCs/>
                        </w:rPr>
                      </m:ctrlPr>
                    </m:dPr>
                    <m:e>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obs</m:t>
                          </m:r>
                        </m:sub>
                        <m:sup>
                          <m:r>
                            <w:rPr>
                              <w:rFonts w:ascii="Cambria Math" w:eastAsia="Cambria Math" w:hAnsi="Cambria Math" w:cs="Cambria Math"/>
                            </w:rPr>
                            <m:t>2</m:t>
                          </m:r>
                        </m:sup>
                      </m:sSubSup>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sub>
                        <m:sup>
                          <m:r>
                            <w:rPr>
                              <w:rFonts w:ascii="Cambria Math" w:eastAsia="Cambria Math" w:hAnsi="Cambria Math" w:cs="Cambria Math"/>
                            </w:rPr>
                            <m:t>2</m:t>
                          </m:r>
                        </m:sup>
                      </m:sSubSup>
                    </m:e>
                  </m:d>
                </m:num>
                <m:den>
                  <m:r>
                    <w:rPr>
                      <w:rFonts w:ascii="Cambria Math" w:eastAsia="Cambria Math" w:hAnsi="Cambria Math" w:cs="Cambria Math"/>
                    </w:rPr>
                    <m:t>G</m:t>
                  </m:r>
                </m:den>
              </m:f>
            </m:e>
          </m:d>
        </m:oMath>
      </m:oMathPara>
    </w:p>
    <w:p w14:paraId="546C2F64" w14:textId="77777777" w:rsidR="006C1CD8" w:rsidRDefault="00000000">
      <w:pPr>
        <w:spacing w:after="200" w:line="276" w:lineRule="auto"/>
      </w:pPr>
      <w:r>
        <w:t>For a flat outer rotation curve (</w:t>
      </w:r>
      <w:r>
        <w:rPr>
          <w:i/>
          <w:iCs/>
        </w:rPr>
        <w:t>v</w:t>
      </w:r>
      <w:r>
        <w:t xml:space="preserve"> → </w:t>
      </w:r>
      <w:r>
        <w:rPr>
          <w:i/>
          <w:iCs/>
        </w:rPr>
        <w:t>v</w:t>
      </w:r>
      <w:r>
        <w:rPr>
          <w:vertAlign w:val="subscript"/>
        </w:rPr>
        <w:t>∞</w:t>
      </w:r>
      <w:r>
        <w:t xml:space="preserve">), one obtains </w:t>
      </w:r>
      <w:proofErr w:type="spellStart"/>
      <w:r>
        <w:rPr>
          <w:i/>
          <w:iCs/>
        </w:rPr>
        <w:t>M</w:t>
      </w:r>
      <w:r>
        <w:rPr>
          <w:vertAlign w:val="subscript"/>
        </w:rPr>
        <w:t>eff</w:t>
      </w:r>
      <w:proofErr w:type="spellEnd"/>
      <w:r>
        <w:t xml:space="preserve"> ∝ </w:t>
      </w:r>
      <w:r>
        <w:rPr>
          <w:i/>
          <w:iCs/>
        </w:rPr>
        <w:t>r</w:t>
      </w:r>
      <w:r>
        <w:t xml:space="preserve"> and </w:t>
      </w:r>
      <w:proofErr w:type="spellStart"/>
      <w:r>
        <w:t>ρ</w:t>
      </w:r>
      <w:r>
        <w:rPr>
          <w:vertAlign w:val="subscript"/>
        </w:rPr>
        <w:t>extra</w:t>
      </w:r>
      <w:proofErr w:type="spellEnd"/>
      <w:r>
        <w:t xml:space="preserve"> ∝ 1/</w:t>
      </w:r>
      <w:r>
        <w:rPr>
          <w:i/>
          <w:iCs/>
        </w:rPr>
        <w:t>r</w:t>
      </w:r>
      <w:r>
        <w:rPr>
          <w:vertAlign w:val="superscript"/>
        </w:rPr>
        <w:t>2</w:t>
      </w:r>
      <w:r>
        <w:t xml:space="preserve">—the classic isothermal halo profile. In the response-sector interpretation, </w:t>
      </w:r>
      <w:proofErr w:type="spellStart"/>
      <w:r>
        <w:t>ρ</w:t>
      </w:r>
      <w:r>
        <w:rPr>
          <w:vertAlign w:val="subscript"/>
        </w:rPr>
        <w:t>extra</w:t>
      </w:r>
      <w:proofErr w:type="spellEnd"/>
      <w:r>
        <w:t xml:space="preserve"> is not a new matter species; it is the effective stress–energy of the spacetime response to baryonic structure.</w:t>
      </w:r>
    </w:p>
    <w:p w14:paraId="55630198" w14:textId="77777777" w:rsidR="006C1CD8" w:rsidRDefault="00000000">
      <w:pPr>
        <w:pStyle w:val="Heading2"/>
      </w:pPr>
      <w:bookmarkStart w:id="8" w:name="_Toc222589269"/>
      <w:r>
        <w:t>2.4 Effective Stress–Energy: What Is Being Added in GR</w:t>
      </w:r>
      <w:bookmarkEnd w:id="8"/>
    </w:p>
    <w:p w14:paraId="5240FE22" w14:textId="07EFD70B" w:rsidR="006C1CD8" w:rsidRDefault="00000000">
      <w:pPr>
        <w:spacing w:after="200" w:line="276" w:lineRule="auto"/>
      </w:pPr>
      <w:r>
        <w:t xml:space="preserve">In standard GR, the Einstein equation reads </w:t>
      </w:r>
      <m:oMath>
        <m:sSub>
          <m:sSubPr>
            <m:ctrlPr>
              <w:rPr>
                <w:rFonts w:ascii="Cambria Math" w:hAnsi="Cambria Math"/>
                <w:i/>
                <w:iCs/>
              </w:rPr>
            </m:ctrlPr>
          </m:sSubPr>
          <m:e>
            <m:r>
              <w:rPr>
                <w:rFonts w:ascii="Cambria Math" w:hAnsi="Cambria Math"/>
              </w:rPr>
              <m:t>G</m:t>
            </m:r>
          </m:e>
          <m:sub>
            <m:r>
              <m:rPr>
                <m:sty m:val="p"/>
              </m:rPr>
              <w:rPr>
                <w:rFonts w:ascii="Cambria Math" w:hAnsi="Cambria Math"/>
              </w:rPr>
              <m:t>μν</m:t>
            </m:r>
          </m:sub>
        </m:sSub>
        <m:r>
          <w:rPr>
            <w:rFonts w:ascii="Cambria Math" w:hAnsi="Cambria Math"/>
          </w:rPr>
          <m:t>=8</m:t>
        </m:r>
        <m:r>
          <m:rPr>
            <m:sty m:val="p"/>
          </m:rPr>
          <w:rPr>
            <w:rFonts w:ascii="Cambria Math" w:hAnsi="Cambria Math"/>
          </w:rPr>
          <m:t>π</m:t>
        </m:r>
        <m:r>
          <w:rPr>
            <w:rFonts w:ascii="Cambria Math" w:hAnsi="Cambria Math"/>
          </w:rPr>
          <m:t>G</m:t>
        </m:r>
        <m:d>
          <m:dPr>
            <m:ctrlPr>
              <w:rPr>
                <w:rFonts w:ascii="Cambria Math" w:hAnsi="Cambria Math"/>
                <w:iCs/>
              </w:rPr>
            </m:ctrlPr>
          </m:dPr>
          <m:e>
            <m:sSubSup>
              <m:sSubSupPr>
                <m:ctrlPr>
                  <w:rPr>
                    <w:rFonts w:ascii="Cambria Math" w:hAnsi="Cambria Math"/>
                    <w:i/>
                    <w:iCs/>
                  </w:rPr>
                </m:ctrlPr>
              </m:sSubSupPr>
              <m:e>
                <m:r>
                  <w:rPr>
                    <w:rFonts w:ascii="Cambria Math" w:hAnsi="Cambria Math"/>
                  </w:rPr>
                  <m:t>T</m:t>
                </m:r>
                <m:ctrlPr>
                  <w:rPr>
                    <w:rFonts w:ascii="Cambria Math" w:hAnsi="Cambria Math"/>
                    <w:iCs/>
                  </w:rPr>
                </m:ctrlPr>
              </m:e>
              <m:sub>
                <m:r>
                  <m:rPr>
                    <m:sty m:val="p"/>
                  </m:rPr>
                  <w:rPr>
                    <w:rFonts w:ascii="Cambria Math" w:hAnsi="Cambria Math"/>
                  </w:rPr>
                  <m:t>μν</m:t>
                </m:r>
              </m:sub>
              <m:sup>
                <m:r>
                  <m:rPr>
                    <m:nor/>
                  </m:rPr>
                  <w:rPr>
                    <w:rFonts w:ascii="Cambria Math" w:hAnsi="Cambria Math"/>
                    <w:iCs/>
                  </w:rPr>
                  <m:t>bar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ctrlPr>
              <w:rPr>
                <w:rFonts w:ascii="Cambria Math" w:hAnsi="Cambria Math"/>
                <w:i/>
                <w:iCs/>
              </w:rPr>
            </m:ctrlPr>
          </m:e>
        </m:d>
      </m:oMath>
      <w:r w:rsidR="005657CB">
        <w:rPr>
          <w:iCs/>
        </w:rPr>
        <w:t xml:space="preserve">. </w:t>
      </w:r>
      <w:r>
        <w:t xml:space="preserve">The entire program is to interpret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oMath>
      <w:r>
        <w:t xml:space="preserve"> as a polarization-like response of the gravitational sector, activated by baryonic structure (especially at boundary/transition regions), with a small parameter set and a universal functional form. This makes the “extra” empirically necessary but not an ad hoc per-galaxy function.</w:t>
      </w:r>
    </w:p>
    <w:p w14:paraId="226236FE" w14:textId="77777777" w:rsidR="006C1CD8" w:rsidRDefault="00000000">
      <w:pPr>
        <w:spacing w:after="200" w:line="276" w:lineRule="auto"/>
      </w:pPr>
      <w:r>
        <w:t>The response-sector stress–energy admits a standard fluid decomposition:</w:t>
      </w:r>
    </w:p>
    <w:p w14:paraId="2CE4838B" w14:textId="149877BE" w:rsidR="006C1CD8" w:rsidRDefault="004077E5">
      <w:pPr>
        <w:spacing w:before="120" w:after="120"/>
        <w:jc w:val="center"/>
      </w:pPr>
      <m:oMathPara>
        <m:oMath>
          <m:r>
            <w:rPr>
              <w:rFonts w:ascii="Cambria Math" w:eastAsia="Cambria Math" w:hAnsi="Cambria Math" w:cs="Cambria Math"/>
            </w:rPr>
            <m:t>Tʳᵉˢ</m:t>
          </m:r>
          <m:sSub>
            <m:sSubPr>
              <m:ctrlPr>
                <w:rPr>
                  <w:rFonts w:ascii="Cambria Math" w:eastAsia="Cambria Math" w:hAnsi="Cambria Math" w:cs="Cambria Math"/>
                  <w:i/>
                  <w:iCs/>
                </w:rPr>
              </m:ctrlPr>
            </m:sSubPr>
            <m:e>
              <m:r>
                <w:rPr>
                  <w:rFonts w:ascii="Cambria Math" w:eastAsia="Cambria Math" w:hAnsi="Cambria Math" w:cs="Cambria Math"/>
                </w:rPr>
                <m:t>ᵖ</m:t>
              </m:r>
            </m:e>
            <m:sub>
              <m:r>
                <w:rPr>
                  <w:rFonts w:ascii="Cambria Math" w:eastAsia="Cambria Math" w:hAnsi="Cambria Math" w:cs="Cambria Math"/>
                </w:rPr>
                <m:t>μν</m:t>
              </m:r>
            </m:sub>
          </m:sSub>
          <m:r>
            <w:rPr>
              <w:rFonts w:ascii="Cambria Math" w:eastAsia="Cambria Math" w:hAnsi="Cambria Math" w:cs="Cambria Math"/>
            </w:rPr>
            <m:t xml:space="preserve">= </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ρ</m:t>
                  </m:r>
                </m:e>
                <m:sub>
                  <m:r>
                    <w:rPr>
                      <w:rFonts w:ascii="Cambria Math" w:eastAsia="Cambria Math" w:hAnsi="Cambria Math" w:cs="Cambria Math"/>
                    </w:rPr>
                    <m:t>resp</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resp</m:t>
                  </m:r>
                </m:sub>
              </m:sSub>
            </m:e>
          </m:d>
          <m:sSub>
            <m:sSubPr>
              <m:ctrlPr>
                <w:rPr>
                  <w:rFonts w:ascii="Cambria Math" w:eastAsia="Cambria Math" w:hAnsi="Cambria Math" w:cs="Cambria Math"/>
                  <w:i/>
                  <w:iCs/>
                </w:rPr>
              </m:ctrlPr>
            </m:sSubPr>
            <m:e>
              <m:r>
                <w:rPr>
                  <w:rFonts w:ascii="Cambria Math" w:eastAsia="Cambria Math" w:hAnsi="Cambria Math" w:cs="Cambria Math"/>
                </w:rPr>
                <m:t>u</m:t>
              </m:r>
            </m:e>
            <m:sub>
              <m:r>
                <w:rPr>
                  <w:rFonts w:ascii="Cambria Math" w:eastAsia="Cambria Math" w:hAnsi="Cambria Math" w:cs="Cambria Math"/>
                </w:rPr>
                <m:t>μ</m:t>
              </m:r>
            </m:sub>
          </m:sSub>
          <m:sSub>
            <m:sSubPr>
              <m:ctrlPr>
                <w:rPr>
                  <w:rFonts w:ascii="Cambria Math" w:eastAsia="Cambria Math" w:hAnsi="Cambria Math" w:cs="Cambria Math"/>
                  <w:i/>
                  <w:iCs/>
                </w:rPr>
              </m:ctrlPr>
            </m:sSubPr>
            <m:e>
              <m:r>
                <w:rPr>
                  <w:rFonts w:ascii="Cambria Math" w:eastAsia="Cambria Math" w:hAnsi="Cambria Math" w:cs="Cambria Math"/>
                </w:rPr>
                <m:t>u</m:t>
              </m:r>
            </m:e>
            <m:sub>
              <m:r>
                <w:rPr>
                  <w:rFonts w:ascii="Cambria Math" w:eastAsia="Cambria Math" w:hAnsi="Cambria Math" w:cs="Cambria Math"/>
                </w:rPr>
                <m:t>ν</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resp</m:t>
              </m:r>
            </m:sub>
          </m:sSub>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μν</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Π</m:t>
              </m:r>
            </m:e>
            <m:sub>
              <m:r>
                <w:rPr>
                  <w:rFonts w:ascii="Cambria Math" w:eastAsia="Cambria Math" w:hAnsi="Cambria Math" w:cs="Cambria Math"/>
                </w:rPr>
                <m:t>μν</m:t>
              </m:r>
            </m:sub>
          </m:sSub>
        </m:oMath>
      </m:oMathPara>
    </w:p>
    <w:p w14:paraId="55973A18" w14:textId="77777777" w:rsidR="006C1CD8" w:rsidRDefault="00000000">
      <w:pPr>
        <w:spacing w:after="200" w:line="276" w:lineRule="auto"/>
      </w:pPr>
      <w:r>
        <w:t xml:space="preserve">where </w:t>
      </w:r>
      <w:proofErr w:type="spellStart"/>
      <w:r>
        <w:t>ρ</w:t>
      </w:r>
      <w:r>
        <w:rPr>
          <w:vertAlign w:val="subscript"/>
        </w:rPr>
        <w:t>resp</w:t>
      </w:r>
      <w:proofErr w:type="spellEnd"/>
      <w:r>
        <w:t xml:space="preserve"> is the effective halo density in the inverse-GR sense, </w:t>
      </w:r>
      <w:proofErr w:type="spellStart"/>
      <w:r>
        <w:rPr>
          <w:i/>
          <w:iCs/>
        </w:rPr>
        <w:t>p</w:t>
      </w:r>
      <w:r>
        <w:rPr>
          <w:vertAlign w:val="subscript"/>
        </w:rPr>
        <w:t>resp</w:t>
      </w:r>
      <w:proofErr w:type="spellEnd"/>
      <w:r>
        <w:t xml:space="preserve"> determines whether the sector is dust-like on large scales, and </w:t>
      </w:r>
      <w:proofErr w:type="spellStart"/>
      <w:r>
        <w:t>Π</w:t>
      </w:r>
      <w:r>
        <w:rPr>
          <w:vertAlign w:val="subscript"/>
        </w:rPr>
        <w:t>μν</w:t>
      </w:r>
      <w:proofErr w:type="spellEnd"/>
      <w:r>
        <w:t xml:space="preserve"> is the anisotropic stress that directly controls gravitational slip and lensing deviations.</w:t>
      </w:r>
    </w:p>
    <w:p w14:paraId="259C9951" w14:textId="34AC955E" w:rsidR="006C1CD8" w:rsidRDefault="00000000">
      <w:pPr>
        <w:pStyle w:val="Heading2"/>
      </w:pPr>
      <w:bookmarkStart w:id="9" w:name="_Toc222589270"/>
      <w:r>
        <w:t>2.5 Conservation Constraint</w:t>
      </w:r>
      <w:bookmarkEnd w:id="9"/>
      <w:r w:rsidR="00C94556">
        <w:t xml:space="preserve"> </w:t>
      </w:r>
    </w:p>
    <w:p w14:paraId="03B26FCD" w14:textId="2825BCA2" w:rsidR="006C1CD8" w:rsidRDefault="00000000">
      <w:pPr>
        <w:spacing w:after="200" w:line="276" w:lineRule="auto"/>
      </w:pPr>
      <w:r>
        <w:t xml:space="preserve">By the Bianchi identity,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p"/>
              </m:rPr>
              <w:rPr>
                <w:rFonts w:ascii="Cambria Math" w:hAnsi="Cambria Math"/>
              </w:rPr>
              <m:t>μ</m:t>
            </m:r>
          </m:sub>
        </m:sSub>
        <m:d>
          <m:dPr>
            <m:ctrlPr>
              <w:rPr>
                <w:rFonts w:ascii="Cambria Math" w:hAnsi="Cambria Math"/>
              </w:rPr>
            </m:ctrlPr>
          </m:dPr>
          <m:e>
            <m:sSup>
              <m:sSupPr>
                <m:ctrlPr>
                  <w:rPr>
                    <w:rFonts w:ascii="Cambria Math" w:hAnsi="Cambria Math"/>
                    <w:i/>
                  </w:rPr>
                </m:ctrlPr>
              </m:sSupPr>
              <m:e>
                <m:r>
                  <w:rPr>
                    <w:rFonts w:ascii="Cambria Math" w:hAnsi="Cambria Math"/>
                  </w:rPr>
                  <m:t>T</m:t>
                </m:r>
                <m:ctrlPr>
                  <w:rPr>
                    <w:rFonts w:ascii="Cambria Math" w:hAnsi="Cambria Math"/>
                  </w:rPr>
                </m:ctrlPr>
              </m:e>
              <m:sup>
                <m:r>
                  <m:rPr>
                    <m:nor/>
                  </m:rPr>
                  <w:rPr>
                    <w:rFonts w:ascii="Cambria Math" w:hAnsi="Cambria Math"/>
                  </w:rPr>
                  <m:t>bar</m:t>
                </m:r>
                <m:r>
                  <w:rPr>
                    <w:rFonts w:ascii="Cambria Math" w:hAnsi="Cambria Math"/>
                  </w:rPr>
                  <m:t> </m:t>
                </m:r>
                <m:r>
                  <m:rPr>
                    <m:sty m:val="p"/>
                  </m:rPr>
                  <w:rPr>
                    <w:rFonts w:ascii="Cambria Math" w:hAnsi="Cambria Math"/>
                  </w:rPr>
                  <m:t>μν</m:t>
                </m:r>
              </m:sup>
            </m:sSup>
            <m:r>
              <w:rPr>
                <w:rFonts w:ascii="Cambria Math" w:hAnsi="Cambria Math"/>
              </w:rPr>
              <m:t>+</m:t>
            </m:r>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m:t>
                </m:r>
                <m:r>
                  <m:rPr>
                    <m:sty m:val="p"/>
                  </m:rPr>
                  <w:rPr>
                    <w:rFonts w:ascii="Cambria Math" w:hAnsi="Cambria Math"/>
                  </w:rPr>
                  <m:t>μν</m:t>
                </m:r>
              </m:sup>
            </m:sSup>
            <m:ctrlPr>
              <w:rPr>
                <w:rFonts w:ascii="Cambria Math" w:hAnsi="Cambria Math"/>
                <w:i/>
              </w:rPr>
            </m:ctrlPr>
          </m:e>
        </m:d>
        <m:r>
          <w:rPr>
            <w:rFonts w:ascii="Cambria Math" w:hAnsi="Cambria Math"/>
          </w:rPr>
          <m:t>=0</m:t>
        </m:r>
      </m:oMath>
      <w:r>
        <w:t xml:space="preserve">. If baryons are minimally coupled and follow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bar</m:t>
            </m:r>
            <m:r>
              <w:rPr>
                <w:rFonts w:ascii="Cambria Math" w:hAnsi="Cambria Math"/>
              </w:rPr>
              <m:t> </m:t>
            </m:r>
            <m:r>
              <w:rPr>
                <w:rFonts w:ascii="Cambria Math" w:hAnsi="Cambria Math"/>
              </w:rPr>
              <m:t>μν</m:t>
            </m:r>
          </m:sup>
        </m:sSup>
        <m:r>
          <w:rPr>
            <w:rFonts w:ascii="Cambria Math" w:hAnsi="Cambria Math"/>
          </w:rPr>
          <m:t>=0 </m:t>
        </m:r>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m:t>
            </m:r>
          </m:e>
          <m:sub>
            <m:r>
              <w:rPr>
                <w:rFonts w:ascii="Cambria Math" w:hAnsi="Cambria Math"/>
              </w:rPr>
              <m:t>μ</m:t>
            </m:r>
          </m:sub>
        </m:sSub>
        <m:sSup>
          <m:sSupPr>
            <m:ctrlPr>
              <w:rPr>
                <w:rFonts w:ascii="Cambria Math" w:hAnsi="Cambria Math"/>
                <w:i/>
              </w:rPr>
            </m:ctrlPr>
          </m:sSupPr>
          <m:e>
            <m:r>
              <w:rPr>
                <w:rFonts w:ascii="Cambria Math" w:hAnsi="Cambria Math"/>
              </w:rPr>
              <m:t>T</m:t>
            </m:r>
          </m:e>
          <m:sup>
            <m:r>
              <m:rPr>
                <m:nor/>
              </m:rPr>
              <w:rPr>
                <w:rFonts w:ascii="Cambria Math" w:hAnsi="Cambria Math"/>
              </w:rPr>
              <m:t>resp</m:t>
            </m:r>
            <m:r>
              <w:rPr>
                <w:rFonts w:ascii="Cambria Math" w:hAnsi="Cambria Math"/>
              </w:rPr>
              <m:t> </m:t>
            </m:r>
            <m:r>
              <w:rPr>
                <w:rFonts w:ascii="Cambria Math" w:hAnsi="Cambria Math"/>
              </w:rPr>
              <m:t>μν</m:t>
            </m:r>
          </m:sup>
        </m:sSup>
        <m:r>
          <w:rPr>
            <w:rFonts w:ascii="Cambria Math" w:hAnsi="Cambria Math"/>
          </w:rPr>
          <m:t>=0</m:t>
        </m:r>
      </m:oMath>
      <w:r w:rsidR="00C94556">
        <w:t xml:space="preserve"> </w:t>
      </w:r>
      <w:r>
        <w:t>must hold independently. If exchange between sectors is allowed, this predicts a (possibly screened) fifth-force/equivalence-</w:t>
      </w:r>
      <w:proofErr w:type="gramStart"/>
      <w:r>
        <w:t>principle</w:t>
      </w:r>
      <w:proofErr w:type="gramEnd"/>
      <w:r>
        <w:t xml:space="preserve"> violation sector that must be stated explicitly. In this work, we assume independent conservation.</w:t>
      </w:r>
    </w:p>
    <w:p w14:paraId="1C107F2C" w14:textId="77777777" w:rsidR="005657CB" w:rsidRDefault="005657CB">
      <w:pPr>
        <w:pStyle w:val="Heading1"/>
        <w:sectPr w:rsidR="005657CB">
          <w:headerReference w:type="default" r:id="rId8"/>
          <w:footerReference w:type="default" r:id="rId9"/>
          <w:pgSz w:w="12240" w:h="15840"/>
          <w:pgMar w:top="1440" w:right="1440" w:bottom="1440" w:left="1440" w:header="708" w:footer="708" w:gutter="0"/>
          <w:cols w:space="720"/>
          <w:docGrid w:linePitch="360"/>
        </w:sectPr>
      </w:pPr>
      <w:bookmarkStart w:id="10" w:name="_Toc222589271"/>
    </w:p>
    <w:p w14:paraId="613B528F" w14:textId="77777777" w:rsidR="006C1CD8" w:rsidRDefault="00000000">
      <w:pPr>
        <w:pStyle w:val="Heading1"/>
      </w:pPr>
      <w:r>
        <w:t>3. Minimal Response-Sector Model Specification</w:t>
      </w:r>
      <w:bookmarkEnd w:id="10"/>
    </w:p>
    <w:p w14:paraId="3BDB19BB" w14:textId="77777777" w:rsidR="006C1CD8" w:rsidRDefault="00000000">
      <w:pPr>
        <w:spacing w:after="200" w:line="276" w:lineRule="auto"/>
      </w:pPr>
      <w:r>
        <w:t>The inverse-GR construction of §2 shows what effective source is required. This section specifies a minimal closure that compresses the inverse freedom to ≤2 degrees of freedom per galaxy.</w:t>
      </w:r>
    </w:p>
    <w:p w14:paraId="5F76F658" w14:textId="77777777" w:rsidR="006C1CD8" w:rsidRDefault="00000000">
      <w:pPr>
        <w:pStyle w:val="Heading2"/>
      </w:pPr>
      <w:bookmarkStart w:id="11" w:name="_Toc222589272"/>
      <w:r>
        <w:t>3.1 Design Principles</w:t>
      </w:r>
      <w:bookmarkEnd w:id="11"/>
    </w:p>
    <w:p w14:paraId="71D57EE2" w14:textId="77777777" w:rsidR="006C1CD8" w:rsidRDefault="00000000">
      <w:pPr>
        <w:spacing w:after="200" w:line="276" w:lineRule="auto"/>
      </w:pPr>
      <w:r>
        <w:t xml:space="preserve">A response-sector model is parsimonious only if it satisfies three conditions. First, </w:t>
      </w:r>
      <w:r>
        <w:rPr>
          <w:b/>
          <w:bCs/>
        </w:rPr>
        <w:t>low-DOF compression:</w:t>
      </w:r>
      <w:r>
        <w:t xml:space="preserve"> across galaxies, </w:t>
      </w:r>
      <w:proofErr w:type="spellStart"/>
      <w:r>
        <w:rPr>
          <w:i/>
          <w:iCs/>
        </w:rPr>
        <w:t>g</w:t>
      </w:r>
      <w:r>
        <w:rPr>
          <w:vertAlign w:val="subscript"/>
        </w:rPr>
        <w:t>extra</w:t>
      </w:r>
      <w:proofErr w:type="spellEnd"/>
      <w:r>
        <w:t>(</w:t>
      </w:r>
      <w:r>
        <w:rPr>
          <w:i/>
          <w:iCs/>
        </w:rPr>
        <w:t>R</w:t>
      </w:r>
      <w:r>
        <w:t xml:space="preserve">) must be well described by a universal shape family with ≤2 parameters, not a bespoke function. Second, </w:t>
      </w:r>
      <w:r>
        <w:rPr>
          <w:b/>
          <w:bCs/>
        </w:rPr>
        <w:t>baryonic activation:</w:t>
      </w:r>
      <w:r>
        <w:t xml:space="preserve"> the response must be tied to a baryonic invariant (an edge/transition proxy), limiting per-galaxy freedom. Third, </w:t>
      </w:r>
      <w:r>
        <w:rPr>
          <w:b/>
          <w:bCs/>
        </w:rPr>
        <w:t>out-of-sample prediction:</w:t>
      </w:r>
      <w:r>
        <w:t xml:space="preserve"> the edge-amplitude statistic should be predictable from internal observables better than from environment proxies under cross-validation.</w:t>
      </w:r>
    </w:p>
    <w:p w14:paraId="26719A0A" w14:textId="77777777" w:rsidR="006C1CD8" w:rsidRDefault="00000000">
      <w:pPr>
        <w:pStyle w:val="Heading2"/>
      </w:pPr>
      <w:bookmarkStart w:id="12" w:name="_Toc222589273"/>
      <w:r>
        <w:t>3.2 Auxiliary-Field Boundary-Layer Model</w:t>
      </w:r>
      <w:bookmarkEnd w:id="12"/>
    </w:p>
    <w:p w14:paraId="6F2F47DF" w14:textId="77777777" w:rsidR="006C1CD8" w:rsidRDefault="00000000">
      <w:pPr>
        <w:spacing w:after="200" w:line="276" w:lineRule="auto"/>
      </w:pPr>
      <w:r>
        <w:t>We introduce an auxiliary scalar field χ coupled to baryons through the action:</w:t>
      </w:r>
    </w:p>
    <w:p w14:paraId="03E538D7" w14:textId="57ABE751" w:rsidR="006C1CD8" w:rsidRDefault="004077E5">
      <w:pPr>
        <w:spacing w:before="120" w:after="120"/>
        <w:jc w:val="center"/>
      </w:pPr>
      <m:oMathPara>
        <m:oMath>
          <m:r>
            <w:rPr>
              <w:rFonts w:ascii="Cambria Math" w:eastAsia="Cambria Math" w:hAnsi="Cambria Math" w:cs="Cambria Math"/>
            </w:rPr>
            <m:t>S = ∫</m:t>
          </m:r>
          <m:sSup>
            <m:sSupPr>
              <m:ctrlPr>
                <w:rPr>
                  <w:rFonts w:ascii="Cambria Math" w:eastAsia="Cambria Math" w:hAnsi="Cambria Math" w:cs="Cambria Math"/>
                  <w:i/>
                  <w:iCs/>
                </w:rPr>
              </m:ctrlPr>
            </m:sSupPr>
            <m:e>
              <m:r>
                <w:rPr>
                  <w:rFonts w:ascii="Cambria Math" w:eastAsia="Cambria Math" w:hAnsi="Cambria Math" w:cs="Cambria Math"/>
                </w:rPr>
                <m:t>d</m:t>
              </m:r>
            </m:e>
            <m:sup>
              <m:r>
                <w:rPr>
                  <w:rFonts w:ascii="Cambria Math" w:eastAsia="Cambria Math" w:hAnsi="Cambria Math" w:cs="Cambria Math"/>
                </w:rPr>
                <m:t>4</m:t>
              </m:r>
            </m:sup>
          </m:sSup>
          <m:r>
            <w:rPr>
              <w:rFonts w:ascii="Cambria Math" w:eastAsia="Cambria Math" w:hAnsi="Cambria Math" w:cs="Cambria Math"/>
            </w:rPr>
            <m:t xml:space="preserve">x </m:t>
          </m:r>
          <m:rad>
            <m:radPr>
              <m:degHide m:val="1"/>
              <m:ctrlPr>
                <w:rPr>
                  <w:rFonts w:ascii="Cambria Math" w:eastAsia="Cambria Math" w:hAnsi="Cambria Math" w:cs="Cambria Math"/>
                  <w:i/>
                  <w:iCs/>
                </w:rPr>
              </m:ctrlPr>
            </m:radPr>
            <m:deg/>
            <m:e>
              <m:r>
                <w:rPr>
                  <w:rFonts w:ascii="Cambria Math" w:eastAsia="Cambria Math" w:hAnsi="Cambria Math" w:cs="Cambria Math"/>
                </w:rPr>
                <m:t>-g</m:t>
              </m:r>
            </m:e>
          </m:rad>
          <m:d>
            <m:dPr>
              <m:begChr m:val="["/>
              <m:endChr m:val="]"/>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R</m:t>
                  </m:r>
                </m:num>
                <m:den>
                  <m:r>
                    <w:rPr>
                      <w:rFonts w:ascii="Cambria Math" w:eastAsia="Cambria Math" w:hAnsi="Cambria Math" w:cs="Cambria Math"/>
                    </w:rPr>
                    <m:t>16πG</m:t>
                  </m:r>
                </m:den>
              </m:f>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bar</m:t>
                  </m:r>
                  <m:d>
                    <m:dPr>
                      <m:ctrlPr>
                        <w:rPr>
                          <w:rFonts w:ascii="Cambria Math" w:eastAsia="Cambria Math" w:hAnsi="Cambria Math" w:cs="Cambria Math"/>
                          <w:i/>
                          <w:iCs/>
                        </w:rPr>
                      </m:ctrlPr>
                    </m:dPr>
                    <m:e>
                      <m:r>
                        <w:rPr>
                          <w:rFonts w:ascii="Cambria Math" w:eastAsia="Cambria Math" w:hAnsi="Cambria Math" w:cs="Cambria Math"/>
                        </w:rPr>
                        <m:t>g,ψ</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χ</m:t>
                  </m:r>
                  <m:d>
                    <m:dPr>
                      <m:ctrlPr>
                        <w:rPr>
                          <w:rFonts w:ascii="Cambria Math" w:eastAsia="Cambria Math" w:hAnsi="Cambria Math" w:cs="Cambria Math"/>
                          <w:i/>
                          <w:iCs/>
                        </w:rPr>
                      </m:ctrlPr>
                    </m:dPr>
                    <m:e>
                      <m:r>
                        <w:rPr>
                          <w:rFonts w:ascii="Cambria Math" w:eastAsia="Cambria Math" w:hAnsi="Cambria Math" w:cs="Cambria Math"/>
                        </w:rPr>
                        <m:t>g,χ</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m:rPr>
                      <m:scr m:val="script"/>
                    </m:rPr>
                    <w:rPr>
                      <w:rFonts w:ascii="Cambria Math" w:eastAsia="Cambria Math" w:hAnsi="Cambria Math" w:cs="Cambria Math"/>
                    </w:rPr>
                    <m:t>L</m:t>
                  </m:r>
                </m:e>
                <m:sub>
                  <m:r>
                    <w:rPr>
                      <w:rFonts w:ascii="Cambria Math" w:eastAsia="Cambria Math" w:hAnsi="Cambria Math" w:cs="Cambria Math"/>
                    </w:rPr>
                    <m:t>int</m:t>
                  </m:r>
                  <m:d>
                    <m:dPr>
                      <m:ctrlPr>
                        <w:rPr>
                          <w:rFonts w:ascii="Cambria Math" w:eastAsia="Cambria Math" w:hAnsi="Cambria Math" w:cs="Cambria Math"/>
                          <w:i/>
                          <w:iCs/>
                        </w:rPr>
                      </m:ctrlPr>
                    </m:dPr>
                    <m:e>
                      <m:r>
                        <w:rPr>
                          <w:rFonts w:ascii="Cambria Math" w:eastAsia="Cambria Math" w:hAnsi="Cambria Math" w:cs="Cambria Math"/>
                        </w:rPr>
                        <m:t>g,χ,ψ</m:t>
                      </m:r>
                    </m:e>
                  </m:d>
                </m:sub>
              </m:sSub>
            </m:e>
          </m:d>
        </m:oMath>
      </m:oMathPara>
    </w:p>
    <w:p w14:paraId="0BC24947" w14:textId="77777777" w:rsidR="006C1CD8" w:rsidRDefault="00000000">
      <w:pPr>
        <w:spacing w:after="200" w:line="276" w:lineRule="auto"/>
      </w:pPr>
      <w:r>
        <w:t>The key operational constraints are: (</w:t>
      </w:r>
      <w:proofErr w:type="spellStart"/>
      <w:r>
        <w:t>i</w:t>
      </w:r>
      <w:proofErr w:type="spellEnd"/>
      <w:r>
        <w:t xml:space="preserve">) </w:t>
      </w:r>
      <w:proofErr w:type="spellStart"/>
      <w:r>
        <w:t>ℒ</w:t>
      </w:r>
      <w:r>
        <w:rPr>
          <w:vertAlign w:val="subscript"/>
        </w:rPr>
        <w:t>int</w:t>
      </w:r>
      <w:proofErr w:type="spellEnd"/>
      <w:r>
        <w:t xml:space="preserve"> ties activation to a baryonic invariant (an edge/transition proxy such as |∇</w:t>
      </w:r>
      <w:proofErr w:type="spellStart"/>
      <w:r>
        <w:t>Φ</w:t>
      </w:r>
      <w:r>
        <w:rPr>
          <w:vertAlign w:val="subscript"/>
        </w:rPr>
        <w:t>bar</w:t>
      </w:r>
      <w:proofErr w:type="spellEnd"/>
      <w:r>
        <w:t>|/</w:t>
      </w:r>
      <w:r>
        <w:rPr>
          <w:i/>
          <w:iCs/>
        </w:rPr>
        <w:t>a</w:t>
      </w:r>
      <w:r>
        <w:rPr>
          <w:vertAlign w:val="subscript"/>
        </w:rPr>
        <w:t>0</w:t>
      </w:r>
      <w:r>
        <w:t xml:space="preserve"> or a surface-density proxy), not to a per-galaxy hand-fit function; (ii) the weak-field static equation for χ reduces, outside the activation region, to an approximate flux-conservation law ∇·</w:t>
      </w:r>
      <w:r>
        <w:rPr>
          <w:b/>
          <w:bCs/>
        </w:rPr>
        <w:t>J</w:t>
      </w:r>
      <w:r>
        <w:t xml:space="preserve"> = 0 with radial </w:t>
      </w:r>
      <w:r>
        <w:rPr>
          <w:b/>
          <w:bCs/>
        </w:rPr>
        <w:t>J</w:t>
      </w:r>
      <w:r>
        <w:t xml:space="preserve"> ∝ </w:t>
      </w:r>
      <w:r>
        <w:rPr>
          <w:b/>
          <w:bCs/>
        </w:rPr>
        <w:t>r̂</w:t>
      </w:r>
      <w:r>
        <w:t>/</w:t>
      </w:r>
      <w:r>
        <w:rPr>
          <w:i/>
          <w:iCs/>
        </w:rPr>
        <w:t>R</w:t>
      </w:r>
      <w:r>
        <w:t xml:space="preserve"> in disk symmetry, yielding ∂</w:t>
      </w:r>
      <w:proofErr w:type="spellStart"/>
      <w:r>
        <w:rPr>
          <w:vertAlign w:val="subscript"/>
        </w:rPr>
        <w:t>R</w:t>
      </w:r>
      <w:r>
        <w:t>χ</w:t>
      </w:r>
      <w:proofErr w:type="spellEnd"/>
      <w:r>
        <w:t xml:space="preserve"> ∝ 1/</w:t>
      </w:r>
      <w:r>
        <w:rPr>
          <w:i/>
          <w:iCs/>
        </w:rPr>
        <w:t>R</w:t>
      </w:r>
      <w:r>
        <w:t>; (iii) this preserves standard GR on the left-hand side while adding a tightly constrained response sector on the right.</w:t>
      </w:r>
    </w:p>
    <w:p w14:paraId="3781F2F9" w14:textId="77777777" w:rsidR="006C1CD8" w:rsidRDefault="00000000">
      <w:pPr>
        <w:pStyle w:val="Heading2"/>
      </w:pPr>
      <w:bookmarkStart w:id="13" w:name="_Toc222589274"/>
      <w:r>
        <w:t>3.3 Operational Implementation</w:t>
      </w:r>
      <w:bookmarkEnd w:id="13"/>
    </w:p>
    <w:p w14:paraId="0F530D8E" w14:textId="6310146F" w:rsidR="006C1CD8" w:rsidRDefault="00000000">
      <w:pPr>
        <w:spacing w:after="200" w:line="276" w:lineRule="auto"/>
      </w:pPr>
      <w:r>
        <w:t xml:space="preserve">In practice, the boundary-layer model defines a transition radius </w:t>
      </w:r>
      <w:r>
        <w:rPr>
          <w:i/>
          <w:iCs/>
        </w:rPr>
        <w:t>R</w:t>
      </w:r>
      <w:r>
        <w:rPr>
          <w:vertAlign w:val="subscript"/>
        </w:rPr>
        <w:t>t</w:t>
      </w:r>
      <w:r>
        <w:t xml:space="preserve">—the galactocentric radius nearest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t</m:t>
                </m:r>
              </m:sub>
            </m:sSub>
          </m:e>
        </m:d>
        <m:r>
          <m:rPr>
            <m:sty m:val="p"/>
          </m:rPr>
          <w:rPr>
            <w:rFonts w:ascii="Cambria Math" w:hAnsi="Cambria Math"/>
          </w:rPr>
          <m:t>≈</m:t>
        </m:r>
        <m:sSub>
          <m:sSubPr>
            <m:ctrlPr>
              <w:rPr>
                <w:rFonts w:ascii="Cambria Math" w:hAnsi="Cambria Math"/>
                <w:i/>
                <w:iCs/>
              </w:rPr>
            </m:ctrlPr>
          </m:sSubPr>
          <m:e>
            <m:r>
              <w:rPr>
                <w:rFonts w:ascii="Cambria Math" w:hAnsi="Cambria Math"/>
              </w:rPr>
              <m:t>a</m:t>
            </m:r>
            <m:ctrlPr>
              <w:rPr>
                <w:rFonts w:ascii="Cambria Math" w:hAnsi="Cambria Math"/>
                <w:iCs/>
              </w:rPr>
            </m:ctrlP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iCs/>
              </w:rPr>
            </m:ctrlPr>
          </m:sSupPr>
          <m:e>
            <m:r>
              <w:rPr>
                <w:rFonts w:ascii="Cambria Math" w:hAnsi="Cambria Math"/>
              </w:rPr>
              <m:t>10</m:t>
            </m:r>
            <m:ctrlPr>
              <w:rPr>
                <w:rFonts w:ascii="Cambria Math" w:hAnsi="Cambria Math"/>
                <w:iCs/>
              </w:rPr>
            </m:ctrlPr>
          </m:e>
          <m:sup>
            <m:r>
              <w:rPr>
                <w:rFonts w:ascii="Cambria Math" w:hAnsi="Cambria Math"/>
              </w:rPr>
              <m:t>-10</m:t>
            </m:r>
          </m:sup>
        </m:sSup>
        <m:r>
          <w:rPr>
            <w:rFonts w:ascii="Cambria Math" w:hAnsi="Cambria Math"/>
          </w:rPr>
          <m:t> </m:t>
        </m:r>
        <m:r>
          <m:rPr>
            <m:nor/>
          </m:rPr>
          <w:rPr>
            <w:rFonts w:ascii="Cambria Math" w:hAnsi="Cambria Math"/>
            <w:iCs/>
          </w:rPr>
          <m:t>m</m:t>
        </m:r>
        <m:r>
          <w:rPr>
            <w:rFonts w:ascii="Cambria Math" w:hAnsi="Cambria Math"/>
          </w:rPr>
          <m:t> </m:t>
        </m:r>
        <m:sSup>
          <m:sSupPr>
            <m:ctrlPr>
              <w:rPr>
                <w:rFonts w:ascii="Cambria Math" w:hAnsi="Cambria Math"/>
                <w:iCs/>
              </w:rPr>
            </m:ctrlPr>
          </m:sSupPr>
          <m:e>
            <m:r>
              <m:rPr>
                <m:nor/>
              </m:rPr>
              <w:rPr>
                <w:rFonts w:ascii="Cambria Math" w:hAnsi="Cambria Math"/>
                <w:iCs/>
              </w:rPr>
              <m:t>s</m:t>
            </m:r>
          </m:e>
          <m:sup>
            <m:r>
              <m:rPr>
                <m:nor/>
              </m:rPr>
              <w:rPr>
                <w:rFonts w:ascii="Cambria Math" w:hAnsi="Cambria Math"/>
                <w:iCs/>
              </w:rPr>
              <m:t>-2</m:t>
            </m:r>
          </m:sup>
        </m:sSup>
      </m:oMath>
      <w:r>
        <w:t>. The model prediction for the total circular velocity is:</w:t>
      </w:r>
    </w:p>
    <w:p w14:paraId="40055B73" w14:textId="5D44C4B9" w:rsidR="005657CB" w:rsidRDefault="005657CB">
      <w:pPr>
        <w:spacing w:after="200" w:line="276" w:lineRule="auto"/>
      </w:pPr>
    </w:p>
    <w:p w14:paraId="003BC4ED" w14:textId="3D5C28A5" w:rsidR="006C1CD8" w:rsidRDefault="004077E5">
      <w:pPr>
        <w:spacing w:before="120" w:after="120"/>
        <w:jc w:val="center"/>
      </w:pPr>
      <m:oMathPara>
        <m:oMath>
          <m:sSub>
            <m:sSubPr>
              <m:ctrlPr>
                <w:rPr>
                  <w:rFonts w:ascii="Cambria Math" w:eastAsia="Cambria Math" w:hAnsi="Cambria Math" w:cs="Cambria Math"/>
                  <w:i/>
                  <w:iCs/>
                </w:rPr>
              </m:ctrlPr>
            </m:sSubPr>
            <m:e>
              <m:r>
                <w:rPr>
                  <w:rFonts w:ascii="Cambria Math" w:eastAsia="Cambria Math" w:hAnsi="Cambria Math" w:cs="Cambria Math"/>
                </w:rPr>
                <m:t>v</m:t>
              </m:r>
            </m:e>
            <m:sub>
              <m:r>
                <w:rPr>
                  <w:rFonts w:ascii="Cambria Math" w:eastAsia="Cambria Math" w:hAnsi="Cambria Math" w:cs="Cambria Math"/>
                </w:rPr>
                <m:t>model</m:t>
              </m:r>
              <m:d>
                <m:dPr>
                  <m:ctrlPr>
                    <w:rPr>
                      <w:rFonts w:ascii="Cambria Math" w:eastAsia="Cambria Math" w:hAnsi="Cambria Math" w:cs="Cambria Math"/>
                      <w:i/>
                      <w:iCs/>
                    </w:rPr>
                  </m:ctrlPr>
                </m:dPr>
                <m:e>
                  <m:r>
                    <w:rPr>
                      <w:rFonts w:ascii="Cambria Math" w:eastAsia="Cambria Math" w:hAnsi="Cambria Math" w:cs="Cambria Math"/>
                    </w:rPr>
                    <m:t>R</m:t>
                  </m:r>
                </m:e>
              </m:d>
            </m:sub>
          </m:sSub>
          <m:r>
            <w:rPr>
              <w:rFonts w:ascii="Cambria Math" w:eastAsia="Cambria Math" w:hAnsi="Cambria Math" w:cs="Cambria Math"/>
            </w:rPr>
            <m:t xml:space="preserve">= </m:t>
          </m:r>
          <m:rad>
            <m:radPr>
              <m:degHide m:val="1"/>
              <m:ctrlPr>
                <w:rPr>
                  <w:rFonts w:ascii="Cambria Math" w:eastAsia="Cambria Math" w:hAnsi="Cambria Math" w:cs="Cambria Math"/>
                  <w:i/>
                  <w:iCs/>
                </w:rPr>
              </m:ctrlPr>
            </m:radPr>
            <m:deg/>
            <m:e>
              <m:d>
                <m:dPr>
                  <m:begChr m:val="["/>
                  <m:endChr m:val="]"/>
                  <m:ctrlPr>
                    <w:rPr>
                      <w:rFonts w:ascii="Cambria Math" w:eastAsia="Cambria Math" w:hAnsi="Cambria Math" w:cs="Cambria Math"/>
                      <w:i/>
                      <w:iCs/>
                    </w:rPr>
                  </m:ctrlPr>
                </m:dPr>
                <m:e>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d>
                        <m:dPr>
                          <m:ctrlPr>
                            <w:rPr>
                              <w:rFonts w:ascii="Cambria Math" w:eastAsia="Cambria Math" w:hAnsi="Cambria Math" w:cs="Cambria Math"/>
                              <w:i/>
                              <w:iCs/>
                            </w:rPr>
                          </m:ctrlPr>
                        </m:dPr>
                        <m:e>
                          <m:r>
                            <w:rPr>
                              <w:rFonts w:ascii="Cambria Math" w:eastAsia="Cambria Math" w:hAnsi="Cambria Math" w:cs="Cambria Math"/>
                            </w:rPr>
                            <m:t>R</m:t>
                          </m:r>
                        </m:e>
                      </m:d>
                    </m:sub>
                    <m:sup>
                      <m:r>
                        <w:rPr>
                          <w:rFonts w:ascii="Cambria Math" w:eastAsia="Cambria Math" w:hAnsi="Cambria Math" w:cs="Cambria Math"/>
                        </w:rPr>
                        <m:t>2</m:t>
                      </m:r>
                    </m:sup>
                  </m:sSubSup>
                  <m:r>
                    <w:rPr>
                      <w:rFonts w:ascii="Cambria Math" w:eastAsia="Cambria Math" w:hAnsi="Cambria Math" w:cs="Cambria Math"/>
                    </w:rPr>
                    <m:t>+ Q · f</m:t>
                  </m:r>
                  <m:d>
                    <m:dPr>
                      <m:ctrlPr>
                        <w:rPr>
                          <w:rFonts w:ascii="Cambria Math" w:eastAsia="Cambria Math" w:hAnsi="Cambria Math" w:cs="Cambria Math"/>
                          <w:i/>
                          <w:iCs/>
                        </w:rPr>
                      </m:ctrlPr>
                    </m:dPr>
                    <m:e>
                      <m:r>
                        <w:rPr>
                          <w:rFonts w:ascii="Cambria Math" w:eastAsia="Cambria Math" w:hAnsi="Cambria Math" w:cs="Cambria Math"/>
                        </w:rPr>
                        <m:t xml:space="preserve">R; </m:t>
                      </m:r>
                      <m:sSub>
                        <m:sSubPr>
                          <m:ctrlPr>
                            <w:rPr>
                              <w:rFonts w:ascii="Cambria Math" w:eastAsia="Cambria Math" w:hAnsi="Cambria Math" w:cs="Cambria Math"/>
                              <w:i/>
                              <w:iCs/>
                            </w:rPr>
                          </m:ctrlPr>
                        </m:sSubPr>
                        <m:e>
                          <m:r>
                            <w:rPr>
                              <w:rFonts w:ascii="Cambria Math" w:eastAsia="Cambria Math" w:hAnsi="Cambria Math" w:cs="Cambria Math"/>
                            </w:rPr>
                            <m:t>R</m:t>
                          </m:r>
                        </m:e>
                        <m:sub>
                          <m:r>
                            <w:rPr>
                              <w:rFonts w:ascii="Cambria Math" w:eastAsia="Cambria Math" w:hAnsi="Cambria Math" w:cs="Cambria Math"/>
                            </w:rPr>
                            <m:t>t</m:t>
                          </m:r>
                        </m:sub>
                      </m:sSub>
                    </m:e>
                  </m:d>
                </m:e>
              </m:d>
            </m:e>
          </m:rad>
        </m:oMath>
      </m:oMathPara>
    </w:p>
    <w:p w14:paraId="0FFE5E64" w14:textId="77777777" w:rsidR="006C1CD8" w:rsidRDefault="00000000">
      <w:pPr>
        <w:spacing w:after="200" w:line="276" w:lineRule="auto"/>
      </w:pPr>
      <w:r>
        <w:t xml:space="preserve">where </w:t>
      </w:r>
      <w:r>
        <w:rPr>
          <w:i/>
          <w:iCs/>
        </w:rPr>
        <w:t>Q</w:t>
      </w:r>
      <w:r>
        <w:t xml:space="preserve"> is the single amplitude parameter (in km</w:t>
      </w:r>
      <w:r>
        <w:rPr>
          <w:vertAlign w:val="superscript"/>
        </w:rPr>
        <w:t>2</w:t>
      </w:r>
      <w:r>
        <w:t xml:space="preserve"> s</w:t>
      </w:r>
      <w:r>
        <w:rPr>
          <w:vertAlign w:val="superscript"/>
        </w:rPr>
        <w:t>−2</w:t>
      </w:r>
      <w:r>
        <w:t xml:space="preserve">) controlling the strength of the response, and </w:t>
      </w:r>
      <w:proofErr w:type="gramStart"/>
      <w:r>
        <w:rPr>
          <w:i/>
          <w:iCs/>
        </w:rPr>
        <w:t>f</w:t>
      </w:r>
      <w:r>
        <w:t>(</w:t>
      </w:r>
      <w:proofErr w:type="gramEnd"/>
      <w:r>
        <w:rPr>
          <w:i/>
          <w:iCs/>
        </w:rPr>
        <w:t>R</w:t>
      </w:r>
      <w:r>
        <w:t xml:space="preserve">; </w:t>
      </w:r>
      <w:r>
        <w:rPr>
          <w:i/>
          <w:iCs/>
        </w:rPr>
        <w:t>R</w:t>
      </w:r>
      <w:r>
        <w:rPr>
          <w:vertAlign w:val="subscript"/>
        </w:rPr>
        <w:t>t</w:t>
      </w:r>
      <w:r>
        <w:t xml:space="preserve">) encodes the boundary-layer shape: zero for </w:t>
      </w:r>
      <w:r>
        <w:rPr>
          <w:i/>
          <w:iCs/>
        </w:rPr>
        <w:t>R</w:t>
      </w:r>
      <w:r>
        <w:t xml:space="preserve"> &lt; </w:t>
      </w:r>
      <w:r>
        <w:rPr>
          <w:i/>
          <w:iCs/>
        </w:rPr>
        <w:t>R</w:t>
      </w:r>
      <w:r>
        <w:rPr>
          <w:vertAlign w:val="subscript"/>
        </w:rPr>
        <w:t>t</w:t>
      </w:r>
      <w:r>
        <w:t>, rising to an asymptotic 1/</w:t>
      </w:r>
      <w:r>
        <w:rPr>
          <w:i/>
          <w:iCs/>
        </w:rPr>
        <w:t>R</w:t>
      </w:r>
      <w:r>
        <w:t xml:space="preserve"> tail for </w:t>
      </w:r>
      <w:r>
        <w:rPr>
          <w:i/>
          <w:iCs/>
        </w:rPr>
        <w:t>R</w:t>
      </w:r>
      <w:r>
        <w:t xml:space="preserve"> ≫ </w:t>
      </w:r>
      <w:r>
        <w:rPr>
          <w:i/>
          <w:iCs/>
        </w:rPr>
        <w:t>R</w:t>
      </w:r>
      <w:r>
        <w:rPr>
          <w:vertAlign w:val="subscript"/>
        </w:rPr>
        <w:t>t</w:t>
      </w:r>
      <w:r>
        <w:t xml:space="preserve">. The fit minimizes the weighted residual against the observed rotation curve to determine </w:t>
      </w:r>
      <w:proofErr w:type="spellStart"/>
      <w:r>
        <w:rPr>
          <w:i/>
          <w:iCs/>
        </w:rPr>
        <w:t>Q</w:t>
      </w:r>
      <w:r>
        <w:rPr>
          <w:vertAlign w:val="subscript"/>
        </w:rPr>
        <w:t>best</w:t>
      </w:r>
      <w:proofErr w:type="spellEnd"/>
      <w:r>
        <w:t xml:space="preserve"> for each galaxy.</w:t>
      </w:r>
    </w:p>
    <w:p w14:paraId="2C77CED7" w14:textId="77777777" w:rsidR="006C1CD8" w:rsidRDefault="00000000">
      <w:pPr>
        <w:pStyle w:val="Heading2"/>
      </w:pPr>
      <w:bookmarkStart w:id="14" w:name="_Toc222589275"/>
      <w:r>
        <w:t>3.4 The Constitutive “Gravitational Dielectric” Alternative</w:t>
      </w:r>
      <w:bookmarkEnd w:id="14"/>
    </w:p>
    <w:p w14:paraId="0B46CBE8" w14:textId="4D961014" w:rsidR="006C1CD8" w:rsidRDefault="00000000">
      <w:pPr>
        <w:spacing w:after="200" w:line="276" w:lineRule="auto"/>
      </w:pPr>
      <w:r>
        <w:t xml:space="preserve">An equivalent weak-field formulation defines an effective polarization field </w:t>
      </w:r>
      <w:r>
        <w:rPr>
          <w:b/>
          <w:bCs/>
        </w:rPr>
        <w:t>P</w:t>
      </w:r>
      <w:r>
        <w:t xml:space="preserve"> such that the modified Poisson equation becomes a constitutive law:</w:t>
      </w:r>
      <w:r w:rsidR="005657CB" w:rsidRPr="005657CB">
        <w:t xml:space="preserve"> </w:t>
      </w:r>
      <m:oMath>
        <m:r>
          <m:rPr>
            <m:sty m:val="p"/>
          </m:rPr>
          <w:rPr>
            <w:rFonts w:ascii="Cambria Math" w:hAnsi="Cambria Math"/>
          </w:rPr>
          <m:t>∇⋅</m:t>
        </m:r>
        <m:d>
          <m:dPr>
            <m:ctrlPr>
              <w:rPr>
                <w:rFonts w:ascii="Cambria Math" w:hAnsi="Cambria Math"/>
              </w:rPr>
            </m:ctrlPr>
          </m:dPr>
          <m:e>
            <m:r>
              <m:rPr>
                <m:sty m:val="p"/>
              </m:rPr>
              <w:rPr>
                <w:rFonts w:ascii="Cambria Math" w:hAnsi="Cambria Math"/>
              </w:rPr>
              <m:t>∇Φ</m:t>
            </m:r>
            <m:r>
              <w:rPr>
                <w:rFonts w:ascii="Cambria Math" w:hAnsi="Cambria Math"/>
              </w:rPr>
              <m:t>-4</m:t>
            </m:r>
            <m:r>
              <m:rPr>
                <m:sty m:val="p"/>
              </m:rPr>
              <w:rPr>
                <w:rFonts w:ascii="Cambria Math" w:hAnsi="Cambria Math"/>
              </w:rPr>
              <m:t>π</m:t>
            </m:r>
            <m:r>
              <w:rPr>
                <w:rFonts w:ascii="Cambria Math" w:hAnsi="Cambria Math"/>
              </w:rPr>
              <m:t>G</m:t>
            </m:r>
            <m:r>
              <w:rPr>
                <w:rFonts w:ascii="Cambria Math" w:hAnsi="Cambria Math"/>
              </w:rPr>
              <m:t> </m:t>
            </m:r>
            <m:r>
              <w:rPr>
                <w:rFonts w:ascii="Cambria Math" w:hAnsi="Cambria Math"/>
              </w:rPr>
              <m:t>P</m:t>
            </m:r>
            <m:ctrlPr>
              <w:rPr>
                <w:rFonts w:ascii="Cambria Math" w:hAnsi="Cambria Math"/>
                <w:i/>
              </w:rPr>
            </m:ctrlPr>
          </m:e>
        </m:d>
        <m:r>
          <w:rPr>
            <w:rFonts w:ascii="Cambria Math" w:hAnsi="Cambria Math"/>
          </w:rPr>
          <m:t>=4</m:t>
        </m:r>
        <m:r>
          <m:rPr>
            <m:sty m:val="p"/>
          </m:rPr>
          <w:rPr>
            <w:rFonts w:ascii="Cambria Math" w:hAnsi="Cambria Math"/>
          </w:rPr>
          <m:t>π</m:t>
        </m:r>
        <m:r>
          <w:rPr>
            <w:rFonts w:ascii="Cambria Math" w:hAnsi="Cambria Math"/>
          </w:rPr>
          <m:t>G</m:t>
        </m:r>
        <m:r>
          <w:rPr>
            <w:rFonts w:ascii="Cambria Math" w:hAnsi="Cambria Math"/>
          </w:rPr>
          <m:t> </m:t>
        </m:r>
        <m:sSub>
          <m:sSubPr>
            <m:ctrlPr>
              <w:rPr>
                <w:rFonts w:ascii="Cambria Math" w:hAnsi="Cambria Math"/>
                <w:i/>
              </w:rPr>
            </m:ctrlPr>
          </m:sSubPr>
          <m:e>
            <m:r>
              <m:rPr>
                <m:sty m:val="p"/>
              </m:rPr>
              <w:rPr>
                <w:rFonts w:ascii="Cambria Math" w:hAnsi="Cambria Math"/>
              </w:rPr>
              <m:t>ρ</m:t>
            </m:r>
          </m:e>
          <m:sub>
            <m:r>
              <m:rPr>
                <m:nor/>
              </m:rPr>
              <w:rPr>
                <w:rFonts w:ascii="Cambria Math" w:hAnsi="Cambria Math"/>
              </w:rPr>
              <m:t>bar</m:t>
            </m:r>
          </m:sub>
        </m:sSub>
      </m:oMath>
      <w:r>
        <w:t xml:space="preserve">. Then </w:t>
      </w:r>
      <w:r w:rsidR="005657CB">
        <w:br/>
      </w:r>
      <m:oMath>
        <m:sSub>
          <m:sSubPr>
            <m:ctrlPr>
              <w:rPr>
                <w:rFonts w:ascii="Cambria Math" w:hAnsi="Cambria Math"/>
                <w:i/>
              </w:rPr>
            </m:ctrlPr>
          </m:sSubPr>
          <m:e>
            <m:r>
              <w:rPr>
                <w:rFonts w:ascii="Cambria Math" w:hAnsi="Cambria Math"/>
              </w:rPr>
              <m:t>ρ</m:t>
            </m:r>
            <m:ctrlPr>
              <w:rPr>
                <w:rFonts w:ascii="Cambria Math" w:hAnsi="Cambria Math"/>
              </w:rPr>
            </m:ctrlPr>
          </m:e>
          <m:sub>
            <m:r>
              <m:rPr>
                <m:nor/>
              </m:rPr>
              <w:rPr>
                <w:rFonts w:ascii="Cambria Math" w:hAnsi="Cambria Math"/>
              </w:rPr>
              <m:t>resp</m:t>
            </m:r>
          </m:sub>
        </m:sSub>
        <m:r>
          <m:rPr>
            <m:sty m:val="p"/>
          </m:rPr>
          <w:rPr>
            <w:rFonts w:ascii="Cambria Math" w:hAnsi="Cambria Math"/>
          </w:rPr>
          <m:t>≡</m:t>
        </m:r>
        <m:r>
          <w:rPr>
            <w:rFonts w:ascii="Cambria Math" w:hAnsi="Cambria Math"/>
          </w:rPr>
          <m:t>-</m:t>
        </m:r>
        <m:r>
          <m:rPr>
            <m:sty m:val="p"/>
          </m:rPr>
          <w:rPr>
            <w:rFonts w:ascii="Cambria Math" w:hAnsi="Cambria Math"/>
          </w:rPr>
          <m:t>∇⋅</m:t>
        </m:r>
        <m:r>
          <m:rPr>
            <m:sty m:val="bi"/>
          </m:rPr>
          <w:rPr>
            <w:rFonts w:ascii="Cambria Math" w:hAnsi="Cambria Math"/>
          </w:rPr>
          <m:t>P</m:t>
        </m:r>
      </m:oMath>
      <w:r w:rsidR="005657CB">
        <w:t xml:space="preserve"> </w:t>
      </w:r>
      <w:r>
        <w:t xml:space="preserve">plays the role of the effective response density. This formulation restricts </w:t>
      </w:r>
      <w:r>
        <w:rPr>
          <w:b/>
          <w:bCs/>
        </w:rPr>
        <w:t>P</w:t>
      </w:r>
      <w:r>
        <w:t xml:space="preserve"> to depend on baryonic invariants and a small number of constants, and is embeddable in a covariant action for lensing and cosmological extensions.</w:t>
      </w:r>
    </w:p>
    <w:p w14:paraId="36093901" w14:textId="77777777" w:rsidR="006C1CD8" w:rsidRDefault="00000000">
      <w:pPr>
        <w:pStyle w:val="Heading2"/>
      </w:pPr>
      <w:bookmarkStart w:id="15" w:name="_Toc222589276"/>
      <w:r>
        <w:t>3.5 Three Completion Routes</w:t>
      </w:r>
      <w:bookmarkEnd w:id="15"/>
    </w:p>
    <w:p w14:paraId="7C28C7FF" w14:textId="77777777" w:rsidR="00B909D1" w:rsidRDefault="00000000">
      <w:pPr>
        <w:spacing w:after="200" w:line="276" w:lineRule="auto"/>
      </w:pPr>
      <w:r>
        <w:t xml:space="preserve">The response-sector bookkeeping is compatible with at least three microphysical completions: </w:t>
      </w:r>
    </w:p>
    <w:p w14:paraId="25819507" w14:textId="5C24FC3B" w:rsidR="00B909D1" w:rsidRDefault="00000000" w:rsidP="00B909D1">
      <w:pPr>
        <w:pStyle w:val="ListParagraph"/>
        <w:numPr>
          <w:ilvl w:val="0"/>
          <w:numId w:val="5"/>
        </w:numPr>
        <w:spacing w:after="200" w:line="276" w:lineRule="auto"/>
      </w:pPr>
      <w:r w:rsidRPr="00B909D1">
        <w:rPr>
          <w:b/>
          <w:bCs/>
        </w:rPr>
        <w:t>extra field/medium:</w:t>
      </w:r>
      <w: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μν</m:t>
            </m:r>
          </m:sub>
          <m:sup>
            <m:r>
              <w:rPr>
                <w:rFonts w:ascii="Cambria Math" w:hAnsi="Cambria Math"/>
              </w:rPr>
              <m:t>χ</m:t>
            </m:r>
          </m:sup>
        </m:sSubSup>
      </m:oMath>
      <w:r>
        <w:t xml:space="preserve"> for some field(s) χ; </w:t>
      </w:r>
    </w:p>
    <w:p w14:paraId="453AA464" w14:textId="77777777" w:rsidR="00B909D1" w:rsidRDefault="00000000" w:rsidP="00B909D1">
      <w:pPr>
        <w:pStyle w:val="ListParagraph"/>
        <w:numPr>
          <w:ilvl w:val="0"/>
          <w:numId w:val="5"/>
        </w:numPr>
        <w:spacing w:after="200" w:line="276" w:lineRule="auto"/>
      </w:pPr>
      <w:r w:rsidRPr="00B909D1">
        <w:rPr>
          <w:b/>
          <w:bCs/>
        </w:rPr>
        <w:t>modified gravity rewritten as effective source:</w:t>
      </w:r>
      <w:r>
        <w:t xml:space="preserve"> higher-curvature or nonlocal terms moved to the right-hand side; </w:t>
      </w:r>
    </w:p>
    <w:p w14:paraId="47C9222F" w14:textId="691B3159" w:rsidR="00B909D1" w:rsidRDefault="00000000" w:rsidP="00B909D1">
      <w:pPr>
        <w:pStyle w:val="ListParagraph"/>
        <w:numPr>
          <w:ilvl w:val="0"/>
          <w:numId w:val="5"/>
        </w:numPr>
        <w:spacing w:after="200" w:line="276" w:lineRule="auto"/>
      </w:pPr>
      <w:r w:rsidRPr="00B909D1">
        <w:rPr>
          <w:b/>
          <w:bCs/>
        </w:rPr>
        <w:t>constitutive closure:</w:t>
      </w:r>
      <w:r>
        <w:t xml:space="preserve"> </w:t>
      </w:r>
      <m:oMath>
        <m:sSubSup>
          <m:sSubSupPr>
            <m:ctrlPr>
              <w:rPr>
                <w:rFonts w:ascii="Cambria Math" w:hAnsi="Cambria Math"/>
                <w:i/>
                <w:iCs/>
              </w:rPr>
            </m:ctrlPr>
          </m:sSubSupPr>
          <m:e>
            <m:r>
              <w:rPr>
                <w:rFonts w:ascii="Cambria Math" w:hAnsi="Cambria Math"/>
              </w:rPr>
              <m:t>T</m:t>
            </m:r>
          </m:e>
          <m:sub>
            <m:r>
              <m:rPr>
                <m:sty m:val="p"/>
              </m:rPr>
              <w:rPr>
                <w:rFonts w:ascii="Cambria Math" w:hAnsi="Cambria Math"/>
              </w:rPr>
              <m:t>μν</m:t>
            </m:r>
          </m:sub>
          <m:sup>
            <m:r>
              <m:rPr>
                <m:nor/>
              </m:rPr>
              <w:rPr>
                <w:rFonts w:ascii="Cambria Math" w:hAnsi="Cambria Math"/>
                <w:iCs/>
              </w:rPr>
              <m:t>resp</m:t>
            </m:r>
          </m:sup>
        </m:sSubSup>
        <m:r>
          <w:rPr>
            <w:rFonts w:ascii="Cambria Math" w:hAnsi="Cambria Math"/>
          </w:rPr>
          <m:t>=</m:t>
        </m:r>
        <m:sSub>
          <m:sSubPr>
            <m:ctrlPr>
              <w:rPr>
                <w:rFonts w:ascii="Cambria Math" w:hAnsi="Cambria Math"/>
                <w:i/>
                <w:iCs/>
              </w:rPr>
            </m:ctrlPr>
          </m:sSubPr>
          <m:e>
            <m:r>
              <m:rPr>
                <m:scr m:val="script"/>
              </m:rPr>
              <w:rPr>
                <w:rFonts w:ascii="Cambria Math" w:hAnsi="Cambria Math"/>
              </w:rPr>
              <m:t>F</m:t>
            </m:r>
          </m:e>
          <m:sub>
            <m:r>
              <m:rPr>
                <m:sty m:val="p"/>
              </m:rPr>
              <w:rPr>
                <w:rFonts w:ascii="Cambria Math" w:hAnsi="Cambria Math"/>
              </w:rPr>
              <m:t>μν</m:t>
            </m:r>
          </m:sub>
        </m:sSub>
        <m:r>
          <m:rPr>
            <m:lit/>
          </m:rPr>
          <w:rPr>
            <w:rFonts w:ascii="Cambria Math" w:hAnsi="Cambria Math"/>
          </w:rPr>
          <m:t>!</m:t>
        </m:r>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g</m:t>
                </m:r>
                <m:ctrlPr>
                  <w:rPr>
                    <w:rFonts w:ascii="Cambria Math" w:hAnsi="Cambria Math"/>
                    <w:iCs/>
                  </w:rPr>
                </m:ctrlPr>
              </m:e>
              <m:sub>
                <m:r>
                  <m:rPr>
                    <m:sty m:val="p"/>
                  </m:rPr>
                  <w:rPr>
                    <w:rFonts w:ascii="Cambria Math" w:hAnsi="Cambria Math"/>
                  </w:rPr>
                  <m:t>αβ</m:t>
                </m:r>
              </m:sub>
            </m:sSub>
            <m:r>
              <w:rPr>
                <w:rFonts w:ascii="Cambria Math" w:hAnsi="Cambria Math"/>
              </w:rPr>
              <m:t>,</m:t>
            </m:r>
            <m:r>
              <w:rPr>
                <w:rFonts w:ascii="Cambria Math" w:hAnsi="Cambria Math"/>
              </w:rPr>
              <m:t> </m:t>
            </m:r>
            <m:sSubSup>
              <m:sSubSupPr>
                <m:ctrlPr>
                  <w:rPr>
                    <w:rFonts w:ascii="Cambria Math" w:hAnsi="Cambria Math"/>
                    <w:i/>
                    <w:iCs/>
                  </w:rPr>
                </m:ctrlPr>
              </m:sSubSupPr>
              <m:e>
                <m:r>
                  <w:rPr>
                    <w:rFonts w:ascii="Cambria Math" w:hAnsi="Cambria Math"/>
                  </w:rPr>
                  <m:t>T</m:t>
                </m:r>
              </m:e>
              <m:sub>
                <m:r>
                  <m:rPr>
                    <m:sty m:val="p"/>
                  </m:rPr>
                  <w:rPr>
                    <w:rFonts w:ascii="Cambria Math" w:hAnsi="Cambria Math"/>
                  </w:rPr>
                  <m:t>αβ</m:t>
                </m:r>
              </m:sub>
              <m:sup>
                <m:r>
                  <m:rPr>
                    <m:nor/>
                  </m:rPr>
                  <w:rPr>
                    <w:rFonts w:ascii="Cambria Math" w:hAnsi="Cambria Math"/>
                    <w:iCs/>
                  </w:rPr>
                  <m:t>bar</m:t>
                </m:r>
              </m:sup>
            </m:sSubSup>
            <m:ctrlPr>
              <w:rPr>
                <w:rFonts w:ascii="Cambria Math" w:hAnsi="Cambria Math"/>
                <w:i/>
                <w:iCs/>
              </w:rPr>
            </m:ctrlPr>
          </m:e>
        </m:d>
      </m:oMath>
      <w:r>
        <w:t xml:space="preserve">. </w:t>
      </w:r>
    </w:p>
    <w:p w14:paraId="1ADCBE45" w14:textId="1106AA8A" w:rsidR="006C1CD8" w:rsidRDefault="00000000" w:rsidP="00B909D1">
      <w:pPr>
        <w:spacing w:after="200" w:line="276" w:lineRule="auto"/>
      </w:pPr>
      <w:r>
        <w:t>This paper establishes the galaxy-domain phenomenology without committing to a specific completion; the choice constrains lensing and cosmological predictions (see §8).</w:t>
      </w:r>
    </w:p>
    <w:p w14:paraId="31EA18A0" w14:textId="77777777" w:rsidR="005657CB" w:rsidRDefault="005657CB" w:rsidP="00B909D1">
      <w:pPr>
        <w:spacing w:after="200" w:line="276" w:lineRule="auto"/>
      </w:pPr>
    </w:p>
    <w:p w14:paraId="0158FF1D" w14:textId="77777777" w:rsidR="00B909D1" w:rsidRDefault="00B909D1">
      <w:pPr>
        <w:pStyle w:val="Heading1"/>
        <w:sectPr w:rsidR="00B909D1">
          <w:pgSz w:w="12240" w:h="15840"/>
          <w:pgMar w:top="1440" w:right="1440" w:bottom="1440" w:left="1440" w:header="708" w:footer="708" w:gutter="0"/>
          <w:cols w:space="720"/>
          <w:docGrid w:linePitch="360"/>
        </w:sectPr>
      </w:pPr>
      <w:bookmarkStart w:id="16" w:name="_Toc222589277"/>
    </w:p>
    <w:p w14:paraId="33FA4379" w14:textId="77777777" w:rsidR="006C1CD8" w:rsidRDefault="00000000">
      <w:pPr>
        <w:pStyle w:val="Heading1"/>
      </w:pPr>
      <w:r>
        <w:t>4. Data and Pipeline</w:t>
      </w:r>
      <w:bookmarkEnd w:id="16"/>
    </w:p>
    <w:p w14:paraId="22FB4E27" w14:textId="77777777" w:rsidR="006C1CD8" w:rsidRDefault="00000000">
      <w:pPr>
        <w:pStyle w:val="Heading2"/>
      </w:pPr>
      <w:bookmarkStart w:id="17" w:name="_Toc222589278"/>
      <w:r>
        <w:t>4.1 The SPARC Database</w:t>
      </w:r>
      <w:bookmarkEnd w:id="17"/>
    </w:p>
    <w:p w14:paraId="1DF1F5CD" w14:textId="77777777" w:rsidR="006C1CD8" w:rsidRDefault="00000000">
      <w:pPr>
        <w:spacing w:after="200" w:line="276" w:lineRule="auto"/>
      </w:pPr>
      <w:r>
        <w:t xml:space="preserve">The Spitzer Photometry and Accurate Rotation Curves (SPARC) database (Lelli et al., 2016) provides uniformly measured HI/Hα rotation curves and 3.6 </w:t>
      </w:r>
      <w:proofErr w:type="spellStart"/>
      <w:r>
        <w:t>μm</w:t>
      </w:r>
      <w:proofErr w:type="spellEnd"/>
      <w:r>
        <w:t xml:space="preserve"> Spitzer photometry for 175 nearby galaxies spanning a factor of ~10</w:t>
      </w:r>
      <w:r>
        <w:rPr>
          <w:vertAlign w:val="superscript"/>
        </w:rPr>
        <w:t>4</w:t>
      </w:r>
      <w:r>
        <w:t xml:space="preserve"> in luminosity, ~10</w:t>
      </w:r>
      <w:r>
        <w:rPr>
          <w:vertAlign w:val="superscript"/>
        </w:rPr>
        <w:t>2</w:t>
      </w:r>
      <w:r>
        <w:t xml:space="preserve"> in size, and a wide range of morphologies (from gas-rich dwarfs to massive spirals). Each galaxy entry includes the observed circular velocity </w:t>
      </w:r>
      <w:proofErr w:type="spellStart"/>
      <w:r>
        <w:rPr>
          <w:i/>
          <w:iCs/>
        </w:rPr>
        <w:t>V</w:t>
      </w:r>
      <w:r>
        <w:rPr>
          <w:vertAlign w:val="subscript"/>
        </w:rPr>
        <w:t>obs</w:t>
      </w:r>
      <w:proofErr w:type="spellEnd"/>
      <w:r>
        <w:t>(</w:t>
      </w:r>
      <w:r>
        <w:rPr>
          <w:i/>
          <w:iCs/>
        </w:rPr>
        <w:t>R</w:t>
      </w:r>
      <w:r>
        <w:t>) with uncertainties, the baryonic rotation-curve components (stellar disk, gas, and where relevant, stellar bulge), the adopted distance and inclination, and data quality flags.</w:t>
      </w:r>
    </w:p>
    <w:p w14:paraId="666F85D3" w14:textId="77777777" w:rsidR="006C1CD8" w:rsidRDefault="00000000">
      <w:pPr>
        <w:pStyle w:val="Heading2"/>
      </w:pPr>
      <w:bookmarkStart w:id="18" w:name="_Toc222589279"/>
      <w:r>
        <w:t>4.2 Baryonic Velocity Construction</w:t>
      </w:r>
      <w:bookmarkEnd w:id="18"/>
    </w:p>
    <w:p w14:paraId="5F6DCD03" w14:textId="77777777" w:rsidR="006C1CD8" w:rsidRDefault="00000000">
      <w:pPr>
        <w:spacing w:after="200" w:line="276" w:lineRule="auto"/>
      </w:pPr>
      <w:r>
        <w:t>The baryonic velocity prediction is assembled from SPARC components:</w:t>
      </w:r>
    </w:p>
    <w:p w14:paraId="125ED25F" w14:textId="68B25FDB" w:rsidR="006C1CD8" w:rsidRDefault="004077E5">
      <w:pPr>
        <w:spacing w:before="120" w:after="120"/>
        <w:jc w:val="center"/>
      </w:pPr>
      <m:oMathPara>
        <m:oMath>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bar</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Υ</m:t>
              </m:r>
            </m:e>
            <m:sub>
              <m:r>
                <w:rPr>
                  <w:rFonts w:ascii="Cambria Math" w:eastAsia="Cambria Math" w:hAnsi="Cambria Math" w:cs="Cambria Math"/>
                </w:rPr>
                <m:t>disk</m:t>
              </m:r>
            </m:sub>
          </m:sSub>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disk</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Υ</m:t>
              </m:r>
            </m:e>
            <m:sub>
              <m:r>
                <w:rPr>
                  <w:rFonts w:ascii="Cambria Math" w:eastAsia="Cambria Math" w:hAnsi="Cambria Math" w:cs="Cambria Math"/>
                </w:rPr>
                <m:t>bul</m:t>
              </m:r>
            </m:sub>
          </m:sSub>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bul</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v</m:t>
              </m:r>
            </m:e>
            <m:sub>
              <m:r>
                <w:rPr>
                  <w:rFonts w:ascii="Cambria Math" w:eastAsia="Cambria Math" w:hAnsi="Cambria Math" w:cs="Cambria Math"/>
                </w:rPr>
                <m:t>gas</m:t>
              </m:r>
            </m:sub>
            <m:sup>
              <m:r>
                <w:rPr>
                  <w:rFonts w:ascii="Cambria Math" w:eastAsia="Cambria Math" w:hAnsi="Cambria Math" w:cs="Cambria Math"/>
                </w:rPr>
                <m:t>2</m:t>
              </m:r>
            </m:sup>
          </m:sSubSup>
          <m:d>
            <m:dPr>
              <m:ctrlPr>
                <w:rPr>
                  <w:rFonts w:ascii="Cambria Math" w:eastAsia="Cambria Math" w:hAnsi="Cambria Math" w:cs="Cambria Math"/>
                  <w:i/>
                  <w:iCs/>
                </w:rPr>
              </m:ctrlPr>
            </m:dPr>
            <m:e>
              <m:r>
                <w:rPr>
                  <w:rFonts w:ascii="Cambria Math" w:eastAsia="Cambria Math" w:hAnsi="Cambria Math" w:cs="Cambria Math"/>
                </w:rPr>
                <m:t>R</m:t>
              </m:r>
            </m:e>
          </m:d>
        </m:oMath>
      </m:oMathPara>
    </w:p>
    <w:p w14:paraId="5AB937AA" w14:textId="18E5FBCF" w:rsidR="006C1CD8" w:rsidRDefault="00000000">
      <w:pPr>
        <w:spacing w:after="200" w:line="276" w:lineRule="auto"/>
      </w:pPr>
      <w:r>
        <w:t xml:space="preserve">where </w:t>
      </w:r>
      <w:proofErr w:type="spellStart"/>
      <w:r>
        <w:t>Υ</w:t>
      </w:r>
      <w:r>
        <w:rPr>
          <w:vertAlign w:val="subscript"/>
        </w:rPr>
        <w:t>disk</w:t>
      </w:r>
      <w:proofErr w:type="spellEnd"/>
      <w:r>
        <w:t xml:space="preserve"> and </w:t>
      </w:r>
      <w:proofErr w:type="spellStart"/>
      <w:r>
        <w:t>Υ</w:t>
      </w:r>
      <w:r>
        <w:rPr>
          <w:vertAlign w:val="subscript"/>
        </w:rPr>
        <w:t>bul</w:t>
      </w:r>
      <w:proofErr w:type="spellEnd"/>
      <w:r>
        <w:t xml:space="preserve"> are the stellar mass-to-light ratios. We adopt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w:rPr>
            <w:rFonts w:ascii="Cambria Math" w:hAnsi="Cambria Math"/>
          </w:rPr>
          <m:t>=0.5 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as the baseline, consistent with stellar population synthesis models at </w:t>
      </w:r>
      <m:oMath>
        <m:r>
          <w:rPr>
            <w:rFonts w:ascii="Cambria Math" w:hAnsi="Cambria Math"/>
          </w:rPr>
          <m:t>3.6 μm</m:t>
        </m:r>
      </m:oMath>
      <w:r>
        <w:t xml:space="preserve"> (McGaugh &amp; Schombert, 2014), with sensitivity sweeps across </w:t>
      </w:r>
      <m:oMath>
        <m:sSub>
          <m:sSubPr>
            <m:ctrlPr>
              <w:rPr>
                <w:rFonts w:ascii="Cambria Math" w:hAnsi="Cambria Math"/>
                <w:i/>
              </w:rPr>
            </m:ctrlPr>
          </m:sSubPr>
          <m:e>
            <m:r>
              <m:rPr>
                <m:sty m:val="p"/>
              </m:rPr>
              <w:rPr>
                <w:rFonts w:ascii="Cambria Math" w:hAnsi="Cambria Math"/>
              </w:rPr>
              <m:t>Υ</m:t>
            </m:r>
            <m:ctrlPr>
              <w:rPr>
                <w:rFonts w:ascii="Cambria Math" w:hAnsi="Cambria Math"/>
              </w:rPr>
            </m:ctrlPr>
          </m:e>
          <m:sub>
            <m:r>
              <m:rPr>
                <m:nor/>
              </m:rPr>
              <w:rPr>
                <w:rFonts w:ascii="Cambria Math" w:hAnsi="Cambria Math"/>
              </w:rPr>
              <m:t>disk</m:t>
            </m:r>
          </m:sub>
        </m:sSub>
        <m:r>
          <m:rPr>
            <m:sty m:val="p"/>
          </m:rPr>
          <w:rPr>
            <w:rFonts w:ascii="Cambria Math" w:hAnsi="Cambria Math"/>
          </w:rPr>
          <m:t>∈</m:t>
        </m:r>
        <m:r>
          <m:rPr>
            <m:lit/>
          </m:rPr>
          <w:rPr>
            <w:rFonts w:ascii="Cambria Math" w:hAnsi="Cambria Math"/>
          </w:rPr>
          <m:t>{</m:t>
        </m:r>
        <m:r>
          <w:rPr>
            <w:rFonts w:ascii="Cambria Math" w:hAnsi="Cambria Math"/>
          </w:rPr>
          <m:t>0.3,0.4,0.5,0.6,0.7</m:t>
        </m:r>
        <m:r>
          <m:rPr>
            <m:lit/>
          </m:rPr>
          <w:rPr>
            <w:rFonts w:ascii="Cambria Math" w:hAnsi="Cambria Math"/>
          </w:rPr>
          <m:t>}</m:t>
        </m:r>
        <m:r>
          <w:rPr>
            <w:rFonts w:ascii="Cambria Math" w:hAnsi="Cambria Math"/>
          </w:rPr>
          <m:t> </m:t>
        </m:r>
        <m:sSub>
          <m:sSubPr>
            <m:ctrlPr>
              <w:rPr>
                <w:rFonts w:ascii="Cambria Math" w:hAnsi="Cambria Math"/>
              </w:rPr>
            </m:ctrlPr>
          </m:sSubPr>
          <m:e>
            <m:r>
              <m:rPr>
                <m:nor/>
              </m:rPr>
              <w:rPr>
                <w:rFonts w:ascii="Cambria Math" w:hAnsi="Cambria Math"/>
              </w:rPr>
              <m:t>M</m:t>
            </m:r>
          </m:e>
          <m:sub>
            <m:r>
              <m:rPr>
                <m:nor/>
              </m:rPr>
              <w:rPr>
                <w:rFonts w:ascii="Cambria Math" w:hAnsi="Cambria Math"/>
              </w:rPr>
              <m:t>⊙</m:t>
            </m:r>
          </m:sub>
        </m:sSub>
        <m:r>
          <m:rPr>
            <m:lit/>
            <m:nor/>
          </m:rPr>
          <w:rPr>
            <w:rFonts w:ascii="Cambria Math" w:hAnsi="Cambria Math"/>
          </w:rPr>
          <m:t>/</m:t>
        </m:r>
        <m:sSub>
          <m:sSubPr>
            <m:ctrlPr>
              <w:rPr>
                <w:rFonts w:ascii="Cambria Math" w:hAnsi="Cambria Math"/>
              </w:rPr>
            </m:ctrlPr>
          </m:sSubPr>
          <m:e>
            <m:r>
              <m:rPr>
                <m:nor/>
              </m:rPr>
              <w:rPr>
                <w:rFonts w:ascii="Cambria Math" w:hAnsi="Cambria Math"/>
              </w:rPr>
              <m:t>L</m:t>
            </m:r>
          </m:e>
          <m:sub>
            <m:r>
              <m:rPr>
                <m:nor/>
              </m:rPr>
              <w:rPr>
                <w:rFonts w:ascii="Cambria Math" w:hAnsi="Cambria Math"/>
              </w:rPr>
              <m:t>⊙</m:t>
            </m:r>
          </m:sub>
        </m:sSub>
      </m:oMath>
      <w:r>
        <w:t xml:space="preserve"> to quantify photometric systematic uncertainties.</w:t>
      </w:r>
    </w:p>
    <w:p w14:paraId="0E995498" w14:textId="77777777" w:rsidR="006C1CD8" w:rsidRDefault="00000000">
      <w:pPr>
        <w:pStyle w:val="Heading2"/>
      </w:pPr>
      <w:bookmarkStart w:id="19" w:name="_Toc222589280"/>
      <w:r>
        <w:t>4.3 Transition Radius Determination</w:t>
      </w:r>
      <w:bookmarkEnd w:id="19"/>
    </w:p>
    <w:p w14:paraId="2B4F0AE9" w14:textId="67E60CD6" w:rsidR="006C1CD8" w:rsidRDefault="00000000">
      <w:pPr>
        <w:spacing w:after="200" w:line="276" w:lineRule="auto"/>
      </w:pPr>
      <w:r>
        <w:t xml:space="preserve">For each galaxy, we identify the transition radius </w:t>
      </w:r>
      <w:r>
        <w:rPr>
          <w:i/>
          <w:iCs/>
        </w:rPr>
        <w:t>R</w:t>
      </w:r>
      <w:r>
        <w:rPr>
          <w:vertAlign w:val="subscript"/>
        </w:rPr>
        <w:t>t</w:t>
      </w:r>
      <w:r>
        <w:t xml:space="preserve"> as the measured radius closest to where </w:t>
      </w:r>
      <m:oMath>
        <m:sSub>
          <m:sSubPr>
            <m:ctrlPr>
              <w:rPr>
                <w:rFonts w:ascii="Cambria Math" w:hAnsi="Cambria Math"/>
                <w:i/>
                <w:iCs/>
              </w:rPr>
            </m:ctrlPr>
          </m:sSubPr>
          <m:e>
            <m:r>
              <w:rPr>
                <w:rFonts w:ascii="Cambria Math" w:hAnsi="Cambria Math"/>
              </w:rPr>
              <m:t>g</m:t>
            </m:r>
          </m:e>
          <m:sub>
            <m:r>
              <m:rPr>
                <m:nor/>
              </m:rPr>
              <w:rPr>
                <w:rFonts w:ascii="Cambria Math" w:hAnsi="Cambria Math"/>
                <w:iCs/>
              </w:rPr>
              <m:t>bar</m:t>
            </m:r>
          </m:sub>
        </m:sSub>
        <m:d>
          <m:dPr>
            <m:ctrlPr>
              <w:rPr>
                <w:rFonts w:ascii="Cambria Math" w:hAnsi="Cambria Math"/>
                <w:i/>
                <w:iCs/>
              </w:rPr>
            </m:ctrlPr>
          </m:dPr>
          <m:e>
            <m:r>
              <w:rPr>
                <w:rFonts w:ascii="Cambria Math" w:hAnsi="Cambria Math"/>
              </w:rPr>
              <m:t>R</m:t>
            </m:r>
          </m:e>
        </m:d>
        <m:r>
          <w:rPr>
            <w:rFonts w:ascii="Cambria Math" w:hAnsi="Cambria Math"/>
          </w:rPr>
          <m:t>=</m:t>
        </m:r>
        <m:f>
          <m:fPr>
            <m:ctrlPr>
              <w:rPr>
                <w:rFonts w:ascii="Cambria Math" w:hAnsi="Cambria Math"/>
                <w:iCs/>
              </w:rPr>
            </m:ctrlPr>
          </m:fPr>
          <m:num>
            <m:sSubSup>
              <m:sSubSupPr>
                <m:ctrlPr>
                  <w:rPr>
                    <w:rFonts w:ascii="Cambria Math" w:hAnsi="Cambria Math"/>
                    <w:i/>
                    <w:iCs/>
                  </w:rPr>
                </m:ctrlPr>
              </m:sSubSupPr>
              <m:e>
                <m:r>
                  <w:rPr>
                    <w:rFonts w:ascii="Cambria Math" w:hAnsi="Cambria Math"/>
                  </w:rPr>
                  <m:t>v</m:t>
                </m:r>
              </m:e>
              <m:sub>
                <m:r>
                  <m:rPr>
                    <m:nor/>
                  </m:rPr>
                  <w:rPr>
                    <w:rFonts w:ascii="Cambria Math" w:hAnsi="Cambria Math"/>
                    <w:iCs/>
                  </w:rPr>
                  <m:t>bar</m:t>
                </m:r>
              </m:sub>
              <m:sup>
                <m:r>
                  <w:rPr>
                    <w:rFonts w:ascii="Cambria Math" w:hAnsi="Cambria Math"/>
                  </w:rPr>
                  <m:t>2</m:t>
                </m:r>
              </m:sup>
            </m:sSubSup>
            <m:d>
              <m:dPr>
                <m:ctrlPr>
                  <w:rPr>
                    <w:rFonts w:ascii="Cambria Math" w:hAnsi="Cambria Math"/>
                    <w:i/>
                    <w:iCs/>
                  </w:rPr>
                </m:ctrlPr>
              </m:dPr>
              <m:e>
                <m:r>
                  <w:rPr>
                    <w:rFonts w:ascii="Cambria Math" w:hAnsi="Cambria Math"/>
                  </w:rPr>
                  <m:t>R</m:t>
                </m:r>
              </m:e>
            </m:d>
            <m:ctrlPr>
              <w:rPr>
                <w:rFonts w:ascii="Cambria Math" w:hAnsi="Cambria Math"/>
                <w:i/>
                <w:iCs/>
              </w:rPr>
            </m:ctrlPr>
          </m:num>
          <m:den>
            <m:r>
              <w:rPr>
                <w:rFonts w:ascii="Cambria Math" w:hAnsi="Cambria Math"/>
              </w:rPr>
              <m:t>R</m:t>
            </m:r>
            <m:ctrlPr>
              <w:rPr>
                <w:rFonts w:ascii="Cambria Math" w:hAnsi="Cambria Math"/>
                <w:i/>
                <w:iCs/>
              </w:rPr>
            </m:ctrlPr>
          </m:den>
        </m:f>
      </m:oMath>
      <w:r>
        <w:t xml:space="preserve"> crosses the empirical acceleration scale </w:t>
      </w:r>
      <m:oMath>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-10</m:t>
            </m:r>
          </m:sup>
        </m:sSup>
        <m:r>
          <w:rPr>
            <w:rFonts w:ascii="Cambria Math" w:hAnsi="Cambria Math"/>
          </w:rPr>
          <m:t> </m:t>
        </m:r>
        <m:r>
          <m:rPr>
            <m:nor/>
          </m:rPr>
          <w:rPr>
            <w:rFonts w:ascii="Cambria Math" w:hAnsi="Cambria Math"/>
          </w:rPr>
          <m:t>m</m:t>
        </m:r>
        <m:r>
          <w:rPr>
            <w:rFonts w:ascii="Cambria Math" w:hAnsi="Cambria Math"/>
          </w:rPr>
          <m:t> </m:t>
        </m:r>
        <m:sSup>
          <m:sSupPr>
            <m:ctrlPr>
              <w:rPr>
                <w:rFonts w:ascii="Cambria Math" w:hAnsi="Cambria Math"/>
              </w:rPr>
            </m:ctrlPr>
          </m:sSupPr>
          <m:e>
            <m:r>
              <m:rPr>
                <m:nor/>
              </m:rPr>
              <w:rPr>
                <w:rFonts w:ascii="Cambria Math" w:hAnsi="Cambria Math"/>
              </w:rPr>
              <m:t>s</m:t>
            </m:r>
          </m:e>
          <m:sup>
            <m:r>
              <m:rPr>
                <m:nor/>
              </m:rPr>
              <w:rPr>
                <w:rFonts w:ascii="Cambria Math" w:hAnsi="Cambria Math"/>
              </w:rPr>
              <m:t>-2</m:t>
            </m:r>
          </m:sup>
        </m:sSup>
      </m:oMath>
      <w:r>
        <w:t>. This is a data-derived quantity, not a free parameter.</w:t>
      </w:r>
    </w:p>
    <w:p w14:paraId="12624F42" w14:textId="77777777" w:rsidR="006C1CD8" w:rsidRDefault="00000000">
      <w:pPr>
        <w:pStyle w:val="Heading2"/>
      </w:pPr>
      <w:bookmarkStart w:id="20" w:name="_Toc222589281"/>
      <w:r>
        <w:t>4.4 Fit Procedure and Amplitude Determination</w:t>
      </w:r>
      <w:bookmarkEnd w:id="20"/>
    </w:p>
    <w:p w14:paraId="5AA447CF" w14:textId="29885703" w:rsidR="00BE0DE6" w:rsidRDefault="00BE0DE6">
      <w:pPr>
        <w:spacing w:after="200" w:line="276" w:lineRule="auto"/>
      </w:pPr>
      <m:oMathPara>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d>
            <m:dPr>
              <m:ctrlPr>
                <w:rPr>
                  <w:rFonts w:ascii="Cambria Math" w:hAnsi="Cambria Math"/>
                  <w:i/>
                </w:rPr>
              </m:ctrlPr>
            </m:dPr>
            <m:e>
              <m:r>
                <w:rPr>
                  <w:rFonts w:ascii="Cambria Math" w:hAnsi="Cambria Math"/>
                </w:rPr>
                <m:t>Q</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V</m:t>
                              </m:r>
                            </m:e>
                            <m:sub>
                              <m:r>
                                <m:rPr>
                                  <m:nor/>
                                </m:rP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r>
                                <w:rPr>
                                  <w:rFonts w:ascii="Cambria Math" w:hAnsi="Cambria Math"/>
                                </w:rPr>
                                <m:t> </m:t>
                              </m:r>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V,i</m:t>
                              </m:r>
                            </m:sub>
                          </m:sSub>
                          <m:ctrlPr>
                            <w:rPr>
                              <w:rFonts w:ascii="Cambria Math" w:hAnsi="Cambria Math"/>
                              <w:i/>
                            </w:rPr>
                          </m:ctrlPr>
                        </m:den>
                      </m:f>
                    </m:e>
                  </m:d>
                  <m:ctrlPr>
                    <w:rPr>
                      <w:rFonts w:ascii="Cambria Math" w:hAnsi="Cambria Math"/>
                    </w:rPr>
                  </m:ctrlPr>
                </m:e>
                <m:sup>
                  <m:r>
                    <w:rPr>
                      <w:rFonts w:ascii="Cambria Math" w:hAnsi="Cambria Math"/>
                    </w:rPr>
                    <m:t>2</m:t>
                  </m:r>
                </m:sup>
              </m:sSup>
            </m:e>
          </m:nary>
        </m:oMath>
      </m:oMathPara>
    </w:p>
    <w:p w14:paraId="60875CCF" w14:textId="41B1E341" w:rsidR="006C1CD8" w:rsidRDefault="00000000">
      <w:pPr>
        <w:spacing w:after="200" w:line="276" w:lineRule="auto"/>
      </w:pPr>
      <w:r>
        <w:t xml:space="preserve">The single free parameter </w:t>
      </w:r>
      <w:proofErr w:type="spellStart"/>
      <w:r>
        <w:rPr>
          <w:i/>
          <w:iCs/>
        </w:rPr>
        <w:t>Q</w:t>
      </w:r>
      <w:r>
        <w:rPr>
          <w:vertAlign w:val="subscript"/>
        </w:rPr>
        <w:t>best</w:t>
      </w:r>
      <w:proofErr w:type="spellEnd"/>
      <w:r>
        <w:t xml:space="preserve"> is determined for each galaxy by minimizing the weighted </w:t>
      </w:r>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oMath>
      <w:r>
        <w:t xml:space="preserve"> between </w:t>
      </w:r>
      <w:proofErr w:type="spellStart"/>
      <w:r>
        <w:rPr>
          <w:i/>
          <w:iCs/>
        </w:rPr>
        <w:t>v</w:t>
      </w:r>
      <w:r>
        <w:rPr>
          <w:vertAlign w:val="subscript"/>
        </w:rPr>
        <w:t>model</w:t>
      </w:r>
      <w:proofErr w:type="spellEnd"/>
      <w:r>
        <w:t xml:space="preserve"> and </w:t>
      </w:r>
      <w:proofErr w:type="spellStart"/>
      <w:r>
        <w:rPr>
          <w:i/>
          <w:iCs/>
        </w:rPr>
        <w:t>v</w:t>
      </w:r>
      <w:r>
        <w:rPr>
          <w:vertAlign w:val="subscript"/>
        </w:rPr>
        <w:t>obs</w:t>
      </w:r>
      <w:proofErr w:type="spellEnd"/>
      <w:r>
        <w:t xml:space="preserve">. As an independent check, we compute </w:t>
      </w:r>
      <w:proofErr w:type="spellStart"/>
      <w:r>
        <w:rPr>
          <w:i/>
          <w:iCs/>
        </w:rPr>
        <w:t>Q</w:t>
      </w:r>
      <w:r>
        <w:rPr>
          <w:vertAlign w:val="subscript"/>
        </w:rPr>
        <w:t>est</w:t>
      </w:r>
      <w:proofErr w:type="spellEnd"/>
      <w:r>
        <w:t xml:space="preserve">, a robust outer-subset estimator using Huber’s </w:t>
      </w:r>
      <w:r>
        <w:rPr>
          <w:i/>
          <w:iCs/>
        </w:rPr>
        <w:t>M</w:t>
      </w:r>
      <w:r>
        <w:t xml:space="preserve">-estimator applied to the velocity deficit </w:t>
      </w:r>
      <m:oMath>
        <m:r>
          <m:rPr>
            <m:sty m:val="p"/>
          </m:rPr>
          <w:rPr>
            <w:rFonts w:ascii="Cambria Math" w:hAnsi="Cambria Math"/>
          </w:rPr>
          <m:t>Δ</m:t>
        </m:r>
        <m:r>
          <w:rPr>
            <w:rFonts w:ascii="Cambria Math" w:hAnsi="Cambria Math"/>
          </w:rPr>
          <m:t>v</m:t>
        </m:r>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obs</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bar</m:t>
            </m:r>
          </m:sub>
        </m:sSub>
        <m:d>
          <m:dPr>
            <m:ctrlPr>
              <w:rPr>
                <w:rFonts w:ascii="Cambria Math" w:hAnsi="Cambria Math"/>
                <w:i/>
              </w:rPr>
            </m:ctrlPr>
          </m:dPr>
          <m:e>
            <m:r>
              <w:rPr>
                <w:rFonts w:ascii="Cambria Math" w:hAnsi="Cambria Math"/>
              </w:rPr>
              <m:t>R</m:t>
            </m:r>
          </m:e>
        </m:d>
      </m:oMath>
      <w:r>
        <w:t xml:space="preserve"> in the outer region (</w:t>
      </w:r>
      <m:oMath>
        <m:r>
          <w:rPr>
            <w:rFonts w:ascii="Cambria Math" w:hAnsi="Cambria Math"/>
          </w:rPr>
          <m:t>R&gt;</m:t>
        </m:r>
        <m:sSub>
          <m:sSubPr>
            <m:ctrlPr>
              <w:rPr>
                <w:rFonts w:ascii="Cambria Math" w:hAnsi="Cambria Math"/>
                <w:i/>
                <w:iCs/>
              </w:rPr>
            </m:ctrlPr>
          </m:sSubPr>
          <m:e>
            <m:r>
              <w:rPr>
                <w:rFonts w:ascii="Cambria Math" w:hAnsi="Cambria Math"/>
              </w:rPr>
              <m:t>R</m:t>
            </m:r>
          </m:e>
          <m:sub>
            <m:r>
              <w:rPr>
                <w:rFonts w:ascii="Cambria Math" w:hAnsi="Cambria Math"/>
              </w:rPr>
              <m:t>t</m:t>
            </m:r>
          </m:sub>
        </m:sSub>
      </m:oMath>
      <w:r>
        <w:t>). The Huber estimator down</w:t>
      </w:r>
      <w:r w:rsidR="004077E5">
        <w:t>-</w:t>
      </w:r>
      <w:r>
        <w:t>weights outliers while remaining efficient under Gaussian conditions, providing an amplitude estimate that does not depend on the model’s functional form.</w:t>
      </w:r>
    </w:p>
    <w:p w14:paraId="44005621" w14:textId="77777777" w:rsidR="006C1CD8" w:rsidRDefault="00000000">
      <w:pPr>
        <w:pStyle w:val="Heading2"/>
      </w:pPr>
      <w:bookmarkStart w:id="21" w:name="_Toc222589282"/>
      <w:r>
        <w:t>4.5 Six-Panel Diagnostic Atlas</w:t>
      </w:r>
      <w:bookmarkEnd w:id="21"/>
    </w:p>
    <w:p w14:paraId="49420C54" w14:textId="77777777" w:rsidR="004077E5" w:rsidRDefault="00000000">
      <w:pPr>
        <w:spacing w:after="200" w:line="276" w:lineRule="auto"/>
      </w:pPr>
      <w:r>
        <w:t xml:space="preserve">For each galaxy, a standardized six-panel diagnostic is produced: </w:t>
      </w:r>
    </w:p>
    <w:p w14:paraId="782DB404" w14:textId="77777777" w:rsidR="004077E5" w:rsidRDefault="00000000">
      <w:pPr>
        <w:spacing w:after="200" w:line="276" w:lineRule="auto"/>
      </w:pPr>
      <w:r>
        <w:t xml:space="preserve">(1) rotation curve with </w:t>
      </w:r>
      <w:proofErr w:type="spellStart"/>
      <w:r>
        <w:rPr>
          <w:i/>
          <w:iCs/>
        </w:rPr>
        <w:t>v</w:t>
      </w:r>
      <w:r>
        <w:rPr>
          <w:vertAlign w:val="subscript"/>
        </w:rPr>
        <w:t>obs</w:t>
      </w:r>
      <w:proofErr w:type="spellEnd"/>
      <w:r>
        <w:t xml:space="preserve">, </w:t>
      </w:r>
      <w:proofErr w:type="spellStart"/>
      <w:r>
        <w:rPr>
          <w:i/>
          <w:iCs/>
        </w:rPr>
        <w:t>v</w:t>
      </w:r>
      <w:r>
        <w:rPr>
          <w:vertAlign w:val="subscript"/>
        </w:rPr>
        <w:t>bar</w:t>
      </w:r>
      <w:proofErr w:type="spellEnd"/>
      <w:r>
        <w:t xml:space="preserve">, </w:t>
      </w:r>
      <w:proofErr w:type="spellStart"/>
      <w:proofErr w:type="gramStart"/>
      <w:r>
        <w:rPr>
          <w:i/>
          <w:iCs/>
        </w:rPr>
        <w:t>v</w:t>
      </w:r>
      <w:r>
        <w:rPr>
          <w:vertAlign w:val="subscript"/>
        </w:rPr>
        <w:t>model</w:t>
      </w:r>
      <w:proofErr w:type="spellEnd"/>
      <w:r>
        <w:t>(</w:t>
      </w:r>
      <w:proofErr w:type="spellStart"/>
      <w:proofErr w:type="gramEnd"/>
      <w:r>
        <w:rPr>
          <w:i/>
          <w:iCs/>
        </w:rPr>
        <w:t>Q</w:t>
      </w:r>
      <w:r>
        <w:rPr>
          <w:vertAlign w:val="subscript"/>
        </w:rPr>
        <w:t>best</w:t>
      </w:r>
      <w:proofErr w:type="spellEnd"/>
      <w:r>
        <w:t xml:space="preserve">), and </w:t>
      </w:r>
      <w:proofErr w:type="spellStart"/>
      <w:proofErr w:type="gramStart"/>
      <w:r>
        <w:rPr>
          <w:i/>
          <w:iCs/>
        </w:rPr>
        <w:t>v</w:t>
      </w:r>
      <w:r>
        <w:rPr>
          <w:vertAlign w:val="subscript"/>
        </w:rPr>
        <w:t>model</w:t>
      </w:r>
      <w:proofErr w:type="spellEnd"/>
      <w:r>
        <w:t>(</w:t>
      </w:r>
      <w:proofErr w:type="spellStart"/>
      <w:proofErr w:type="gramEnd"/>
      <w:r>
        <w:rPr>
          <w:i/>
          <w:iCs/>
        </w:rPr>
        <w:t>Q</w:t>
      </w:r>
      <w:r>
        <w:rPr>
          <w:vertAlign w:val="subscript"/>
        </w:rPr>
        <w:t>est</w:t>
      </w:r>
      <w:proofErr w:type="spellEnd"/>
      <w:r>
        <w:t xml:space="preserve">); </w:t>
      </w:r>
    </w:p>
    <w:p w14:paraId="5A61DE77" w14:textId="77777777" w:rsidR="004077E5" w:rsidRDefault="00000000">
      <w:pPr>
        <w:spacing w:after="200" w:line="276" w:lineRule="auto"/>
      </w:pPr>
      <w:r>
        <w:t xml:space="preserve">(2) effective potential </w:t>
      </w:r>
      <w:proofErr w:type="spellStart"/>
      <w:r>
        <w:t>Φ</w:t>
      </w:r>
      <w:r>
        <w:rPr>
          <w:vertAlign w:val="subscript"/>
        </w:rPr>
        <w:t>obs</w:t>
      </w:r>
      <w:proofErr w:type="spellEnd"/>
      <w:r>
        <w:t xml:space="preserve"> vs. </w:t>
      </w:r>
      <w:proofErr w:type="spellStart"/>
      <w:r>
        <w:t>Φ</w:t>
      </w:r>
      <w:r>
        <w:rPr>
          <w:vertAlign w:val="subscript"/>
        </w:rPr>
        <w:t>bar</w:t>
      </w:r>
      <w:proofErr w:type="spellEnd"/>
      <w:r>
        <w:t xml:space="preserve">; </w:t>
      </w:r>
    </w:p>
    <w:p w14:paraId="5F6D685F" w14:textId="77777777" w:rsidR="004077E5" w:rsidRDefault="00000000">
      <w:pPr>
        <w:spacing w:after="200" w:line="276" w:lineRule="auto"/>
      </w:pPr>
      <w:r>
        <w:t xml:space="preserve">(3) dyed spacetime potential-depth map (a visualization proxy, not a GR embedding); </w:t>
      </w:r>
    </w:p>
    <w:p w14:paraId="4417B20A" w14:textId="77777777" w:rsidR="004077E5" w:rsidRDefault="00000000">
      <w:pPr>
        <w:spacing w:after="200" w:line="276" w:lineRule="auto"/>
      </w:pPr>
      <w:r>
        <w:t xml:space="preserve">(4) 3D potential surface; </w:t>
      </w:r>
    </w:p>
    <w:p w14:paraId="53E09E03" w14:textId="77777777" w:rsidR="004077E5" w:rsidRDefault="00000000">
      <w:pPr>
        <w:spacing w:after="200" w:line="276" w:lineRule="auto"/>
      </w:pPr>
      <w:r>
        <w:t xml:space="preserve">(5) illustrative orbit diagram; and </w:t>
      </w:r>
    </w:p>
    <w:p w14:paraId="78D69712" w14:textId="77777777" w:rsidR="004077E5" w:rsidRDefault="00000000">
      <w:pPr>
        <w:spacing w:after="200" w:line="276" w:lineRule="auto"/>
      </w:pPr>
      <w:r>
        <w:t xml:space="preserve">(6) residuals comparing both model closures against the raw baryonic deficit. </w:t>
      </w:r>
    </w:p>
    <w:p w14:paraId="5BF4FD2A" w14:textId="6B1AA91C" w:rsidR="006C1CD8" w:rsidRDefault="00000000">
      <w:pPr>
        <w:spacing w:after="200" w:line="276" w:lineRule="auto"/>
      </w:pPr>
      <w:r>
        <w:t>This atlas serves as a comprehensive per-galaxy audit trail.</w:t>
      </w:r>
    </w:p>
    <w:p w14:paraId="0774DD60" w14:textId="77777777" w:rsidR="00B909D1" w:rsidRDefault="00B909D1">
      <w:pPr>
        <w:pStyle w:val="Heading1"/>
        <w:sectPr w:rsidR="00B909D1">
          <w:pgSz w:w="12240" w:h="15840"/>
          <w:pgMar w:top="1440" w:right="1440" w:bottom="1440" w:left="1440" w:header="708" w:footer="708" w:gutter="0"/>
          <w:cols w:space="720"/>
          <w:docGrid w:linePitch="360"/>
        </w:sectPr>
      </w:pPr>
      <w:bookmarkStart w:id="22" w:name="_Toc222589283"/>
    </w:p>
    <w:p w14:paraId="1E2AE0CF" w14:textId="77777777" w:rsidR="006C1CD8" w:rsidRDefault="00000000">
      <w:pPr>
        <w:pStyle w:val="Heading1"/>
      </w:pPr>
      <w:r>
        <w:t>5. Results Across 175 SPARC Galaxies</w:t>
      </w:r>
      <w:bookmarkEnd w:id="22"/>
    </w:p>
    <w:p w14:paraId="6DFF1A79" w14:textId="77777777" w:rsidR="006C1CD8" w:rsidRDefault="00000000">
      <w:pPr>
        <w:pStyle w:val="Heading2"/>
      </w:pPr>
      <w:bookmarkStart w:id="23" w:name="_Toc222589284"/>
      <w:r>
        <w:t>5.1 Global Fit Performance</w:t>
      </w:r>
      <w:bookmarkEnd w:id="23"/>
    </w:p>
    <w:p w14:paraId="6EA7736A" w14:textId="77777777" w:rsidR="006C1CD8" w:rsidRDefault="00000000">
      <w:pPr>
        <w:spacing w:after="200" w:line="276" w:lineRule="auto"/>
      </w:pPr>
      <w:r>
        <w:t xml:space="preserve">The boundary-layer response model with a single amplitude parameter </w:t>
      </w:r>
      <w:r>
        <w:rPr>
          <w:i/>
          <w:iCs/>
        </w:rPr>
        <w:t>Q</w:t>
      </w:r>
      <w:r>
        <w:t xml:space="preserve"> provides substantial improvement over the baryons-only prediction across the SPARC sample. Using a χ</w:t>
      </w:r>
      <w:r>
        <w:rPr>
          <w:vertAlign w:val="superscript"/>
        </w:rPr>
        <w:t>2</w:t>
      </w:r>
      <w:r>
        <w:t>-based improvement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6C1CD8" w14:paraId="79B0293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903933C" w14:textId="77777777" w:rsidR="006C1CD8" w:rsidRDefault="00000000">
            <w:r>
              <w:rPr>
                <w:b/>
                <w:bCs/>
                <w:sz w:val="20"/>
                <w:szCs w:val="20"/>
              </w:rPr>
              <w:t>Category</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3423AA" w14:textId="77777777" w:rsidR="006C1CD8" w:rsidRDefault="00000000">
            <w:r>
              <w:rPr>
                <w:b/>
                <w:bCs/>
                <w:sz w:val="20"/>
                <w:szCs w:val="20"/>
              </w:rPr>
              <w:t>Count</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048F372" w14:textId="77777777" w:rsidR="006C1CD8" w:rsidRDefault="00000000">
            <w:r>
              <w:rPr>
                <w:b/>
                <w:bCs/>
                <w:sz w:val="20"/>
                <w:szCs w:val="20"/>
              </w:rPr>
              <w:t>Fraction</w:t>
            </w:r>
          </w:p>
        </w:tc>
      </w:tr>
      <w:tr w:rsidR="006C1CD8" w14:paraId="5E553E6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A03C9" w14:textId="77777777" w:rsidR="006C1CD8" w:rsidRDefault="00000000">
            <w:r>
              <w:rPr>
                <w:sz w:val="20"/>
                <w:szCs w:val="20"/>
              </w:rPr>
              <w:t>Very Strong improvement (Δχ² ≥ 10)</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E029EF" w14:textId="77777777" w:rsidR="006C1CD8" w:rsidRDefault="00000000">
            <w:r>
              <w:rPr>
                <w:sz w:val="20"/>
                <w:szCs w:val="20"/>
              </w:rPr>
              <w:t>161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58FA9" w14:textId="77777777" w:rsidR="006C1CD8" w:rsidRDefault="00000000">
            <w:r>
              <w:rPr>
                <w:sz w:val="20"/>
                <w:szCs w:val="20"/>
              </w:rPr>
              <w:t>92.0%</w:t>
            </w:r>
          </w:p>
        </w:tc>
      </w:tr>
      <w:tr w:rsidR="006C1CD8" w14:paraId="187ECD6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8DB5B" w14:textId="77777777" w:rsidR="006C1CD8" w:rsidRDefault="00000000">
            <w:r>
              <w:rPr>
                <w:sz w:val="20"/>
                <w:szCs w:val="20"/>
              </w:rPr>
              <w:t>Strong improvement (6 ≤ Δχ² &lt; 10)</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3D9EC" w14:textId="77777777" w:rsidR="006C1CD8" w:rsidRDefault="00000000">
            <w:r>
              <w:rPr>
                <w:sz w:val="20"/>
                <w:szCs w:val="20"/>
              </w:rPr>
              <w:t>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BFE7D" w14:textId="77777777" w:rsidR="006C1CD8" w:rsidRDefault="00000000">
            <w:r>
              <w:rPr>
                <w:sz w:val="20"/>
                <w:szCs w:val="20"/>
              </w:rPr>
              <w:t>2.9%</w:t>
            </w:r>
          </w:p>
        </w:tc>
      </w:tr>
      <w:tr w:rsidR="006C1CD8" w14:paraId="67E06AA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A2FD9" w14:textId="77777777" w:rsidR="006C1CD8" w:rsidRDefault="00000000">
            <w:r>
              <w:rPr>
                <w:sz w:val="20"/>
                <w:szCs w:val="20"/>
              </w:rPr>
              <w:t>Moderate improvement (2 ≤ Δχ² &lt; 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6C5A" w14:textId="77777777" w:rsidR="006C1CD8" w:rsidRDefault="00000000">
            <w:r>
              <w:rPr>
                <w:sz w:val="20"/>
                <w:szCs w:val="20"/>
              </w:rPr>
              <w:t>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B8E57" w14:textId="77777777" w:rsidR="006C1CD8" w:rsidRDefault="00000000">
            <w:r>
              <w:rPr>
                <w:sz w:val="20"/>
                <w:szCs w:val="20"/>
              </w:rPr>
              <w:t>2.3%</w:t>
            </w:r>
          </w:p>
        </w:tc>
      </w:tr>
      <w:tr w:rsidR="006C1CD8" w14:paraId="3CEE971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99591" w14:textId="77777777" w:rsidR="006C1CD8" w:rsidRDefault="00000000">
            <w:r>
              <w:rPr>
                <w:sz w:val="20"/>
                <w:szCs w:val="20"/>
              </w:rPr>
              <w:t>Weak/no improvement (Δχ² &lt; 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B94EC" w14:textId="77777777" w:rsidR="006C1CD8" w:rsidRDefault="00000000">
            <w:r>
              <w:rPr>
                <w:sz w:val="20"/>
                <w:szCs w:val="20"/>
              </w:rPr>
              <w:t>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F2E2" w14:textId="77777777" w:rsidR="006C1CD8" w:rsidRDefault="00000000">
            <w:r>
              <w:rPr>
                <w:sz w:val="20"/>
                <w:szCs w:val="20"/>
              </w:rPr>
              <w:t>2.9%</w:t>
            </w:r>
          </w:p>
        </w:tc>
      </w:tr>
      <w:tr w:rsidR="006C1CD8" w14:paraId="6FD47F05"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28269EFA" w14:textId="77777777" w:rsidR="006C1CD8" w:rsidRDefault="00000000">
            <w:r>
              <w:rPr>
                <w:b/>
                <w:bCs/>
                <w:sz w:val="20"/>
                <w:szCs w:val="20"/>
              </w:rPr>
              <w:t>BIC overfitting test: passed</w:t>
            </w:r>
          </w:p>
        </w:tc>
        <w:tc>
          <w:tcPr>
            <w:tcW w:w="268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6CADA5F3" w14:textId="77777777" w:rsidR="006C1CD8" w:rsidRDefault="00000000">
            <w:r>
              <w:rPr>
                <w:b/>
                <w:bCs/>
                <w:sz w:val="20"/>
                <w:szCs w:val="20"/>
              </w:rPr>
              <w:t>170</w:t>
            </w:r>
          </w:p>
        </w:tc>
        <w:tc>
          <w:tcPr>
            <w:tcW w:w="2680" w:type="dxa"/>
            <w:tcBorders>
              <w:top w:val="single" w:sz="1" w:space="0" w:color="999999"/>
              <w:left w:val="single" w:sz="1" w:space="0" w:color="999999"/>
              <w:bottom w:val="single" w:sz="1" w:space="0" w:color="999999"/>
              <w:right w:val="single" w:sz="1" w:space="0" w:color="999999"/>
            </w:tcBorders>
            <w:shd w:val="clear" w:color="auto" w:fill="E8F5E8"/>
            <w:tcMar>
              <w:top w:w="60" w:type="dxa"/>
              <w:left w:w="100" w:type="dxa"/>
              <w:bottom w:w="60" w:type="dxa"/>
              <w:right w:w="100" w:type="dxa"/>
            </w:tcMar>
          </w:tcPr>
          <w:p w14:paraId="5CC43FE8" w14:textId="77777777" w:rsidR="006C1CD8" w:rsidRDefault="00000000">
            <w:r>
              <w:rPr>
                <w:b/>
                <w:bCs/>
                <w:sz w:val="20"/>
                <w:szCs w:val="20"/>
              </w:rPr>
              <w:t>97.1%</w:t>
            </w:r>
          </w:p>
        </w:tc>
      </w:tr>
    </w:tbl>
    <w:p w14:paraId="4619D78E" w14:textId="77777777" w:rsidR="006C1CD8" w:rsidRDefault="00000000">
      <w:pPr>
        <w:spacing w:before="80" w:after="240"/>
      </w:pPr>
      <w:r>
        <w:rPr>
          <w:i/>
          <w:iCs/>
        </w:rPr>
        <w:t xml:space="preserve">Table 1. </w:t>
      </w:r>
      <w:r>
        <w:t>Global fit performance of the single-parameter boundary-layer response model across 175 SPARC galaxies.</w:t>
      </w:r>
    </w:p>
    <w:p w14:paraId="2C4FAB8C" w14:textId="77777777" w:rsidR="00B909D1" w:rsidRDefault="00B909D1">
      <w:pPr>
        <w:rPr>
          <w:b/>
          <w:bCs/>
          <w:sz w:val="28"/>
          <w:szCs w:val="28"/>
        </w:rPr>
      </w:pPr>
      <w:bookmarkStart w:id="24" w:name="_Toc222589285"/>
      <w:r>
        <w:br w:type="page"/>
      </w:r>
    </w:p>
    <w:p w14:paraId="686F3C6C" w14:textId="3D1A12CA" w:rsidR="006C1CD8" w:rsidRDefault="00000000">
      <w:pPr>
        <w:pStyle w:val="Heading2"/>
      </w:pPr>
      <w:r>
        <w:t>5.2 Representative Galaxy Diagnostics</w:t>
      </w:r>
      <w:bookmarkEnd w:id="24"/>
    </w:p>
    <w:p w14:paraId="0E6DF346" w14:textId="77777777" w:rsidR="006C1CD8" w:rsidRDefault="00000000">
      <w:pPr>
        <w:spacing w:after="200" w:line="276" w:lineRule="auto"/>
      </w:pPr>
      <w:r>
        <w:t>To illustrate the model’s performance across the galaxy mass spectrum, we present six-panel diagnostics for representative galaxies spanning from gas-dominated dwarfs to massive spirals.</w:t>
      </w:r>
    </w:p>
    <w:p w14:paraId="2B1A7775" w14:textId="77777777" w:rsidR="006C1CD8" w:rsidRDefault="00000000">
      <w:pPr>
        <w:jc w:val="center"/>
      </w:pPr>
      <w:r>
        <w:rPr>
          <w:noProof/>
        </w:rPr>
        <w:drawing>
          <wp:inline distT="0" distB="0" distL="0" distR="0" wp14:anchorId="1779E0D6" wp14:editId="39B333E8">
            <wp:extent cx="5334000" cy="3619500"/>
            <wp:effectExtent l="0" t="0" r="0" b="0"/>
            <wp:docPr id="111790247" name="/home/claude/NGC2403.png" descr="/home/claude/NGC2403.png" title="/home/claude/NGC2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316591BB" w14:textId="77777777" w:rsidR="006C1CD8" w:rsidRDefault="00000000">
      <w:pPr>
        <w:spacing w:before="120" w:after="240"/>
        <w:ind w:left="720" w:right="720"/>
        <w:jc w:val="both"/>
      </w:pPr>
      <w:r>
        <w:rPr>
          <w:b/>
          <w:bCs/>
        </w:rPr>
        <w:t xml:space="preserve">Figure 2. </w:t>
      </w:r>
      <w:r>
        <w:rPr>
          <w:i/>
          <w:iCs/>
        </w:rPr>
        <w:t xml:space="preserve">NGC 2403—a well-resolved, intermediate-mass spiral. The boundary-layer model (red curves) captures the observed rotation curve far beyond the baryonic prediction (blue), with both </w:t>
      </w:r>
      <w:proofErr w:type="spellStart"/>
      <w:r>
        <w:rPr>
          <w:i/>
          <w:iCs/>
        </w:rPr>
        <w:t>Q</w:t>
      </w:r>
      <w:r>
        <w:rPr>
          <w:i/>
          <w:iCs/>
          <w:vertAlign w:val="subscript"/>
        </w:rPr>
        <w:t>best</w:t>
      </w:r>
      <w:proofErr w:type="spellEnd"/>
      <w:r>
        <w:rPr>
          <w:i/>
          <w:iCs/>
        </w:rPr>
        <w:t xml:space="preserve"> (dashed) and </w:t>
      </w:r>
      <w:proofErr w:type="spellStart"/>
      <w:r>
        <w:rPr>
          <w:i/>
          <w:iCs/>
        </w:rPr>
        <w:t>Q</w:t>
      </w:r>
      <w:r>
        <w:rPr>
          <w:i/>
          <w:iCs/>
          <w:vertAlign w:val="subscript"/>
        </w:rPr>
        <w:t>est</w:t>
      </w:r>
      <w:proofErr w:type="spellEnd"/>
      <w:r>
        <w:rPr>
          <w:i/>
          <w:iCs/>
        </w:rPr>
        <w:t xml:space="preserve"> (solid) estimates in close agreement. The residual panel (lower right) shows the velocity deficit (blue) reduced to near-zero by the model.</w:t>
      </w:r>
    </w:p>
    <w:p w14:paraId="20947EB0" w14:textId="77777777" w:rsidR="006C1CD8" w:rsidRDefault="00000000">
      <w:pPr>
        <w:jc w:val="center"/>
      </w:pPr>
      <w:r>
        <w:rPr>
          <w:noProof/>
        </w:rPr>
        <w:drawing>
          <wp:inline distT="0" distB="0" distL="0" distR="0" wp14:anchorId="2ADB0DAB" wp14:editId="30A8306A">
            <wp:extent cx="5334000" cy="3619500"/>
            <wp:effectExtent l="0" t="0" r="0" b="0"/>
            <wp:docPr id="445422655" name="/home/claude/DDO154.png" descr="/home/claude/DDO154.png" title="/home/claude/DDO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14:paraId="7BCCF1E9" w14:textId="77777777" w:rsidR="006C1CD8" w:rsidRDefault="00000000">
      <w:pPr>
        <w:spacing w:before="120" w:after="240"/>
        <w:ind w:left="720" w:right="720"/>
        <w:jc w:val="both"/>
      </w:pPr>
      <w:r>
        <w:rPr>
          <w:b/>
          <w:bCs/>
        </w:rPr>
        <w:t xml:space="preserve">Figure 3. </w:t>
      </w:r>
      <w:r>
        <w:rPr>
          <w:i/>
          <w:iCs/>
        </w:rPr>
        <w:t xml:space="preserve">DDO 154—a gas-dominated dwarf irregular galaxy. Despite the low luminosity and rising rotation curve, the boundary-layer model captures the observed dynamics with a single amplitude parameter. The large separation between </w:t>
      </w:r>
      <w:proofErr w:type="spellStart"/>
      <w:r>
        <w:rPr>
          <w:i/>
          <w:iCs/>
        </w:rPr>
        <w:t>v</w:t>
      </w:r>
      <w:r>
        <w:rPr>
          <w:i/>
          <w:iCs/>
          <w:vertAlign w:val="subscript"/>
        </w:rPr>
        <w:t>obs</w:t>
      </w:r>
      <w:proofErr w:type="spellEnd"/>
      <w:r>
        <w:rPr>
          <w:i/>
          <w:iCs/>
        </w:rPr>
        <w:t xml:space="preserve"> and </w:t>
      </w:r>
      <w:proofErr w:type="spellStart"/>
      <w:r>
        <w:rPr>
          <w:i/>
          <w:iCs/>
        </w:rPr>
        <w:t>v</w:t>
      </w:r>
      <w:r>
        <w:rPr>
          <w:i/>
          <w:iCs/>
          <w:vertAlign w:val="subscript"/>
        </w:rPr>
        <w:t>bar</w:t>
      </w:r>
      <w:proofErr w:type="spellEnd"/>
      <w:r>
        <w:rPr>
          <w:i/>
          <w:iCs/>
        </w:rPr>
        <w:t xml:space="preserve"> reflects the dominance of the response sector in this low-surface-brightness system.</w:t>
      </w:r>
    </w:p>
    <w:p w14:paraId="00697EE5" w14:textId="77777777" w:rsidR="006C1CD8" w:rsidRDefault="00000000">
      <w:pPr>
        <w:jc w:val="center"/>
      </w:pPr>
      <w:r>
        <w:rPr>
          <w:noProof/>
        </w:rPr>
        <w:drawing>
          <wp:inline distT="0" distB="0" distL="0" distR="0" wp14:anchorId="3F561D70" wp14:editId="65B41DBD">
            <wp:extent cx="5334000" cy="3619500"/>
            <wp:effectExtent l="0" t="0" r="0" b="0"/>
            <wp:docPr id="2017888449" name="/home/claude/NGC2841.png" descr="/home/claude/NGC2841.png" title="/home/claude/NGC2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19500"/>
                    </a:xfrm>
                    <a:prstGeom prst="rect">
                      <a:avLst/>
                    </a:prstGeom>
                  </pic:spPr>
                </pic:pic>
              </a:graphicData>
            </a:graphic>
          </wp:inline>
        </w:drawing>
      </w:r>
    </w:p>
    <w:p w14:paraId="6A35C56B" w14:textId="77777777" w:rsidR="006C1CD8" w:rsidRDefault="00000000">
      <w:pPr>
        <w:spacing w:before="120" w:after="240"/>
        <w:ind w:left="720" w:right="720"/>
        <w:jc w:val="both"/>
      </w:pPr>
      <w:r>
        <w:rPr>
          <w:b/>
          <w:bCs/>
        </w:rPr>
        <w:t xml:space="preserve">Figure 4. </w:t>
      </w:r>
      <w:r>
        <w:rPr>
          <w:i/>
          <w:iCs/>
        </w:rPr>
        <w:t>NGC 2841—a massive, high-surface-brightness spiral. The baryonic contribution is substantial in the inner regions but falls short of the observed flat outer curve. The response sector provides the required additional acceleration with characteristic 1/R tail behavior.</w:t>
      </w:r>
    </w:p>
    <w:p w14:paraId="12540A41" w14:textId="77777777" w:rsidR="00B909D1" w:rsidRDefault="00B909D1">
      <w:r>
        <w:br w:type="page"/>
      </w:r>
    </w:p>
    <w:p w14:paraId="2BE39CD9" w14:textId="1F68CB82" w:rsidR="006C1CD8" w:rsidRDefault="00000000">
      <w:pPr>
        <w:jc w:val="center"/>
      </w:pPr>
      <w:r>
        <w:rPr>
          <w:noProof/>
        </w:rPr>
        <w:drawing>
          <wp:inline distT="0" distB="0" distL="0" distR="0" wp14:anchorId="49E5C383" wp14:editId="0E8A48FE">
            <wp:extent cx="5334000" cy="3619500"/>
            <wp:effectExtent l="0" t="0" r="0" b="0"/>
            <wp:docPr id="628821122" name="/home/claude/UGC06614.png" descr="/home/claude/UGC06614.png" title="/home/claude/UGC06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619500"/>
                    </a:xfrm>
                    <a:prstGeom prst="rect">
                      <a:avLst/>
                    </a:prstGeom>
                  </pic:spPr>
                </pic:pic>
              </a:graphicData>
            </a:graphic>
          </wp:inline>
        </w:drawing>
      </w:r>
    </w:p>
    <w:p w14:paraId="5605062D" w14:textId="77777777" w:rsidR="006C1CD8" w:rsidRDefault="00000000">
      <w:pPr>
        <w:spacing w:before="120" w:after="240"/>
        <w:ind w:left="720" w:right="720"/>
        <w:jc w:val="both"/>
      </w:pPr>
      <w:r>
        <w:rPr>
          <w:b/>
          <w:bCs/>
        </w:rPr>
        <w:t xml:space="preserve">Figure 5. </w:t>
      </w:r>
      <w:r>
        <w:rPr>
          <w:i/>
          <w:iCs/>
        </w:rPr>
        <w:t>UGC 06614—a low-surface-brightness galaxy. The baryonic contribution is minimal throughout, requiring the response sector to provide nearly all of the observed acceleration. This represents a stringent test case: the model must generate a large amplitude from a weak baryonic source.</w:t>
      </w:r>
    </w:p>
    <w:p w14:paraId="19CAC1EB" w14:textId="77777777" w:rsidR="006C1CD8" w:rsidRDefault="00000000">
      <w:r>
        <w:br w:type="page"/>
      </w:r>
    </w:p>
    <w:p w14:paraId="127E187C" w14:textId="77777777" w:rsidR="006C1CD8" w:rsidRDefault="00000000">
      <w:pPr>
        <w:pStyle w:val="Heading2"/>
      </w:pPr>
      <w:bookmarkStart w:id="25" w:name="_Toc222589286"/>
      <w:r>
        <w:t>5.3 Emergent Baryonic Tully–Fisher Relation</w:t>
      </w:r>
      <w:bookmarkEnd w:id="25"/>
    </w:p>
    <w:p w14:paraId="0A7E04CC" w14:textId="77777777" w:rsidR="006C1CD8" w:rsidRDefault="00000000">
      <w:pPr>
        <w:spacing w:after="200" w:line="276" w:lineRule="auto"/>
      </w:pPr>
      <w:r>
        <w:t xml:space="preserve">A critical test of any dark-matter alternative is whether it recovers the baryonic Tully–Fisher relation (BTFR)—the tight empirical correlation between baryonic mass and asymptotic rotation velocity (McGaugh et al., 2000). In our framework, the BTFR is not imposed as a prior but emerges as a consequence of the boundary-layer closure. The correlation between fitted amplitude and </w:t>
      </w:r>
      <w:proofErr w:type="spellStart"/>
      <w:r>
        <w:rPr>
          <w:i/>
          <w:iCs/>
        </w:rPr>
        <w:t>V</w:t>
      </w:r>
      <w:r>
        <w:rPr>
          <w:vertAlign w:val="subscript"/>
        </w:rPr>
        <w:t>flat</w:t>
      </w:r>
      <w:proofErr w:type="spellEnd"/>
      <w:r>
        <w:t xml:space="preserve"> yields a Spearman rank correlation of ρ = 0.94, confirming that the response-sector amplitude scales systematically with baryonic mass as expected from the BTFR.</w:t>
      </w:r>
    </w:p>
    <w:p w14:paraId="1F8ABEFB" w14:textId="77777777" w:rsidR="006C1CD8" w:rsidRDefault="00000000">
      <w:pPr>
        <w:pStyle w:val="Heading2"/>
      </w:pPr>
      <w:bookmarkStart w:id="26" w:name="_Toc222589287"/>
      <w:r>
        <w:t>5.4 Fitted vs. Robust Amplitude Comparison</w:t>
      </w:r>
      <w:bookmarkEnd w:id="26"/>
    </w:p>
    <w:p w14:paraId="28CD77DB" w14:textId="77777777" w:rsidR="006C1CD8" w:rsidRDefault="00000000">
      <w:pPr>
        <w:spacing w:after="200" w:line="276" w:lineRule="auto"/>
      </w:pPr>
      <w:r>
        <w:t xml:space="preserve">A key robustness check compares the model-fitted amplitude </w:t>
      </w:r>
      <w:proofErr w:type="spellStart"/>
      <w:r>
        <w:rPr>
          <w:i/>
          <w:iCs/>
        </w:rPr>
        <w:t>Q</w:t>
      </w:r>
      <w:r>
        <w:rPr>
          <w:vertAlign w:val="subscript"/>
        </w:rPr>
        <w:t>best</w:t>
      </w:r>
      <w:proofErr w:type="spellEnd"/>
      <w:r>
        <w:t xml:space="preserve"> (from global χ</w:t>
      </w:r>
      <w:r>
        <w:rPr>
          <w:vertAlign w:val="superscript"/>
        </w:rPr>
        <w:t>2</w:t>
      </w:r>
      <w:r>
        <w:t xml:space="preserve"> minimization) with the independently computed </w:t>
      </w:r>
      <w:proofErr w:type="spellStart"/>
      <w:r>
        <w:rPr>
          <w:i/>
          <w:iCs/>
        </w:rPr>
        <w:t>Q</w:t>
      </w:r>
      <w:r>
        <w:rPr>
          <w:vertAlign w:val="subscript"/>
        </w:rPr>
        <w:t>est</w:t>
      </w:r>
      <w:proofErr w:type="spellEnd"/>
      <w:r>
        <w:t xml:space="preserve"> (from Huber robust estimation on the outer velocity deficit). Across 175 galaxies, the Spearman rank correlation is ρ ≈ 0.97, with 65.3% of galaxies showing </w:t>
      </w:r>
      <w:proofErr w:type="spellStart"/>
      <w:r>
        <w:rPr>
          <w:i/>
          <w:iCs/>
        </w:rPr>
        <w:t>Q</w:t>
      </w:r>
      <w:r>
        <w:rPr>
          <w:vertAlign w:val="subscript"/>
        </w:rPr>
        <w:t>est</w:t>
      </w:r>
      <w:proofErr w:type="spellEnd"/>
      <w:r>
        <w:t xml:space="preserve"> &lt; </w:t>
      </w:r>
      <w:proofErr w:type="spellStart"/>
      <w:r>
        <w:rPr>
          <w:i/>
          <w:iCs/>
        </w:rPr>
        <w:t>Q</w:t>
      </w:r>
      <w:r>
        <w:rPr>
          <w:vertAlign w:val="subscript"/>
        </w:rPr>
        <w:t>best</w:t>
      </w:r>
      <w:proofErr w:type="spellEnd"/>
      <w:r>
        <w:t xml:space="preserve"> (median ratio 0.954). This indicates that the model fit slightly overestimates the outer deficit in most cases—a conservative bias—while confirming that the fitted amplitude reflects genuine outer-region physics rather than overfitting to inner-region structure.</w:t>
      </w:r>
    </w:p>
    <w:p w14:paraId="6D7BC9C6" w14:textId="77777777" w:rsidR="006C1CD8" w:rsidRDefault="00000000">
      <w:pPr>
        <w:pStyle w:val="Heading2"/>
      </w:pPr>
      <w:bookmarkStart w:id="27" w:name="_Toc222589288"/>
      <w:r>
        <w:t>5.5 Mass-to-Light Ratio Sensitivity</w:t>
      </w:r>
      <w:bookmarkEnd w:id="27"/>
    </w:p>
    <w:p w14:paraId="40F89A21" w14:textId="77777777" w:rsidR="006C1CD8" w:rsidRDefault="00000000">
      <w:pPr>
        <w:spacing w:after="200" w:line="276" w:lineRule="auto"/>
      </w:pPr>
      <w:r>
        <w:t xml:space="preserve">Sweeping </w:t>
      </w:r>
      <w:proofErr w:type="spellStart"/>
      <w:r>
        <w:t>Υ</w:t>
      </w:r>
      <w:r>
        <w:rPr>
          <w:vertAlign w:val="subscript"/>
        </w:rPr>
        <w:t>disk</w:t>
      </w:r>
      <w:proofErr w:type="spellEnd"/>
      <w:r>
        <w:t xml:space="preserve"> across {0.3, 0.4, 0.5, 0.6, 0.7} M</w:t>
      </w:r>
      <w:r>
        <w:rPr>
          <w:vertAlign w:val="subscript"/>
        </w:rPr>
        <w:t>⊙</w:t>
      </w:r>
      <w:r>
        <w:t>/L</w:t>
      </w:r>
      <w:r>
        <w:rPr>
          <w:vertAlign w:val="subscript"/>
        </w:rPr>
        <w:t>⊙</w:t>
      </w:r>
      <w:r>
        <w:t xml:space="preserve"> demonstrates that the response-sector results are robust to photometric systematic uncertainties. While individual galaxy amplitudes shift with Υ</w:t>
      </w:r>
      <w:r>
        <w:rPr>
          <w:vertAlign w:val="subscript"/>
        </w:rPr>
        <w:t>*</w:t>
      </w:r>
      <w:r>
        <w:t xml:space="preserve">, the global performance metrics (fraction very strong, BIC pass rate) and the BTFR scaling relation remain stable across the sweep. The median fractional change in </w:t>
      </w:r>
      <w:proofErr w:type="spellStart"/>
      <w:r>
        <w:rPr>
          <w:i/>
          <w:iCs/>
        </w:rPr>
        <w:t>Q</w:t>
      </w:r>
      <w:r>
        <w:rPr>
          <w:vertAlign w:val="subscript"/>
        </w:rPr>
        <w:t>est</w:t>
      </w:r>
      <w:proofErr w:type="spellEnd"/>
      <w:r>
        <w:t xml:space="preserve"> across the Υ</w:t>
      </w:r>
      <w:r>
        <w:rPr>
          <w:vertAlign w:val="subscript"/>
        </w:rPr>
        <w:t>*</w:t>
      </w:r>
      <w:r>
        <w:t xml:space="preserve"> range is ~15%, small compared to the dynamic range of </w:t>
      </w:r>
      <w:r>
        <w:rPr>
          <w:i/>
          <w:iCs/>
        </w:rPr>
        <w:t>Q</w:t>
      </w:r>
      <w:r>
        <w:t xml:space="preserve"> itself (~10</w:t>
      </w:r>
      <w:r>
        <w:rPr>
          <w:vertAlign w:val="superscript"/>
        </w:rPr>
        <w:t>3</w:t>
      </w:r>
      <w:r>
        <w:t>).</w:t>
      </w:r>
    </w:p>
    <w:p w14:paraId="1C3DBEBB" w14:textId="77777777" w:rsidR="006C1CD8" w:rsidRDefault="00000000">
      <w:pPr>
        <w:pStyle w:val="Heading2"/>
      </w:pPr>
      <w:bookmarkStart w:id="28" w:name="_Toc222589289"/>
      <w:r>
        <w:t>5.6 Oscillatory Signatures and Negative-Q Galaxies</w:t>
      </w:r>
      <w:bookmarkEnd w:id="28"/>
    </w:p>
    <w:p w14:paraId="07CABE24" w14:textId="77777777" w:rsidR="006C1CD8" w:rsidRDefault="00000000">
      <w:pPr>
        <w:spacing w:after="200" w:line="276" w:lineRule="auto"/>
      </w:pPr>
      <w:r>
        <w:t xml:space="preserve">Two galaxies (NGC 4389, UGC 02455) exhibit negative </w:t>
      </w:r>
      <w:proofErr w:type="spellStart"/>
      <w:r>
        <w:rPr>
          <w:i/>
          <w:iCs/>
        </w:rPr>
        <w:t>Q</w:t>
      </w:r>
      <w:r>
        <w:rPr>
          <w:vertAlign w:val="subscript"/>
        </w:rPr>
        <w:t>est</w:t>
      </w:r>
      <w:proofErr w:type="spellEnd"/>
      <w:r>
        <w:t xml:space="preserve"> values—cases where the observed velocity falls below the baryonic prediction in the outer regions. Within the response-sector framework, these are interpreted as “rarefaction-phase” sampling of an oscillatory boundary-layer response: the spacetime medium’s response to baryonic structure includes both compression (Δ &gt; 0) and rarefaction (Δ &lt; 0) phases, and some galaxies’ observed radial coverage samples primarily the rarefaction phase.</w:t>
      </w:r>
    </w:p>
    <w:p w14:paraId="07ED1305" w14:textId="77777777" w:rsidR="006C1CD8" w:rsidRDefault="00000000">
      <w:pPr>
        <w:spacing w:after="200" w:line="276" w:lineRule="auto"/>
      </w:pPr>
      <w:r>
        <w:t>More broadly, 46 galaxies (26% of the sample) show at least one sign change in their velocity deficit profiles. The characteristic oscillation wavelength scales with galaxy size (λ ≈ 45.6 kpc median) rather than being a fixed cosmological scale, consistent with standing-wave configurations in the scalar sector of the metric field that are distinct from transverse spin-2 gravitational waves.</w:t>
      </w:r>
    </w:p>
    <w:p w14:paraId="117CE0B2" w14:textId="77777777" w:rsidR="004077E5" w:rsidRDefault="004077E5">
      <w:pPr>
        <w:pStyle w:val="Heading1"/>
        <w:sectPr w:rsidR="004077E5">
          <w:pgSz w:w="12240" w:h="15840"/>
          <w:pgMar w:top="1440" w:right="1440" w:bottom="1440" w:left="1440" w:header="708" w:footer="708" w:gutter="0"/>
          <w:cols w:space="720"/>
          <w:docGrid w:linePitch="360"/>
        </w:sectPr>
      </w:pPr>
      <w:bookmarkStart w:id="29" w:name="_Toc222589290"/>
    </w:p>
    <w:p w14:paraId="5A26AD34" w14:textId="77777777" w:rsidR="006C1CD8" w:rsidRDefault="00000000">
      <w:pPr>
        <w:pStyle w:val="Heading1"/>
      </w:pPr>
      <w:r>
        <w:t>6. Empirical Validation Ladder</w:t>
      </w:r>
      <w:bookmarkEnd w:id="29"/>
    </w:p>
    <w:p w14:paraId="18CF8526" w14:textId="77777777" w:rsidR="006C1CD8" w:rsidRDefault="00000000">
      <w:pPr>
        <w:spacing w:after="200" w:line="276" w:lineRule="auto"/>
      </w:pPr>
      <w:r>
        <w:t>Robust empirical claims require more than curve-fitting. This section defines the validation hierarchy that the response-sector framework must satisfy.</w:t>
      </w:r>
    </w:p>
    <w:p w14:paraId="6C33D3CD" w14:textId="77777777" w:rsidR="006C1CD8" w:rsidRDefault="00000000">
      <w:pPr>
        <w:pStyle w:val="Heading2"/>
      </w:pPr>
      <w:bookmarkStart w:id="30" w:name="_Toc222589291"/>
      <w:r>
        <w:t>6.1 Step 1: Data Reproducibility</w:t>
      </w:r>
      <w:bookmarkEnd w:id="30"/>
    </w:p>
    <w:p w14:paraId="1B5146E0" w14:textId="77777777" w:rsidR="006C1CD8" w:rsidRDefault="00000000">
      <w:pPr>
        <w:spacing w:after="200" w:line="276" w:lineRule="auto"/>
      </w:pPr>
      <w:r>
        <w:t>All results are generated from a single reproducible pipeline operating on the public SPARC database files. Inclusion criteria, missing-data handling, and quality flags are defined explicitly. The per-galaxy fitted summaries, six-panel diagnostics, and analysis tables are regenerated from a single command.</w:t>
      </w:r>
    </w:p>
    <w:p w14:paraId="1818CC54" w14:textId="77777777" w:rsidR="006C1CD8" w:rsidRDefault="00000000">
      <w:pPr>
        <w:pStyle w:val="Heading2"/>
      </w:pPr>
      <w:bookmarkStart w:id="31" w:name="_Toc222589292"/>
      <w:r>
        <w:t>6.2 Step 2: Baseline Fits and Residual Definitions</w:t>
      </w:r>
      <w:bookmarkEnd w:id="31"/>
    </w:p>
    <w:p w14:paraId="0A637AE6" w14:textId="77777777" w:rsidR="006C1CD8" w:rsidRDefault="00000000">
      <w:pPr>
        <w:spacing w:after="200" w:line="276" w:lineRule="auto"/>
      </w:pPr>
      <w:r>
        <w:t xml:space="preserve">The primary edge-amplitude measure is </w:t>
      </w:r>
      <w:proofErr w:type="spellStart"/>
      <w:r>
        <w:rPr>
          <w:i/>
          <w:iCs/>
        </w:rPr>
        <w:t>Q</w:t>
      </w:r>
      <w:r>
        <w:rPr>
          <w:vertAlign w:val="subscript"/>
        </w:rPr>
        <w:t>best</w:t>
      </w:r>
      <w:proofErr w:type="spellEnd"/>
      <w:r>
        <w:t xml:space="preserve"> (model-fitted). The sensitivity alternates are </w:t>
      </w:r>
      <w:proofErr w:type="spellStart"/>
      <w:r>
        <w:rPr>
          <w:i/>
          <w:iCs/>
        </w:rPr>
        <w:t>Q</w:t>
      </w:r>
      <w:r>
        <w:rPr>
          <w:vertAlign w:val="subscript"/>
        </w:rPr>
        <w:t>est</w:t>
      </w:r>
      <w:proofErr w:type="spellEnd"/>
      <w:r>
        <w:t xml:space="preserve"> (Huber robust outer-subset) and the asymptotic velocity excess </w:t>
      </w:r>
      <w:proofErr w:type="spellStart"/>
      <w:proofErr w:type="gramStart"/>
      <w:r>
        <w:rPr>
          <w:i/>
          <w:iCs/>
        </w:rPr>
        <w:t>v</w:t>
      </w:r>
      <w:r>
        <w:rPr>
          <w:vertAlign w:val="subscript"/>
        </w:rPr>
        <w:t>extra,asym</w:t>
      </w:r>
      <w:proofErr w:type="spellEnd"/>
      <w:proofErr w:type="gramEnd"/>
      <w:r>
        <w:t xml:space="preserve">. Baseline scale controls are </w:t>
      </w:r>
      <w:proofErr w:type="gramStart"/>
      <w:r>
        <w:t>log(</w:t>
      </w:r>
      <w:proofErr w:type="spellStart"/>
      <w:proofErr w:type="gramEnd"/>
      <w:r>
        <w:rPr>
          <w:i/>
          <w:iCs/>
        </w:rPr>
        <w:t>V</w:t>
      </w:r>
      <w:r>
        <w:rPr>
          <w:vertAlign w:val="subscript"/>
        </w:rPr>
        <w:t>flat</w:t>
      </w:r>
      <w:proofErr w:type="spellEnd"/>
      <w:r>
        <w:t xml:space="preserve">) and </w:t>
      </w:r>
      <w:proofErr w:type="gramStart"/>
      <w:r>
        <w:t>log(</w:t>
      </w:r>
      <w:proofErr w:type="spellStart"/>
      <w:proofErr w:type="gramEnd"/>
      <w:r>
        <w:rPr>
          <w:i/>
          <w:iCs/>
        </w:rPr>
        <w:t>R</w:t>
      </w:r>
      <w:r>
        <w:rPr>
          <w:vertAlign w:val="subscript"/>
        </w:rPr>
        <w:t>disk</w:t>
      </w:r>
      <w:proofErr w:type="spellEnd"/>
      <w:r>
        <w:t>), with distance log(</w:t>
      </w:r>
      <w:r>
        <w:rPr>
          <w:i/>
          <w:iCs/>
        </w:rPr>
        <w:t>D</w:t>
      </w:r>
      <w:r>
        <w:t>) as an optional confounder check.</w:t>
      </w:r>
    </w:p>
    <w:p w14:paraId="256E8EDE" w14:textId="77777777" w:rsidR="006C1CD8" w:rsidRDefault="00000000">
      <w:pPr>
        <w:pStyle w:val="Heading2"/>
      </w:pPr>
      <w:bookmarkStart w:id="32" w:name="_Toc222589293"/>
      <w:r>
        <w:t>6.3 Step 3: Non-Fragile Inference</w:t>
      </w:r>
      <w:bookmarkEnd w:id="32"/>
    </w:p>
    <w:p w14:paraId="1D6B8ECD" w14:textId="77777777" w:rsidR="006C1CD8" w:rsidRDefault="00000000">
      <w:pPr>
        <w:spacing w:after="200" w:line="276" w:lineRule="auto"/>
      </w:pPr>
      <w:r>
        <w:t xml:space="preserve">Rather than relying on asymptotic </w:t>
      </w:r>
      <w:r>
        <w:rPr>
          <w:i/>
          <w:iCs/>
        </w:rPr>
        <w:t>p</w:t>
      </w:r>
      <w:r>
        <w:t xml:space="preserve">-values, we employ permutation-based inference: two-tailed permutation </w:t>
      </w:r>
      <w:r>
        <w:rPr>
          <w:i/>
          <w:iCs/>
        </w:rPr>
        <w:t>p</w:t>
      </w:r>
      <w:r>
        <w:t>-values for Pearson and Spearman correlations, with partial-correlation mode (residualizing both dependent and independent variables on controls). This is robust to non-normality, outliers, and small-sample effects.</w:t>
      </w:r>
    </w:p>
    <w:p w14:paraId="42521222" w14:textId="77777777" w:rsidR="006C1CD8" w:rsidRDefault="00000000">
      <w:pPr>
        <w:pStyle w:val="Heading2"/>
      </w:pPr>
      <w:bookmarkStart w:id="33" w:name="_Toc222589294"/>
      <w:r>
        <w:t>6.4 Step 4: Stratified Permutation Stress Tests</w:t>
      </w:r>
      <w:bookmarkEnd w:id="33"/>
    </w:p>
    <w:p w14:paraId="0010C793" w14:textId="77777777" w:rsidR="00B909D1" w:rsidRDefault="00000000">
      <w:pPr>
        <w:spacing w:after="200" w:line="276" w:lineRule="auto"/>
      </w:pPr>
      <w:r>
        <w:t xml:space="preserve">To guard against confounding, we stratify permutation tests by: </w:t>
      </w:r>
    </w:p>
    <w:p w14:paraId="090648D4" w14:textId="703B28FA" w:rsidR="00B909D1" w:rsidRDefault="00000000" w:rsidP="00B909D1">
      <w:pPr>
        <w:pStyle w:val="ListParagraph"/>
        <w:numPr>
          <w:ilvl w:val="0"/>
          <w:numId w:val="4"/>
        </w:numPr>
        <w:spacing w:after="200" w:line="276" w:lineRule="auto"/>
      </w:pPr>
      <w:r>
        <w:t>SPARC quality flag (</w:t>
      </w:r>
      <m:oMath>
        <m:sSub>
          <m:sSubPr>
            <m:ctrlPr>
              <w:rPr>
                <w:rFonts w:ascii="Cambria Math" w:hAnsi="Cambria Math"/>
                <w:i/>
              </w:rPr>
            </m:ctrlPr>
          </m:sSubPr>
          <m:e>
            <m:r>
              <w:rPr>
                <w:rFonts w:ascii="Cambria Math" w:hAnsi="Cambria Math"/>
              </w:rPr>
              <m:t>Q</m:t>
            </m:r>
          </m:e>
          <m:sub>
            <m:r>
              <w:rPr>
                <w:rFonts w:ascii="Cambria Math" w:hAnsi="Cambria Math"/>
              </w:rPr>
              <m:t>flag</m:t>
            </m:r>
          </m:sub>
        </m:sSub>
      </m:oMath>
      <w:r>
        <w:t xml:space="preserve">); </w:t>
      </w:r>
    </w:p>
    <w:p w14:paraId="53D379C8" w14:textId="77777777" w:rsidR="00B909D1" w:rsidRDefault="00000000" w:rsidP="00B909D1">
      <w:pPr>
        <w:pStyle w:val="ListParagraph"/>
        <w:numPr>
          <w:ilvl w:val="0"/>
          <w:numId w:val="4"/>
        </w:numPr>
        <w:spacing w:after="200" w:line="276" w:lineRule="auto"/>
      </w:pPr>
      <w:r>
        <w:t xml:space="preserve">distance quantiles; </w:t>
      </w:r>
    </w:p>
    <w:p w14:paraId="77F02F6C" w14:textId="049835A8" w:rsidR="00B909D1" w:rsidRDefault="00B909D1" w:rsidP="00B909D1">
      <w:pPr>
        <w:pStyle w:val="ListParagraph"/>
        <w:numPr>
          <w:ilvl w:val="0"/>
          <w:numId w:val="4"/>
        </w:numPr>
        <w:spacing w:after="200" w:line="276" w:lineRule="auto"/>
      </w:pPr>
      <m:oMath>
        <m:sSub>
          <m:sSubPr>
            <m:ctrlPr>
              <w:rPr>
                <w:rFonts w:ascii="Cambria Math" w:hAnsi="Cambria Math"/>
                <w:i/>
              </w:rPr>
            </m:ctrlPr>
          </m:sSubPr>
          <m:e>
            <m:r>
              <w:rPr>
                <w:rFonts w:ascii="Cambria Math" w:hAnsi="Cambria Math"/>
              </w:rPr>
              <m:t>Q</m:t>
            </m:r>
          </m:e>
          <m:sub>
            <m:r>
              <w:rPr>
                <w:rFonts w:ascii="Cambria Math" w:hAnsi="Cambria Math"/>
              </w:rPr>
              <m:t>flag</m:t>
            </m:r>
          </m:sub>
        </m:sSub>
      </m:oMath>
      <w:r w:rsidR="00000000">
        <w:t xml:space="preserve"> × distance quantiles; and </w:t>
      </w:r>
    </w:p>
    <w:p w14:paraId="618E7D03" w14:textId="6290EF17" w:rsidR="006C1CD8" w:rsidRDefault="00000000" w:rsidP="00B909D1">
      <w:pPr>
        <w:pStyle w:val="ListParagraph"/>
        <w:numPr>
          <w:ilvl w:val="0"/>
          <w:numId w:val="4"/>
        </w:numPr>
        <w:spacing w:after="200" w:line="276" w:lineRule="auto"/>
      </w:pPr>
      <w:r>
        <w:t>coarse morphological type. Any claimed correlation must survive all stratified tests to be considered robust.</w:t>
      </w:r>
    </w:p>
    <w:p w14:paraId="325ED40D" w14:textId="77777777" w:rsidR="006C1CD8" w:rsidRDefault="00000000">
      <w:pPr>
        <w:pStyle w:val="Heading2"/>
      </w:pPr>
      <w:bookmarkStart w:id="34" w:name="_Toc222589295"/>
      <w:r>
        <w:t>6.5 Step 5: Out-of-Sample Cross-Validation</w:t>
      </w:r>
      <w:bookmarkEnd w:id="34"/>
    </w:p>
    <w:p w14:paraId="7AF9C924" w14:textId="77777777" w:rsidR="006C1CD8" w:rsidRDefault="00000000">
      <w:pPr>
        <w:spacing w:after="200" w:line="276" w:lineRule="auto"/>
      </w:pPr>
      <w:r>
        <w:t xml:space="preserve">The decisive test uses repeated </w:t>
      </w:r>
      <w:r>
        <w:rPr>
          <w:i/>
          <w:iCs/>
        </w:rPr>
        <w:t>k</w:t>
      </w:r>
      <w:r>
        <w:t>-fold cross-validation to compare nested models: baseline (scale controls only), extended (scale + intrinsic-structure features), and full (scale + structure + environment). If the response-sector hypothesis is correct, intrinsic-structure features should improve out-of-sample prediction of the edge amplitude more than environment features.</w:t>
      </w:r>
    </w:p>
    <w:p w14:paraId="5BA662C9" w14:textId="77777777" w:rsidR="006C1CD8" w:rsidRDefault="00000000">
      <w:pPr>
        <w:pStyle w:val="Heading2"/>
      </w:pPr>
      <w:bookmarkStart w:id="35" w:name="_Toc222589296"/>
      <w:r>
        <w:t>6.6 Step 6: Negative Controls</w:t>
      </w:r>
      <w:bookmarkEnd w:id="35"/>
    </w:p>
    <w:p w14:paraId="7DD9396C" w14:textId="77777777" w:rsidR="004077E5" w:rsidRDefault="00000000">
      <w:pPr>
        <w:spacing w:after="200" w:line="276" w:lineRule="auto"/>
        <w:sectPr w:rsidR="004077E5">
          <w:pgSz w:w="12240" w:h="15840"/>
          <w:pgMar w:top="1440" w:right="1440" w:bottom="1440" w:left="1440" w:header="708" w:footer="708" w:gutter="0"/>
          <w:cols w:space="720"/>
          <w:docGrid w:linePitch="360"/>
        </w:sectPr>
      </w:pPr>
      <w:r>
        <w:t>Shuffled-environment columns should produce no significant correlations. Distance-only models serve as confounder detectors. These controls ensure that claimed signals are not artifacts of data structure.</w:t>
      </w:r>
    </w:p>
    <w:p w14:paraId="4144A49F" w14:textId="77777777" w:rsidR="006C1CD8" w:rsidRDefault="00000000">
      <w:pPr>
        <w:pStyle w:val="Heading1"/>
      </w:pPr>
      <w:bookmarkStart w:id="36" w:name="_Toc222589297"/>
      <w:r>
        <w:t>7. Falsification Criteria and Discriminant Tests</w:t>
      </w:r>
      <w:bookmarkEnd w:id="36"/>
    </w:p>
    <w:p w14:paraId="016C3AC9" w14:textId="77777777" w:rsidR="006C1CD8" w:rsidRDefault="00000000">
      <w:pPr>
        <w:spacing w:after="200" w:line="276" w:lineRule="auto"/>
      </w:pPr>
      <w:r>
        <w:t>A theory that cannot be falsified provides no scientific content. We state four explicit conditions under which the response-sector framework would be refuted.</w:t>
      </w:r>
    </w:p>
    <w:p w14:paraId="3017EE63" w14:textId="77777777" w:rsidR="006C1CD8" w:rsidRDefault="00000000">
      <w:pPr>
        <w:pStyle w:val="Heading2"/>
      </w:pPr>
      <w:bookmarkStart w:id="37" w:name="_Toc222589298"/>
      <w:r>
        <w:t>7.1 Criterion 1: Compression Failure</w:t>
      </w:r>
      <w:bookmarkEnd w:id="37"/>
    </w:p>
    <w:p w14:paraId="21211CBE" w14:textId="77777777" w:rsidR="006C1CD8" w:rsidRDefault="00000000">
      <w:pPr>
        <w:spacing w:after="200" w:line="276" w:lineRule="auto"/>
      </w:pPr>
      <w:r>
        <w:t xml:space="preserve">If </w:t>
      </w:r>
      <w:proofErr w:type="spellStart"/>
      <w:r>
        <w:rPr>
          <w:i/>
          <w:iCs/>
        </w:rPr>
        <w:t>g</w:t>
      </w:r>
      <w:r>
        <w:rPr>
          <w:vertAlign w:val="subscript"/>
        </w:rPr>
        <w:t>extra</w:t>
      </w:r>
      <w:proofErr w:type="spellEnd"/>
      <w:r>
        <w:t>(</w:t>
      </w:r>
      <w:r>
        <w:rPr>
          <w:i/>
          <w:iCs/>
        </w:rPr>
        <w:t>R</w:t>
      </w:r>
      <w:r>
        <w:t xml:space="preserve">) cannot be summarized by a universal low-DOF shape/amplitude tied to baryonic structure—if it requires an essentially free function per galaxy—then the “materials reverse engineering” story collapses into ad hoc curve-fitting and the framework </w:t>
      </w:r>
      <w:proofErr w:type="gramStart"/>
      <w:r>
        <w:t>is</w:t>
      </w:r>
      <w:proofErr w:type="gramEnd"/>
      <w:r>
        <w:t xml:space="preserve"> falsified as a parsimonious alternative.</w:t>
      </w:r>
    </w:p>
    <w:p w14:paraId="0E585CA9" w14:textId="77777777" w:rsidR="006C1CD8" w:rsidRDefault="00000000">
      <w:pPr>
        <w:spacing w:after="200" w:line="276" w:lineRule="auto"/>
      </w:pPr>
      <w:r>
        <w:rPr>
          <w:b/>
          <w:bCs/>
        </w:rPr>
        <w:t xml:space="preserve">Status: </w:t>
      </w:r>
      <w:r>
        <w:t>The single-parameter model achieves very strong improvement for 92% of galaxies and passes BIC for 97%, indicating compression holds across the SPARC sample.</w:t>
      </w:r>
    </w:p>
    <w:p w14:paraId="6EE780FE" w14:textId="77777777" w:rsidR="006C1CD8" w:rsidRDefault="00000000">
      <w:pPr>
        <w:pStyle w:val="Heading2"/>
      </w:pPr>
      <w:bookmarkStart w:id="38" w:name="_Toc222589299"/>
      <w:r>
        <w:t>7.2 Criterion 2: Out-of-Sample Prediction Failure</w:t>
      </w:r>
      <w:bookmarkEnd w:id="38"/>
    </w:p>
    <w:p w14:paraId="424C7E4E" w14:textId="77777777" w:rsidR="006C1CD8" w:rsidRDefault="00000000">
      <w:pPr>
        <w:spacing w:after="200" w:line="276" w:lineRule="auto"/>
      </w:pPr>
      <w:r>
        <w:t>If internal predictors (baryonic structure, gas fraction, surface density) do not improve prediction of the edge amplitude in cross-validation beyond scale controls, the “intrinsic boundary-layer” causal story is not supported by the data.</w:t>
      </w:r>
    </w:p>
    <w:p w14:paraId="0B965978" w14:textId="77777777" w:rsidR="006C1CD8" w:rsidRDefault="00000000">
      <w:pPr>
        <w:pStyle w:val="Heading2"/>
      </w:pPr>
      <w:bookmarkStart w:id="39" w:name="_Toc222589300"/>
      <w:r>
        <w:t>7.3 Criterion 3: Gravitational Slip / Lensing Inconsistency</w:t>
      </w:r>
      <w:bookmarkEnd w:id="39"/>
    </w:p>
    <w:p w14:paraId="21F30FFC" w14:textId="77777777" w:rsidR="006C1CD8" w:rsidRDefault="00000000">
      <w:pPr>
        <w:spacing w:after="200" w:line="276" w:lineRule="auto"/>
      </w:pPr>
      <w:r>
        <w:t>If the inferred extra potential needed for dynamics implies a (Φ, Ψ) pair that cannot match gravitational lensing constraints without adding new freedom, the metric-equivalence claim must be weakened or the framework revised. Specifically: if galaxy–galaxy lensing measurements require a different amplitude or profile than predicted by the response sector assuming Φ ≈ Ψ, the model faces a decisive test (§8).</w:t>
      </w:r>
    </w:p>
    <w:p w14:paraId="04B903A7" w14:textId="77777777" w:rsidR="006C1CD8" w:rsidRDefault="00000000">
      <w:pPr>
        <w:pStyle w:val="Heading2"/>
      </w:pPr>
      <w:bookmarkStart w:id="40" w:name="_Toc222589301"/>
      <w:r>
        <w:t>7.4 Criterion 4: Cosmological Growth Incompatibility</w:t>
      </w:r>
      <w:bookmarkEnd w:id="40"/>
    </w:p>
    <w:p w14:paraId="48CDCD9F" w14:textId="77777777" w:rsidR="006C1CD8" w:rsidRDefault="00000000">
      <w:pPr>
        <w:spacing w:after="200" w:line="276" w:lineRule="auto"/>
      </w:pPr>
      <w:r>
        <w:t>If the response sector, extended to cosmological scales, produces a growth rate or perturbation structure that is incompatible with observed large-scale structure and CMB constraints, the framework cannot serve as a ΛCDM alternative (it may still be valid as a galaxy-domain model, but the “go big” program would be falsified).</w:t>
      </w:r>
    </w:p>
    <w:p w14:paraId="1A563032" w14:textId="77777777" w:rsidR="006C1CD8" w:rsidRDefault="00000000">
      <w:pPr>
        <w:pStyle w:val="Heading2"/>
      </w:pPr>
      <w:bookmarkStart w:id="41" w:name="_Toc222589302"/>
      <w:r>
        <w:t>7.5 The Discriminant Triad</w:t>
      </w:r>
      <w:bookmarkEnd w:id="41"/>
    </w:p>
    <w:p w14:paraId="7783A30F" w14:textId="77777777" w:rsidR="006C1CD8" w:rsidRDefault="00000000">
      <w:pPr>
        <w:spacing w:after="200" w:line="276" w:lineRule="auto"/>
      </w:pPr>
      <w:r>
        <w:t>If the framework is to serve as a serious ΛCDM-alternative candidate, three discriminant tests are paramount:</w:t>
      </w:r>
    </w:p>
    <w:p w14:paraId="10137FCC" w14:textId="77777777" w:rsidR="006C1CD8" w:rsidRDefault="00000000">
      <w:pPr>
        <w:spacing w:after="200" w:line="276" w:lineRule="auto"/>
      </w:pPr>
      <w:r>
        <w:rPr>
          <w:b/>
          <w:bCs/>
        </w:rPr>
        <w:t>(</w:t>
      </w:r>
      <w:proofErr w:type="spellStart"/>
      <w:r>
        <w:rPr>
          <w:b/>
          <w:bCs/>
        </w:rPr>
        <w:t>i</w:t>
      </w:r>
      <w:proofErr w:type="spellEnd"/>
      <w:r>
        <w:rPr>
          <w:b/>
          <w:bCs/>
        </w:rPr>
        <w:t xml:space="preserve">) Low-DOF compression across SPARC: </w:t>
      </w:r>
      <w:r>
        <w:t>The response sector in the galaxy quasi-static limit is described by a universal family with ≤2 DOF per galaxy. Killer failure mode: needing an arbitrary function per galaxy.</w:t>
      </w:r>
    </w:p>
    <w:p w14:paraId="571A66A3" w14:textId="77777777" w:rsidR="006C1CD8" w:rsidRDefault="00000000">
      <w:pPr>
        <w:spacing w:after="200" w:line="276" w:lineRule="auto"/>
      </w:pPr>
      <w:r>
        <w:rPr>
          <w:b/>
          <w:bCs/>
        </w:rPr>
        <w:t xml:space="preserve">(ii) Rotation vs. lensing consistency: </w:t>
      </w:r>
      <w:r>
        <w:t>The response sector must give a definite relation between dynamics (Φ) and lensing (Φ + Ψ). If Φ ≈ Ψ in the relevant regime, state “metric-equivalent in that regime.” If not, predict where slip appears.</w:t>
      </w:r>
    </w:p>
    <w:p w14:paraId="2AE05787" w14:textId="77777777" w:rsidR="006C1CD8" w:rsidRDefault="00000000">
      <w:pPr>
        <w:spacing w:after="200" w:line="276" w:lineRule="auto"/>
      </w:pPr>
      <w:r>
        <w:rPr>
          <w:b/>
          <w:bCs/>
        </w:rPr>
        <w:t xml:space="preserve">(iii) Cosmological growth and background viability: </w:t>
      </w:r>
      <w:r>
        <w:t>Match background distances to first order and demonstrate that the response sector can cluster appropriately.</w:t>
      </w:r>
    </w:p>
    <w:p w14:paraId="3B9C7FA2" w14:textId="77777777" w:rsidR="004077E5" w:rsidRDefault="004077E5">
      <w:pPr>
        <w:pStyle w:val="Heading1"/>
        <w:sectPr w:rsidR="004077E5">
          <w:pgSz w:w="12240" w:h="15840"/>
          <w:pgMar w:top="1440" w:right="1440" w:bottom="1440" w:left="1440" w:header="708" w:footer="708" w:gutter="0"/>
          <w:cols w:space="720"/>
          <w:docGrid w:linePitch="360"/>
        </w:sectPr>
      </w:pPr>
      <w:bookmarkStart w:id="42" w:name="_Toc222589303"/>
    </w:p>
    <w:p w14:paraId="11485143" w14:textId="77777777" w:rsidR="006C1CD8" w:rsidRDefault="00000000">
      <w:pPr>
        <w:pStyle w:val="Heading1"/>
      </w:pPr>
      <w:r>
        <w:t>8. Lensing and Cosmological Viability</w:t>
      </w:r>
      <w:bookmarkEnd w:id="42"/>
    </w:p>
    <w:p w14:paraId="1E622BB8" w14:textId="77777777" w:rsidR="006C1CD8" w:rsidRDefault="00000000">
      <w:pPr>
        <w:spacing w:after="200" w:line="276" w:lineRule="auto"/>
      </w:pPr>
      <w:r>
        <w:t>The galaxy-domain results of §§4–6 establish that the response sector works empirically for rotation curves. A credible ΛCDM-alternative candidate must additionally address lensing and cosmology. This section provides the first lensing-facing statement and the minimal cosmological viability sketch.</w:t>
      </w:r>
    </w:p>
    <w:p w14:paraId="3733E40C" w14:textId="77777777" w:rsidR="006C1CD8" w:rsidRDefault="00000000">
      <w:pPr>
        <w:pStyle w:val="Heading2"/>
      </w:pPr>
      <w:bookmarkStart w:id="43" w:name="_Toc222589304"/>
      <w:r>
        <w:t>8.1 Lensing: The Weyl Potential Constraint</w:t>
      </w:r>
      <w:bookmarkEnd w:id="43"/>
    </w:p>
    <w:p w14:paraId="5CC06EA8" w14:textId="68820576" w:rsidR="006C1CD8" w:rsidRDefault="00000000">
      <w:pPr>
        <w:spacing w:after="200" w:line="276" w:lineRule="auto"/>
      </w:pPr>
      <w:r>
        <w:t>Galaxy–galaxy lensing and cluster lensing constrain the Weyl potential</w:t>
      </w:r>
      <w:r w:rsidR="00BE0DE6" w:rsidRPr="00BE0DE6">
        <w:t xml:space="preserv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m:rPr>
                <m:nor/>
              </m:rPr>
              <w:rPr>
                <w:rFonts w:ascii="Cambria Math" w:hAnsi="Cambria Math"/>
              </w:rPr>
              <m:t>lens</m:t>
            </m:r>
          </m:sub>
        </m:sSub>
        <m:r>
          <w:rPr>
            <w:rFonts w:ascii="Cambria Math" w:hAnsi="Cambria Math"/>
          </w:rPr>
          <m:t>=</m:t>
        </m:r>
        <m:f>
          <m:fPr>
            <m:ctrlPr>
              <w:rPr>
                <w:rFonts w:ascii="Cambria Math" w:hAnsi="Cambria Math"/>
              </w:rPr>
            </m:ctrlPr>
          </m:fPr>
          <m:num>
            <m:r>
              <m:rPr>
                <m:sty m:val="p"/>
              </m:rPr>
              <w:rPr>
                <w:rFonts w:ascii="Cambria Math" w:hAnsi="Cambria Math"/>
              </w:rPr>
              <m:t>Φ</m:t>
            </m:r>
            <m:r>
              <w:rPr>
                <w:rFonts w:ascii="Cambria Math" w:hAnsi="Cambria Math"/>
              </w:rPr>
              <m:t>+</m:t>
            </m:r>
            <m:r>
              <m:rPr>
                <m:sty m:val="p"/>
              </m:rPr>
              <w:rPr>
                <w:rFonts w:ascii="Cambria Math" w:hAnsi="Cambria Math"/>
              </w:rPr>
              <m:t>Ψ</m:t>
            </m:r>
            <m:ctrlPr>
              <w:rPr>
                <w:rFonts w:ascii="Cambria Math" w:hAnsi="Cambria Math"/>
                <w:i/>
              </w:rPr>
            </m:ctrlPr>
          </m:num>
          <m:den>
            <m:r>
              <w:rPr>
                <w:rFonts w:ascii="Cambria Math" w:hAnsi="Cambria Math"/>
              </w:rPr>
              <m:t>2</m:t>
            </m:r>
            <m:ctrlPr>
              <w:rPr>
                <w:rFonts w:ascii="Cambria Math" w:hAnsi="Cambria Math"/>
                <w:i/>
              </w:rPr>
            </m:ctrlPr>
          </m:den>
        </m:f>
      </m:oMath>
      <w:r>
        <w:t xml:space="preserve">. In standard GR with a perfect-fluid source (including CDM), the gravitational slip </w:t>
      </w:r>
      <w:r w:rsidR="00214E42" w:rsidRPr="00214E42">
        <w:rPr>
          <w:rFonts w:ascii="Cambria Math" w:hAnsi="Cambria Math"/>
        </w:rPr>
        <w:br/>
      </w:r>
      <m:oMath>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Ψ</m:t>
            </m:r>
            <m:ctrlPr>
              <w:rPr>
                <w:rFonts w:ascii="Cambria Math" w:hAnsi="Cambria Math"/>
                <w:i/>
              </w:rPr>
            </m:ctrlPr>
          </m:num>
          <m:den>
            <m:r>
              <m:rPr>
                <m:sty m:val="p"/>
              </m:rPr>
              <w:rPr>
                <w:rFonts w:ascii="Cambria Math" w:hAnsi="Cambria Math"/>
              </w:rPr>
              <m:t>Φ</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η</m:t>
        </m:r>
        <m:r>
          <w:rPr>
            <w:rFonts w:ascii="Cambria Math" w:hAnsi="Cambria Math"/>
          </w:rPr>
          <m:t>=1</m:t>
        </m:r>
      </m:oMath>
      <w:r>
        <w:t xml:space="preserve"> at leading order in the quasi-static weak-field limit. The response-sector framework must make a definite prediction for η.</w:t>
      </w:r>
    </w:p>
    <w:p w14:paraId="4C60C7C9" w14:textId="59A0815C" w:rsidR="00BE0DE6" w:rsidRDefault="00BE0DE6">
      <w:pPr>
        <w:spacing w:after="200" w:line="276" w:lineRule="auto"/>
      </w:pPr>
    </w:p>
    <w:p w14:paraId="5D621C1D" w14:textId="77777777" w:rsidR="006C1CD8" w:rsidRDefault="00000000">
      <w:pPr>
        <w:pStyle w:val="Heading3"/>
      </w:pPr>
      <w:bookmarkStart w:id="44" w:name="_Toc222589305"/>
      <w:r>
        <w:t>8.1.1 Working Hypothesis: Metric Equivalence</w:t>
      </w:r>
      <w:bookmarkEnd w:id="44"/>
    </w:p>
    <w:p w14:paraId="17DD72C2" w14:textId="12A4C47D" w:rsidR="006C1CD8" w:rsidRDefault="00000000">
      <w:pPr>
        <w:spacing w:after="200" w:line="276" w:lineRule="auto"/>
      </w:pPr>
      <w:r>
        <w:t xml:space="preserve">As a first working hypothesis, we assume the response sector produces </w:t>
      </w:r>
      <m:oMath>
        <m:r>
          <m:rPr>
            <m:sty m:val="p"/>
          </m:rPr>
          <w:rPr>
            <w:rFonts w:ascii="Cambria Math" w:hAnsi="Cambria Math"/>
          </w:rPr>
          <m:t>Φ≈Ψ</m:t>
        </m:r>
      </m:oMath>
      <w:r>
        <w:t xml:space="preserve"> (zero slip) in the galaxy quasi-static regime. This is the most ΛCDM-like option and the easiest to test: it predicts that the lensing mass inferred from the response-sector’s rotation-curve fit matches the lensing mass measured directly. Specifically, the implied convergence κ(</w:t>
      </w:r>
      <w:r>
        <w:rPr>
          <w:i/>
          <w:iCs/>
        </w:rPr>
        <w:t>R</w:t>
      </w:r>
      <w:r>
        <w:t>) can be computed from the fitted potential and compared against weak-lensing measurements.</w:t>
      </w:r>
    </w:p>
    <w:p w14:paraId="2588375F" w14:textId="77777777" w:rsidR="006C1CD8" w:rsidRDefault="00000000">
      <w:pPr>
        <w:pStyle w:val="Heading3"/>
      </w:pPr>
      <w:bookmarkStart w:id="45" w:name="_Toc222589306"/>
      <w:r>
        <w:t>8.1.2 Gravitational Slip as a Discriminant</w:t>
      </w:r>
      <w:bookmarkEnd w:id="45"/>
    </w:p>
    <w:p w14:paraId="75C10882" w14:textId="76E08B83" w:rsidR="006C1CD8" w:rsidRDefault="00000000">
      <w:pPr>
        <w:spacing w:after="200" w:line="276" w:lineRule="auto"/>
      </w:pPr>
      <w:r>
        <w:t>If the response sector includes anisotropic stress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rPr>
              <m:t>μν</m:t>
            </m:r>
          </m:sub>
        </m:sSub>
        <m:r>
          <m:rPr>
            <m:sty m:val="p"/>
          </m:rPr>
          <w:rPr>
            <w:rFonts w:ascii="Cambria Math" w:hAnsi="Cambria Math"/>
          </w:rPr>
          <m:t>≠</m:t>
        </m:r>
        <m:r>
          <w:rPr>
            <w:rFonts w:ascii="Cambria Math" w:hAnsi="Cambria Math"/>
          </w:rPr>
          <m:t>0</m:t>
        </m:r>
      </m:oMath>
      <w:r>
        <w:t>), it generically produces gravitational slip (Φ ≠ Ψ). This would be a distinctive observational signature. We do not introduce a free slip function; rather, we note that the choice of microphysical completion (§3.5) determines the slip prediction. If future lensing data require slip, this constrains the completion; if they exclude it, the completion must produce</w:t>
      </w:r>
      <w:r w:rsidR="00214E42">
        <w:t xml:space="preserve"> </w:t>
      </w:r>
      <m:oMath>
        <m:r>
          <m:rPr>
            <m:sty m:val="p"/>
          </m:rPr>
          <w:rPr>
            <w:rFonts w:ascii="Cambria Math" w:hAnsi="Cambria Math"/>
          </w:rPr>
          <m:t>Φ≠Ψ</m:t>
        </m:r>
      </m:oMath>
      <w:r>
        <w:t>.</w:t>
      </w:r>
    </w:p>
    <w:p w14:paraId="09704AA2" w14:textId="77777777" w:rsidR="006C1CD8" w:rsidRDefault="00000000">
      <w:pPr>
        <w:pStyle w:val="Heading2"/>
      </w:pPr>
      <w:bookmarkStart w:id="46" w:name="_Toc222589307"/>
      <w:r>
        <w:t>8.2 Cosmological Background</w:t>
      </w:r>
      <w:bookmarkEnd w:id="46"/>
    </w:p>
    <w:p w14:paraId="33EBCF71" w14:textId="77777777" w:rsidR="006C1CD8" w:rsidRDefault="00000000">
      <w:pPr>
        <w:spacing w:after="200" w:line="276" w:lineRule="auto"/>
      </w:pPr>
      <w:r>
        <w:t xml:space="preserve">For the response sector to serve as a CDM replacement on cosmological scales, its effective energy density must evolve approximately as </w:t>
      </w:r>
      <w:proofErr w:type="spellStart"/>
      <w:r>
        <w:t>ρ</w:t>
      </w:r>
      <w:r>
        <w:rPr>
          <w:vertAlign w:val="subscript"/>
        </w:rPr>
        <w:t>resp</w:t>
      </w:r>
      <w:proofErr w:type="spellEnd"/>
      <w:r>
        <w:t>(</w:t>
      </w:r>
      <w:r>
        <w:rPr>
          <w:i/>
          <w:iCs/>
        </w:rPr>
        <w:t>a</w:t>
      </w:r>
      <w:r>
        <w:t xml:space="preserve">) ∝ </w:t>
      </w:r>
      <w:r>
        <w:rPr>
          <w:i/>
          <w:iCs/>
        </w:rPr>
        <w:t>a</w:t>
      </w:r>
      <w:r>
        <w:rPr>
          <w:vertAlign w:val="superscript"/>
        </w:rPr>
        <w:t>−3</w:t>
      </w:r>
      <w:r>
        <w:t xml:space="preserve"> (dust-like) over the redshift range relevant for structure formation and distance measurements. This is the background viability requirement: the response sector must not ruin the distance–redshift relation that ΛCDM fits well.</w:t>
      </w:r>
    </w:p>
    <w:p w14:paraId="7881EA6E" w14:textId="77777777" w:rsidR="006C1CD8" w:rsidRDefault="00000000">
      <w:pPr>
        <w:pStyle w:val="Heading2"/>
      </w:pPr>
      <w:bookmarkStart w:id="47" w:name="_Toc222589308"/>
      <w:r>
        <w:t>8.3 Cosmological Perturbations</w:t>
      </w:r>
      <w:bookmarkEnd w:id="47"/>
    </w:p>
    <w:p w14:paraId="2B0B69A2" w14:textId="77777777" w:rsidR="006C1CD8" w:rsidRDefault="00000000">
      <w:pPr>
        <w:spacing w:after="200" w:line="276" w:lineRule="auto"/>
      </w:pPr>
      <w:r>
        <w:t>At the perturbation level, the response sector must cluster appropriately to produce the observed matter power spectrum and CMB angular power spectrum. A dust-like clustering component with an effective sound speed close to zero (</w:t>
      </w:r>
      <w:r>
        <w:rPr>
          <w:i/>
          <w:iCs/>
        </w:rPr>
        <w:t>c</w:t>
      </w:r>
      <w:r>
        <w:rPr>
          <w:vertAlign w:val="superscript"/>
        </w:rPr>
        <w:t>2</w:t>
      </w:r>
      <w:proofErr w:type="gramStart"/>
      <w:r>
        <w:rPr>
          <w:vertAlign w:val="subscript"/>
        </w:rPr>
        <w:t>s,eff</w:t>
      </w:r>
      <w:proofErr w:type="gramEnd"/>
      <w:r>
        <w:t xml:space="preserve"> ≈ 0) over the relevant scales would most closely mimic CDM perturbations. If the response sector introduces a significant effective sound speed or anisotropic stress at cosmological scales, it will modify the growth rate and ISW effect in potentially detectable ways.</w:t>
      </w:r>
    </w:p>
    <w:p w14:paraId="6FE04670" w14:textId="77777777" w:rsidR="006C1CD8" w:rsidRDefault="00000000">
      <w:pPr>
        <w:pStyle w:val="Heading2"/>
      </w:pPr>
      <w:bookmarkStart w:id="48" w:name="_Toc222589309"/>
      <w:r>
        <w:t>8.4 Domain Partition and Honest Scope</w:t>
      </w:r>
      <w:bookmarkEnd w:id="48"/>
    </w:p>
    <w:p w14:paraId="09FB27AF" w14:textId="77777777" w:rsidR="006C1CD8" w:rsidRDefault="00000000">
      <w:pPr>
        <w:spacing w:after="200" w:line="276" w:lineRule="auto"/>
      </w:pPr>
      <w:r>
        <w:t xml:space="preserve">We adopt explicit domain partitioning: this work establishes the galaxy-domain closure and demonstrates empirical viability at rotation-curve scales. The lensing and cosmological domains are enumerated as defined requirements, not claimed results. The language discipline is: </w:t>
      </w:r>
      <w:r>
        <w:rPr>
          <w:i/>
          <w:iCs/>
        </w:rPr>
        <w:t>“This work establishes the galaxy-domain closure and enumerates the cosmological completion requirements and discriminants.”</w:t>
      </w:r>
    </w:p>
    <w:p w14:paraId="4E3FB29B" w14:textId="77777777" w:rsidR="00B909D1" w:rsidRDefault="00B909D1">
      <w:pPr>
        <w:pStyle w:val="Heading1"/>
        <w:sectPr w:rsidR="00B909D1">
          <w:pgSz w:w="12240" w:h="15840"/>
          <w:pgMar w:top="1440" w:right="1440" w:bottom="1440" w:left="1440" w:header="708" w:footer="708" w:gutter="0"/>
          <w:cols w:space="720"/>
          <w:docGrid w:linePitch="360"/>
        </w:sectPr>
      </w:pPr>
      <w:bookmarkStart w:id="49" w:name="_Toc222589310"/>
    </w:p>
    <w:p w14:paraId="19DF0216" w14:textId="77777777" w:rsidR="006C1CD8" w:rsidRDefault="00000000">
      <w:pPr>
        <w:pStyle w:val="Heading1"/>
      </w:pPr>
      <w:r>
        <w:t>9. Discussion</w:t>
      </w:r>
      <w:bookmarkEnd w:id="49"/>
    </w:p>
    <w:p w14:paraId="1B5FD4E6" w14:textId="197B1373" w:rsidR="006C1CD8" w:rsidRDefault="00000000">
      <w:pPr>
        <w:pStyle w:val="Heading2"/>
      </w:pPr>
      <w:bookmarkStart w:id="50" w:name="_Toc222589311"/>
      <w:r>
        <w:t>9.1 What the Response Sector Is</w:t>
      </w:r>
      <w:bookmarkEnd w:id="50"/>
    </w:p>
    <w:p w14:paraId="467729EF" w14:textId="2601EFBE" w:rsidR="006C1CD8" w:rsidRDefault="00214E42">
      <w:pPr>
        <w:spacing w:after="200" w:line="276" w:lineRule="auto"/>
      </w:pPr>
      <m:oMath>
        <m:sSubSup>
          <m:sSubSupPr>
            <m:ctrlPr>
              <w:rPr>
                <w:rFonts w:ascii="Cambria Math" w:hAnsi="Cambria Math"/>
                <w:i/>
              </w:rPr>
            </m:ctrlPr>
          </m:sSubSupPr>
          <m:e>
            <m:r>
              <w:rPr>
                <w:rFonts w:ascii="Cambria Math" w:hAnsi="Cambria Math"/>
              </w:rPr>
              <m:t>T</m:t>
            </m:r>
          </m:e>
          <m:sub>
            <m:r>
              <w:rPr>
                <w:rFonts w:ascii="Cambria Math" w:hAnsi="Cambria Math"/>
              </w:rPr>
              <m:t>μν</m:t>
            </m:r>
          </m:sub>
          <m:sup>
            <m:r>
              <m:rPr>
                <m:nor/>
              </m:rPr>
              <w:rPr>
                <w:rFonts w:ascii="Cambria Math" w:hAnsi="Cambria Math"/>
              </w:rPr>
              <m:t>resp</m:t>
            </m:r>
          </m:sup>
        </m:sSubSup>
      </m:oMath>
      <w:r w:rsidR="00000000">
        <w:t xml:space="preserve"> is the effective stress–energy required so that the metric (or potentials) inferred from galaxy phenomenology satisfies the Einstein equation with baryons. This definition is ontologically agnostic—it does not commit to a microscopic composition of spacetime. We avoid claiming spacetime “is literally” a fluid or solid; instead, we describe the framework as an EFT/constitutive closure candidate.</w:t>
      </w:r>
    </w:p>
    <w:p w14:paraId="1F2B6541" w14:textId="77777777" w:rsidR="00214E42" w:rsidRDefault="00214E42">
      <w:pPr>
        <w:spacing w:after="200" w:line="276" w:lineRule="auto"/>
      </w:pPr>
    </w:p>
    <w:p w14:paraId="6490A05F" w14:textId="77777777" w:rsidR="006C1CD8" w:rsidRDefault="00000000">
      <w:pPr>
        <w:pStyle w:val="Heading2"/>
      </w:pPr>
      <w:bookmarkStart w:id="51" w:name="_Toc222589312"/>
      <w:r>
        <w:t xml:space="preserve">9.2 Relation to MOND and </w:t>
      </w:r>
      <w:proofErr w:type="spellStart"/>
      <w:r>
        <w:t>TeVeS</w:t>
      </w:r>
      <w:bookmarkEnd w:id="51"/>
      <w:proofErr w:type="spellEnd"/>
    </w:p>
    <w:p w14:paraId="1B654198" w14:textId="77777777" w:rsidR="006C1CD8" w:rsidRDefault="00000000">
      <w:pPr>
        <w:spacing w:after="200" w:line="276" w:lineRule="auto"/>
      </w:pPr>
      <w:r>
        <w:t xml:space="preserve">Modified Newtonian Dynamics (MOND; Milgrom, 1983) shares the empirical acceleration scale </w:t>
      </w:r>
      <w:r>
        <w:rPr>
          <w:i/>
          <w:iCs/>
        </w:rPr>
        <w:t>a</w:t>
      </w:r>
      <w:r>
        <w:rPr>
          <w:vertAlign w:val="subscript"/>
        </w:rPr>
        <w:t>0</w:t>
      </w:r>
      <w:r>
        <w:t xml:space="preserve"> and produces flat rotation curves through a modified force law. The response-sector framework differs in several respects: it retains standard GR on the left-hand side (the geometry is not modified); it provides an explicit stress–energy interpretation; it naturally accommodates both compression and rarefaction phases; and it admits a cosmological completion route. MOND’s relativistic extension </w:t>
      </w:r>
      <w:proofErr w:type="spellStart"/>
      <w:r>
        <w:t>TeVeS</w:t>
      </w:r>
      <w:proofErr w:type="spellEnd"/>
      <w:r>
        <w:t xml:space="preserve"> (</w:t>
      </w:r>
      <w:proofErr w:type="spellStart"/>
      <w:r>
        <w:t>Bekenstein</w:t>
      </w:r>
      <w:proofErr w:type="spellEnd"/>
      <w:r>
        <w:t>, 2004) introduces a scalar and vector field—one of our completion routes (§3.5i) is structurally similar but derived from an inverse-GR starting point rather than a modified-gravity one.</w:t>
      </w:r>
    </w:p>
    <w:p w14:paraId="169218F9" w14:textId="77777777" w:rsidR="006C1CD8" w:rsidRDefault="00000000">
      <w:pPr>
        <w:pStyle w:val="Heading2"/>
      </w:pPr>
      <w:bookmarkStart w:id="52" w:name="_Toc222589313"/>
      <w:r>
        <w:t>9.3 Relation to Emergent Gravity and Nonlocal Gravity</w:t>
      </w:r>
      <w:bookmarkEnd w:id="52"/>
    </w:p>
    <w:p w14:paraId="7DD4B722" w14:textId="77777777" w:rsidR="006C1CD8" w:rsidRDefault="00000000">
      <w:pPr>
        <w:spacing w:after="200" w:line="276" w:lineRule="auto"/>
      </w:pPr>
      <w:r>
        <w:t>Verlinde’s (2017) emergent gravity program derives a MOND-like force from entropic considerations. The response-sector approach is compatible but more conservative: we do not assume a thermodynamic origin for gravity, only that the gravitational sector admits an effective constitutive response. Nonlocal gravity models (</w:t>
      </w:r>
      <w:proofErr w:type="spellStart"/>
      <w:r>
        <w:t>Deser</w:t>
      </w:r>
      <w:proofErr w:type="spellEnd"/>
      <w:r>
        <w:t xml:space="preserve"> &amp; Woodard, 2007) can be rewritten as effective sources on the right-hand side of the Einstein equation, placing them within our bookkeeping framework.</w:t>
      </w:r>
    </w:p>
    <w:p w14:paraId="648299C5" w14:textId="77777777" w:rsidR="006C1CD8" w:rsidRDefault="00000000">
      <w:pPr>
        <w:pStyle w:val="Heading2"/>
      </w:pPr>
      <w:bookmarkStart w:id="53" w:name="_Toc222589314"/>
      <w:r>
        <w:t>9.4 Strengths of the Current Work</w:t>
      </w:r>
      <w:bookmarkEnd w:id="53"/>
    </w:p>
    <w:p w14:paraId="71DFCFDE" w14:textId="77777777" w:rsidR="00B909D1" w:rsidRDefault="00000000">
      <w:pPr>
        <w:spacing w:after="200" w:line="276" w:lineRule="auto"/>
      </w:pPr>
      <w:r>
        <w:t xml:space="preserve">The primary contributions of this paper are: </w:t>
      </w:r>
    </w:p>
    <w:p w14:paraId="6F69EEE3" w14:textId="4DFE6D41" w:rsidR="00B909D1" w:rsidRDefault="00000000" w:rsidP="00B909D1">
      <w:pPr>
        <w:pStyle w:val="ListParagraph"/>
        <w:numPr>
          <w:ilvl w:val="0"/>
          <w:numId w:val="6"/>
        </w:numPr>
        <w:spacing w:after="200" w:line="276" w:lineRule="auto"/>
      </w:pPr>
      <w:r>
        <w:t xml:space="preserve">a clean mathematical framework (inverse-GR → response-sector closure) that makes the “alternative to CDM” concept precise within standard GR; </w:t>
      </w:r>
    </w:p>
    <w:p w14:paraId="36FD333D" w14:textId="77777777" w:rsidR="00B909D1" w:rsidRDefault="00000000" w:rsidP="00B909D1">
      <w:pPr>
        <w:pStyle w:val="ListParagraph"/>
        <w:numPr>
          <w:ilvl w:val="0"/>
          <w:numId w:val="6"/>
        </w:numPr>
        <w:spacing w:after="200" w:line="276" w:lineRule="auto"/>
      </w:pPr>
      <w:r>
        <w:t>systematic testing against 175 galaxies spanning ~10</w:t>
      </w:r>
      <w:r w:rsidRPr="00B909D1">
        <w:rPr>
          <w:vertAlign w:val="superscript"/>
        </w:rPr>
        <w:t>4</w:t>
      </w:r>
      <w:r>
        <w:t xml:space="preserve"> in luminosity; </w:t>
      </w:r>
    </w:p>
    <w:p w14:paraId="783317AD" w14:textId="77777777" w:rsidR="00B909D1" w:rsidRDefault="00000000" w:rsidP="00B909D1">
      <w:pPr>
        <w:pStyle w:val="ListParagraph"/>
        <w:numPr>
          <w:ilvl w:val="0"/>
          <w:numId w:val="6"/>
        </w:numPr>
        <w:spacing w:after="200" w:line="276" w:lineRule="auto"/>
      </w:pPr>
      <w:r>
        <w:t xml:space="preserve">independent confirmation of fitted amplitudes by a robust estimator; </w:t>
      </w:r>
    </w:p>
    <w:p w14:paraId="3C74E321" w14:textId="77777777" w:rsidR="00B909D1" w:rsidRDefault="00000000" w:rsidP="00B909D1">
      <w:pPr>
        <w:pStyle w:val="ListParagraph"/>
        <w:numPr>
          <w:ilvl w:val="0"/>
          <w:numId w:val="6"/>
        </w:numPr>
        <w:spacing w:after="200" w:line="276" w:lineRule="auto"/>
      </w:pPr>
      <w:r>
        <w:t xml:space="preserve">explicit falsification criteria stated in advance; and </w:t>
      </w:r>
    </w:p>
    <w:p w14:paraId="015215AE" w14:textId="35952D6D" w:rsidR="006C1CD8" w:rsidRDefault="00000000" w:rsidP="00B909D1">
      <w:pPr>
        <w:pStyle w:val="ListParagraph"/>
        <w:numPr>
          <w:ilvl w:val="0"/>
          <w:numId w:val="6"/>
        </w:numPr>
        <w:spacing w:after="200" w:line="276" w:lineRule="auto"/>
      </w:pPr>
      <w:r>
        <w:t>a domain-partitioned roadmap that acknowledges what is and is not claimed.</w:t>
      </w:r>
    </w:p>
    <w:p w14:paraId="45165208" w14:textId="77777777" w:rsidR="006C1CD8" w:rsidRDefault="00000000">
      <w:pPr>
        <w:pStyle w:val="Heading2"/>
      </w:pPr>
      <w:bookmarkStart w:id="54" w:name="_Toc222589315"/>
      <w:r>
        <w:t>9.5 Limitations and Open Questions</w:t>
      </w:r>
      <w:bookmarkEnd w:id="54"/>
    </w:p>
    <w:p w14:paraId="0455E1FD" w14:textId="77777777" w:rsidR="006C1CD8" w:rsidRDefault="00000000">
      <w:pPr>
        <w:spacing w:after="200" w:line="276" w:lineRule="auto"/>
      </w:pPr>
      <w:r>
        <w:t xml:space="preserve">The framework as presented has clear limitations. The boundary-layer model is phenomenological: the precise form of </w:t>
      </w:r>
      <w:proofErr w:type="spellStart"/>
      <w:r>
        <w:t>ℒ</w:t>
      </w:r>
      <w:r>
        <w:rPr>
          <w:vertAlign w:val="subscript"/>
        </w:rPr>
        <w:t>χ</w:t>
      </w:r>
      <w:proofErr w:type="spellEnd"/>
      <w:r>
        <w:t xml:space="preserve"> and </w:t>
      </w:r>
      <w:proofErr w:type="spellStart"/>
      <w:r>
        <w:t>ℒ</w:t>
      </w:r>
      <w:r>
        <w:rPr>
          <w:vertAlign w:val="subscript"/>
        </w:rPr>
        <w:t>int</w:t>
      </w:r>
      <w:proofErr w:type="spellEnd"/>
      <w:r>
        <w:t xml:space="preserve"> is not derived from first principles. The lensing prediction is a working hypothesis, not a tested result. Cosmological viability is stated as a requirement, not demonstrated. Galaxy clusters—where the CDM paradigm is well-tested—are not addressed. Pressure-supported systems (elliptical galaxies, galaxy groups) require extension beyond the circular-orbit framework. These limitations define the research program going forward.</w:t>
      </w:r>
    </w:p>
    <w:p w14:paraId="6DCB671F" w14:textId="77777777" w:rsidR="006C1CD8" w:rsidRDefault="00000000">
      <w:pPr>
        <w:pStyle w:val="Heading2"/>
      </w:pPr>
      <w:bookmarkStart w:id="55" w:name="_Toc222589316"/>
      <w:r>
        <w:t>9.6 The Historical Lesson</w:t>
      </w:r>
      <w:bookmarkEnd w:id="55"/>
    </w:p>
    <w:p w14:paraId="2F4003A7" w14:textId="77777777" w:rsidR="006C1CD8" w:rsidRDefault="00000000">
      <w:pPr>
        <w:spacing w:after="200" w:line="276" w:lineRule="auto"/>
      </w:pPr>
      <w:r>
        <w:t>The Vulcan episode provides a cautionary tale: gravitational anomalies initially attributed to unseen matter ultimately revealed deeper geometric structure. We do not claim the contemporary analogy is exact—the dark-matter hypothesis is vastly more successful and well-motivated than Vulcan ever was—but the structural lesson remains: when a gravitational anomaly is observed, both matter-based and geometry-based explanations deserve rigorous investigation. The persistent null results in dark-matter searches lend urgency to this investigation.</w:t>
      </w:r>
    </w:p>
    <w:p w14:paraId="5BA218E1" w14:textId="77777777" w:rsidR="00B555CD" w:rsidRDefault="00B555CD">
      <w:pPr>
        <w:pStyle w:val="Heading1"/>
        <w:sectPr w:rsidR="00B555CD">
          <w:pgSz w:w="12240" w:h="15840"/>
          <w:pgMar w:top="1440" w:right="1440" w:bottom="1440" w:left="1440" w:header="708" w:footer="708" w:gutter="0"/>
          <w:cols w:space="720"/>
          <w:docGrid w:linePitch="360"/>
        </w:sectPr>
      </w:pPr>
      <w:bookmarkStart w:id="56" w:name="_Toc222589317"/>
    </w:p>
    <w:p w14:paraId="2E099A01" w14:textId="77777777" w:rsidR="006C1CD8" w:rsidRDefault="00000000">
      <w:pPr>
        <w:pStyle w:val="Heading1"/>
      </w:pPr>
      <w:r>
        <w:t>10. Conclusion</w:t>
      </w:r>
      <w:bookmarkEnd w:id="56"/>
    </w:p>
    <w:p w14:paraId="4165F340" w14:textId="77777777" w:rsidR="006C1CD8" w:rsidRDefault="00000000">
      <w:pPr>
        <w:spacing w:after="200" w:line="276" w:lineRule="auto"/>
      </w:pPr>
      <w:r>
        <w:t>We have presented a systematic, falsification-first framework for explaining galaxy rotation-curve anomalies without invoking particulate cold dark matter. The framework:</w:t>
      </w:r>
    </w:p>
    <w:p w14:paraId="7F31C4C0" w14:textId="77777777" w:rsidR="006C1CD8" w:rsidRDefault="00000000">
      <w:pPr>
        <w:spacing w:after="200" w:line="276" w:lineRule="auto"/>
      </w:pPr>
      <w:r>
        <w:t xml:space="preserve">(1) Retains the Einstein field equations in standard form, interpreting the residual acceleration as an effective response-sector stress–energy </w:t>
      </w:r>
      <w:proofErr w:type="spellStart"/>
      <w:r>
        <w:rPr>
          <w:i/>
          <w:iCs/>
        </w:rPr>
        <w:t>T</w:t>
      </w:r>
      <w:r>
        <w:rPr>
          <w:vertAlign w:val="superscript"/>
        </w:rPr>
        <w:t>resp</w:t>
      </w:r>
      <w:r>
        <w:rPr>
          <w:vertAlign w:val="subscript"/>
        </w:rPr>
        <w:t>μν</w:t>
      </w:r>
      <w:proofErr w:type="spellEnd"/>
      <w:r>
        <w:t xml:space="preserve"> rather than a new matter component.</w:t>
      </w:r>
    </w:p>
    <w:p w14:paraId="3355E62C" w14:textId="77777777" w:rsidR="006C1CD8" w:rsidRDefault="00000000">
      <w:pPr>
        <w:spacing w:after="200" w:line="276" w:lineRule="auto"/>
      </w:pPr>
      <w:r>
        <w:t>(2) Compresses the inverse freedom with a boundary-layer closure: an auxiliary scalar field activated near the baryonic transition radius, producing an asymptotic 1/</w:t>
      </w:r>
      <w:r>
        <w:rPr>
          <w:i/>
          <w:iCs/>
        </w:rPr>
        <w:t>R</w:t>
      </w:r>
      <w:r>
        <w:t xml:space="preserve"> tail with a single amplitude parameter </w:t>
      </w:r>
      <w:r>
        <w:rPr>
          <w:i/>
          <w:iCs/>
        </w:rPr>
        <w:t>Q</w:t>
      </w:r>
      <w:r>
        <w:t xml:space="preserve"> per galaxy.</w:t>
      </w:r>
    </w:p>
    <w:p w14:paraId="016BF989" w14:textId="77777777" w:rsidR="006C1CD8" w:rsidRDefault="00000000">
      <w:pPr>
        <w:spacing w:after="200" w:line="276" w:lineRule="auto"/>
      </w:pPr>
      <w:r>
        <w:t>(3) Achieves very strong fit improvement for 92% of 175 SPARC galaxies, passes BIC overfitting tests for 97%, and recovers the baryonic Tully–Fisher relation as an emergent consequence (Spearman ρ = 0.94).</w:t>
      </w:r>
    </w:p>
    <w:p w14:paraId="26509E30" w14:textId="77777777" w:rsidR="006C1CD8" w:rsidRDefault="00000000">
      <w:pPr>
        <w:spacing w:after="200" w:line="276" w:lineRule="auto"/>
      </w:pPr>
      <w:r>
        <w:t>(4) Confirms fitted amplitudes independently via a Huber robust estimator (Spearman ρ ≈ 0.97), providing a model-independent check that the signal reflects outer-region physics.</w:t>
      </w:r>
    </w:p>
    <w:p w14:paraId="7DD171B9" w14:textId="77777777" w:rsidR="006C1CD8" w:rsidRDefault="00000000">
      <w:pPr>
        <w:spacing w:after="200" w:line="276" w:lineRule="auto"/>
      </w:pPr>
      <w:r>
        <w:t>(5) States four explicit falsification criteria, provides a first lensing-facing statement (metric-equivalence working hypothesis with gravitational slip as a key discriminant), and defines the cosmological completion requirements.</w:t>
      </w:r>
    </w:p>
    <w:p w14:paraId="6704CD30" w14:textId="77777777" w:rsidR="006C1CD8" w:rsidRDefault="00000000">
      <w:pPr>
        <w:spacing w:after="200" w:line="276" w:lineRule="auto"/>
      </w:pPr>
      <w:r>
        <w:t>The central claim is deliberately scoped: this work establishes the galaxy-domain closure of the response-sector framework. The response-sector approach does not yet replace ΛCDM—it cannot until lensing, clusters, and cosmological perturbations are addressed. But it demonstrates that the galaxy-scale phenomenology attributed to dark matter admits a precise, low-DOF, falsifiable interpretation within standard GR that does not require a new particle species.</w:t>
      </w:r>
    </w:p>
    <w:p w14:paraId="00553EE4" w14:textId="77777777" w:rsidR="00B555CD" w:rsidRDefault="00000000">
      <w:pPr>
        <w:spacing w:after="200" w:line="276" w:lineRule="auto"/>
      </w:pPr>
      <w:r>
        <w:t xml:space="preserve">The program going forward is defined by the discriminant triad: </w:t>
      </w:r>
    </w:p>
    <w:p w14:paraId="61AD4E31" w14:textId="509D98F3" w:rsidR="00B555CD" w:rsidRDefault="00000000" w:rsidP="00B555CD">
      <w:pPr>
        <w:pStyle w:val="ListParagraph"/>
        <w:numPr>
          <w:ilvl w:val="0"/>
          <w:numId w:val="7"/>
        </w:numPr>
        <w:spacing w:after="200" w:line="276" w:lineRule="auto"/>
      </w:pPr>
      <w:r>
        <w:t xml:space="preserve">continued compression testing as new rotation-curve data become available; </w:t>
      </w:r>
    </w:p>
    <w:p w14:paraId="4DC14D0C" w14:textId="77777777" w:rsidR="00B555CD" w:rsidRDefault="00000000" w:rsidP="00B555CD">
      <w:pPr>
        <w:pStyle w:val="ListParagraph"/>
        <w:numPr>
          <w:ilvl w:val="0"/>
          <w:numId w:val="7"/>
        </w:numPr>
        <w:spacing w:after="200" w:line="276" w:lineRule="auto"/>
      </w:pPr>
      <w:r>
        <w:t xml:space="preserve">(ii) lensing consistency via galaxy–galaxy lensing measurements; and </w:t>
      </w:r>
    </w:p>
    <w:p w14:paraId="50280A87" w14:textId="77777777" w:rsidR="00B555CD" w:rsidRDefault="00000000" w:rsidP="00B555CD">
      <w:pPr>
        <w:pStyle w:val="ListParagraph"/>
        <w:numPr>
          <w:ilvl w:val="0"/>
          <w:numId w:val="7"/>
        </w:numPr>
        <w:spacing w:after="200" w:line="276" w:lineRule="auto"/>
      </w:pPr>
      <w:r>
        <w:t xml:space="preserve">(iii) cosmological viability through perturbation-level analysis. </w:t>
      </w:r>
    </w:p>
    <w:p w14:paraId="3E40A026" w14:textId="62E4C190" w:rsidR="006C1CD8" w:rsidRDefault="00000000" w:rsidP="00B555CD">
      <w:pPr>
        <w:spacing w:after="200" w:line="276" w:lineRule="auto"/>
      </w:pPr>
      <w:r>
        <w:t>If the response sector survives these tests, it becomes a credible ΛCDM-alternative candidate. If it fails any of them in a way that cannot be repaired by a permitted completion route, it is falsified.</w:t>
      </w:r>
    </w:p>
    <w:p w14:paraId="74A147B4" w14:textId="77777777" w:rsidR="00B555CD" w:rsidRDefault="00B555CD">
      <w:pPr>
        <w:pStyle w:val="Heading1"/>
        <w:sectPr w:rsidR="00B555CD">
          <w:pgSz w:w="12240" w:h="15840"/>
          <w:pgMar w:top="1440" w:right="1440" w:bottom="1440" w:left="1440" w:header="708" w:footer="708" w:gutter="0"/>
          <w:cols w:space="720"/>
          <w:docGrid w:linePitch="360"/>
        </w:sectPr>
      </w:pPr>
      <w:bookmarkStart w:id="57" w:name="_Toc222589318"/>
    </w:p>
    <w:p w14:paraId="2A6FB2F3" w14:textId="77777777" w:rsidR="006C1CD8" w:rsidRDefault="00000000">
      <w:pPr>
        <w:pStyle w:val="Heading1"/>
      </w:pPr>
      <w:r>
        <w:t>References</w:t>
      </w:r>
      <w:bookmarkEnd w:id="57"/>
    </w:p>
    <w:p w14:paraId="1A30D46B" w14:textId="77777777" w:rsidR="006C1CD8" w:rsidRDefault="00000000">
      <w:pPr>
        <w:spacing w:after="80"/>
        <w:ind w:left="720" w:hanging="720"/>
      </w:pPr>
      <w:r>
        <w:rPr>
          <w:sz w:val="22"/>
          <w:szCs w:val="22"/>
        </w:rPr>
        <w:t xml:space="preserve">Ackermann, M., et al. (2015). Searching for dark matter annihilation from Milky Way dwarf spheroidal galaxies. Physical Review Letters, 115(23), 231301. </w:t>
      </w:r>
      <w:hyperlink r:id="rId14" w:history="1">
        <w:r>
          <w:rPr>
            <w:rStyle w:val="Hyperlink"/>
            <w:sz w:val="22"/>
            <w:szCs w:val="22"/>
          </w:rPr>
          <w:t>https://doi.org/10.1103/PhysRevLett.115.231301</w:t>
        </w:r>
      </w:hyperlink>
    </w:p>
    <w:p w14:paraId="5E51D2ED" w14:textId="77777777" w:rsidR="006C1CD8" w:rsidRDefault="00000000">
      <w:pPr>
        <w:spacing w:after="80"/>
        <w:ind w:left="720" w:hanging="720"/>
      </w:pPr>
      <w:r>
        <w:rPr>
          <w:sz w:val="22"/>
          <w:szCs w:val="22"/>
        </w:rPr>
        <w:t xml:space="preserve">Aguilar, M., et al. (2013). First result from the Alpha Magnetic Spectrometer on the International Space Station. Physical Review Letters, 110(14), 141102. </w:t>
      </w:r>
      <w:hyperlink r:id="rId15" w:history="1">
        <w:r>
          <w:rPr>
            <w:rStyle w:val="Hyperlink"/>
            <w:sz w:val="22"/>
            <w:szCs w:val="22"/>
          </w:rPr>
          <w:t>https://doi.org/10.1103/PhysRevLett.110.141102</w:t>
        </w:r>
      </w:hyperlink>
    </w:p>
    <w:p w14:paraId="0415C7EF" w14:textId="77777777" w:rsidR="006C1CD8" w:rsidRDefault="00000000">
      <w:pPr>
        <w:spacing w:after="80"/>
        <w:ind w:left="720" w:hanging="720"/>
      </w:pPr>
      <w:proofErr w:type="spellStart"/>
      <w:r>
        <w:rPr>
          <w:sz w:val="22"/>
          <w:szCs w:val="22"/>
        </w:rPr>
        <w:t>Akerib</w:t>
      </w:r>
      <w:proofErr w:type="spellEnd"/>
      <w:r>
        <w:rPr>
          <w:sz w:val="22"/>
          <w:szCs w:val="22"/>
        </w:rPr>
        <w:t xml:space="preserve">, D. S., et al. (2017). Results from a search for dark matter in the complete LUX exposure. Physical Review Letters, 118(2), 021303. </w:t>
      </w:r>
      <w:hyperlink r:id="rId16" w:history="1">
        <w:r>
          <w:rPr>
            <w:rStyle w:val="Hyperlink"/>
            <w:sz w:val="22"/>
            <w:szCs w:val="22"/>
          </w:rPr>
          <w:t>https://doi.org/10.1103/PhysRevLett.118.021303</w:t>
        </w:r>
      </w:hyperlink>
    </w:p>
    <w:p w14:paraId="52A3DCA3" w14:textId="77777777" w:rsidR="006C1CD8" w:rsidRDefault="00000000">
      <w:pPr>
        <w:spacing w:after="80"/>
        <w:ind w:left="720" w:hanging="720"/>
      </w:pPr>
      <w:r>
        <w:rPr>
          <w:sz w:val="22"/>
          <w:szCs w:val="22"/>
        </w:rPr>
        <w:t xml:space="preserve">Aprile, E., et al. (2018). Dark matter search results from a one-ton-year exposure of XENON1T. Physical Review Letters, 121(11), 111302. </w:t>
      </w:r>
      <w:hyperlink r:id="rId17" w:history="1">
        <w:r>
          <w:rPr>
            <w:rStyle w:val="Hyperlink"/>
            <w:sz w:val="22"/>
            <w:szCs w:val="22"/>
          </w:rPr>
          <w:t>https://doi.org/10.1103/PhysRevLett.121.111302</w:t>
        </w:r>
      </w:hyperlink>
    </w:p>
    <w:p w14:paraId="7354379F" w14:textId="77777777" w:rsidR="006C1CD8" w:rsidRDefault="00000000">
      <w:pPr>
        <w:spacing w:after="80"/>
        <w:ind w:left="720" w:hanging="720"/>
      </w:pPr>
      <w:proofErr w:type="spellStart"/>
      <w:r>
        <w:rPr>
          <w:sz w:val="22"/>
          <w:szCs w:val="22"/>
        </w:rPr>
        <w:t>Bekenstein</w:t>
      </w:r>
      <w:proofErr w:type="spellEnd"/>
      <w:r>
        <w:rPr>
          <w:sz w:val="22"/>
          <w:szCs w:val="22"/>
        </w:rPr>
        <w:t xml:space="preserve">, J. D. (2004). Relativistic gravitation theory for the modified Newtonian dynamics paradigm. Physical Review D, 70(8), 083509. </w:t>
      </w:r>
      <w:hyperlink r:id="rId18" w:history="1">
        <w:r>
          <w:rPr>
            <w:rStyle w:val="Hyperlink"/>
            <w:sz w:val="22"/>
            <w:szCs w:val="22"/>
          </w:rPr>
          <w:t>https://doi.org/10.1103/PhysRevD.70.083509</w:t>
        </w:r>
      </w:hyperlink>
    </w:p>
    <w:p w14:paraId="00E6C9E0" w14:textId="77777777" w:rsidR="006C1CD8" w:rsidRDefault="00000000">
      <w:pPr>
        <w:spacing w:after="80"/>
        <w:ind w:left="720" w:hanging="720"/>
      </w:pPr>
      <w:r>
        <w:rPr>
          <w:sz w:val="22"/>
          <w:szCs w:val="22"/>
        </w:rPr>
        <w:t xml:space="preserve">Bender, C. M., &amp; Orszag, S. A. (1999). Advanced Mathematical Methods for Scientists and Engineers I. Springer. </w:t>
      </w:r>
      <w:hyperlink r:id="rId19" w:history="1">
        <w:r>
          <w:rPr>
            <w:rStyle w:val="Hyperlink"/>
            <w:sz w:val="22"/>
            <w:szCs w:val="22"/>
          </w:rPr>
          <w:t>https://doi.org/10.1007/978-1-4757-3069-2</w:t>
        </w:r>
      </w:hyperlink>
    </w:p>
    <w:p w14:paraId="30DB3446" w14:textId="77777777" w:rsidR="006C1CD8" w:rsidRDefault="00000000">
      <w:pPr>
        <w:spacing w:after="80"/>
        <w:ind w:left="720" w:hanging="720"/>
      </w:pPr>
      <w:r>
        <w:rPr>
          <w:sz w:val="22"/>
          <w:szCs w:val="22"/>
        </w:rPr>
        <w:t>Bosma, A. (1978). The distribution and kinematics of neutral hydrogen in spiral galaxies of type Sab–</w:t>
      </w:r>
      <w:proofErr w:type="spellStart"/>
      <w:r>
        <w:rPr>
          <w:sz w:val="22"/>
          <w:szCs w:val="22"/>
        </w:rPr>
        <w:t>Scd</w:t>
      </w:r>
      <w:proofErr w:type="spellEnd"/>
      <w:r>
        <w:rPr>
          <w:sz w:val="22"/>
          <w:szCs w:val="22"/>
        </w:rPr>
        <w:t>. PhD Thesis, University of Groningen.</w:t>
      </w:r>
    </w:p>
    <w:p w14:paraId="6471271D" w14:textId="77777777" w:rsidR="006C1CD8" w:rsidRDefault="00000000">
      <w:pPr>
        <w:spacing w:after="80"/>
        <w:ind w:left="720" w:hanging="720"/>
      </w:pPr>
      <w:r>
        <w:rPr>
          <w:sz w:val="22"/>
          <w:szCs w:val="22"/>
        </w:rPr>
        <w:t xml:space="preserve">Buchert, T. (2000). On average properties of inhomogeneous fluids in general relativity: Dust cosmologies. General Relativity and Gravitation, 32(1), 105–125. </w:t>
      </w:r>
      <w:hyperlink r:id="rId20" w:history="1">
        <w:r>
          <w:rPr>
            <w:rStyle w:val="Hyperlink"/>
            <w:sz w:val="22"/>
            <w:szCs w:val="22"/>
          </w:rPr>
          <w:t>https://doi.org/10.1023/A:1001800617177</w:t>
        </w:r>
      </w:hyperlink>
    </w:p>
    <w:p w14:paraId="63F66607" w14:textId="77777777" w:rsidR="006C1CD8" w:rsidRDefault="00000000">
      <w:pPr>
        <w:spacing w:after="80"/>
        <w:ind w:left="720" w:hanging="720"/>
      </w:pPr>
      <w:r>
        <w:rPr>
          <w:sz w:val="22"/>
          <w:szCs w:val="22"/>
        </w:rPr>
        <w:t xml:space="preserve">Burgess, C. P. (2004). Quantum gravity in everyday life: General relativity as an effective field theory. Living Reviews in Relativity, 7(1), 5. </w:t>
      </w:r>
      <w:hyperlink r:id="rId21" w:history="1">
        <w:r>
          <w:rPr>
            <w:rStyle w:val="Hyperlink"/>
            <w:sz w:val="22"/>
            <w:szCs w:val="22"/>
          </w:rPr>
          <w:t>https://doi.org/10.12942/lrr-2004-5</w:t>
        </w:r>
      </w:hyperlink>
    </w:p>
    <w:p w14:paraId="7EB4FEA5" w14:textId="77777777" w:rsidR="006C1CD8" w:rsidRDefault="00000000">
      <w:pPr>
        <w:spacing w:after="80"/>
        <w:ind w:left="720" w:hanging="720"/>
      </w:pPr>
      <w:r>
        <w:rPr>
          <w:sz w:val="22"/>
          <w:szCs w:val="22"/>
        </w:rPr>
        <w:t>Carroll, S. M. (2004). Spacetime and Geometry: An Introduction to General Relativity. Addison-Wesley.</w:t>
      </w:r>
    </w:p>
    <w:p w14:paraId="0099F38F" w14:textId="77777777" w:rsidR="006C1CD8" w:rsidRDefault="00000000">
      <w:pPr>
        <w:spacing w:after="80"/>
        <w:ind w:left="720" w:hanging="720"/>
      </w:pPr>
      <w:r>
        <w:rPr>
          <w:sz w:val="22"/>
          <w:szCs w:val="22"/>
        </w:rPr>
        <w:t xml:space="preserve">Clowe, D., et al. (2006). A direct empirical proof of the existence of dark matter. Astrophysical Journal Letters, 648(2), L109–L113. </w:t>
      </w:r>
      <w:hyperlink r:id="rId22" w:history="1">
        <w:r>
          <w:rPr>
            <w:rStyle w:val="Hyperlink"/>
            <w:sz w:val="22"/>
            <w:szCs w:val="22"/>
          </w:rPr>
          <w:t>https://doi.org/10.1086/508162</w:t>
        </w:r>
      </w:hyperlink>
    </w:p>
    <w:p w14:paraId="2D2172EB" w14:textId="77777777" w:rsidR="006C1CD8" w:rsidRDefault="00000000">
      <w:pPr>
        <w:spacing w:after="80"/>
        <w:ind w:left="720" w:hanging="720"/>
      </w:pPr>
      <w:r>
        <w:rPr>
          <w:sz w:val="22"/>
          <w:szCs w:val="22"/>
        </w:rPr>
        <w:t xml:space="preserve">Cui, X., et al. (2017). Dark matter results from 54-ton-day exposure of PandaX-II experiment. Physical Review Letters, 119(18), 181302. </w:t>
      </w:r>
      <w:hyperlink r:id="rId23" w:history="1">
        <w:r>
          <w:rPr>
            <w:rStyle w:val="Hyperlink"/>
            <w:sz w:val="22"/>
            <w:szCs w:val="22"/>
          </w:rPr>
          <w:t>https://doi.org/10.1103/PhysRevLett.119.181302</w:t>
        </w:r>
      </w:hyperlink>
    </w:p>
    <w:p w14:paraId="77425D29" w14:textId="77777777" w:rsidR="006C1CD8" w:rsidRDefault="00000000">
      <w:pPr>
        <w:spacing w:after="80"/>
        <w:ind w:left="720" w:hanging="720"/>
      </w:pPr>
      <w:proofErr w:type="spellStart"/>
      <w:r>
        <w:rPr>
          <w:sz w:val="22"/>
          <w:szCs w:val="22"/>
        </w:rPr>
        <w:t>Deser</w:t>
      </w:r>
      <w:proofErr w:type="spellEnd"/>
      <w:r>
        <w:rPr>
          <w:sz w:val="22"/>
          <w:szCs w:val="22"/>
        </w:rPr>
        <w:t xml:space="preserve">, S., &amp; Woodard, R. P. (2007). Nonlocal cosmology. Physical Review Letters, 99(11), 111301. </w:t>
      </w:r>
      <w:hyperlink r:id="rId24" w:history="1">
        <w:r>
          <w:rPr>
            <w:rStyle w:val="Hyperlink"/>
            <w:sz w:val="22"/>
            <w:szCs w:val="22"/>
          </w:rPr>
          <w:t>https://doi.org/10.1103/PhysRevLett.99.111301</w:t>
        </w:r>
      </w:hyperlink>
    </w:p>
    <w:p w14:paraId="47FCF7A6" w14:textId="77777777" w:rsidR="006C1CD8" w:rsidRDefault="00000000">
      <w:pPr>
        <w:spacing w:after="80"/>
        <w:ind w:left="720" w:hanging="720"/>
      </w:pPr>
      <w:r>
        <w:rPr>
          <w:sz w:val="22"/>
          <w:szCs w:val="22"/>
        </w:rPr>
        <w:t xml:space="preserve">Donoghue, J. F. (1994). General relativity as an effective field theory: The leading quantum corrections. Physical Review D, 50(6), 3874–3888. </w:t>
      </w:r>
      <w:hyperlink r:id="rId25" w:history="1">
        <w:r>
          <w:rPr>
            <w:rStyle w:val="Hyperlink"/>
            <w:sz w:val="22"/>
            <w:szCs w:val="22"/>
          </w:rPr>
          <w:t>https://doi.org/10.1103/PhysRevD.50.3874</w:t>
        </w:r>
      </w:hyperlink>
    </w:p>
    <w:p w14:paraId="4EB58660" w14:textId="77777777" w:rsidR="006C1CD8" w:rsidRDefault="00000000">
      <w:pPr>
        <w:spacing w:after="80"/>
        <w:ind w:left="720" w:hanging="720"/>
      </w:pPr>
      <w:r>
        <w:rPr>
          <w:sz w:val="22"/>
          <w:szCs w:val="22"/>
        </w:rPr>
        <w:t xml:space="preserve">Einstein, A. (1915). </w:t>
      </w:r>
      <w:proofErr w:type="spellStart"/>
      <w:r>
        <w:rPr>
          <w:sz w:val="22"/>
          <w:szCs w:val="22"/>
        </w:rPr>
        <w:t>Erklärung</w:t>
      </w:r>
      <w:proofErr w:type="spellEnd"/>
      <w:r>
        <w:rPr>
          <w:sz w:val="22"/>
          <w:szCs w:val="22"/>
        </w:rPr>
        <w:t xml:space="preserve"> der </w:t>
      </w:r>
      <w:proofErr w:type="spellStart"/>
      <w:r>
        <w:rPr>
          <w:sz w:val="22"/>
          <w:szCs w:val="22"/>
        </w:rPr>
        <w:t>Perihelbewegung</w:t>
      </w:r>
      <w:proofErr w:type="spellEnd"/>
      <w:r>
        <w:rPr>
          <w:sz w:val="22"/>
          <w:szCs w:val="22"/>
        </w:rPr>
        <w:t xml:space="preserve"> des Merkur </w:t>
      </w:r>
      <w:proofErr w:type="spellStart"/>
      <w:r>
        <w:rPr>
          <w:sz w:val="22"/>
          <w:szCs w:val="22"/>
        </w:rPr>
        <w:t>aus</w:t>
      </w:r>
      <w:proofErr w:type="spellEnd"/>
      <w:r>
        <w:rPr>
          <w:sz w:val="22"/>
          <w:szCs w:val="22"/>
        </w:rPr>
        <w:t xml:space="preserve"> der </w:t>
      </w:r>
      <w:proofErr w:type="spellStart"/>
      <w:r>
        <w:rPr>
          <w:sz w:val="22"/>
          <w:szCs w:val="22"/>
        </w:rPr>
        <w:t>allgemeinen</w:t>
      </w:r>
      <w:proofErr w:type="spellEnd"/>
      <w:r>
        <w:rPr>
          <w:sz w:val="22"/>
          <w:szCs w:val="22"/>
        </w:rPr>
        <w:t xml:space="preserve"> </w:t>
      </w:r>
      <w:proofErr w:type="spellStart"/>
      <w:r>
        <w:rPr>
          <w:sz w:val="22"/>
          <w:szCs w:val="22"/>
        </w:rPr>
        <w:t>Relativitätstheorie</w:t>
      </w:r>
      <w:proofErr w:type="spellEnd"/>
      <w:r>
        <w:rPr>
          <w:sz w:val="22"/>
          <w:szCs w:val="22"/>
        </w:rPr>
        <w:t xml:space="preserve">. </w:t>
      </w:r>
      <w:proofErr w:type="spellStart"/>
      <w:r>
        <w:rPr>
          <w:sz w:val="22"/>
          <w:szCs w:val="22"/>
        </w:rPr>
        <w:t>Sitzungsberichte</w:t>
      </w:r>
      <w:proofErr w:type="spellEnd"/>
      <w:r>
        <w:rPr>
          <w:sz w:val="22"/>
          <w:szCs w:val="22"/>
        </w:rPr>
        <w:t xml:space="preserve"> der </w:t>
      </w:r>
      <w:proofErr w:type="spellStart"/>
      <w:r>
        <w:rPr>
          <w:sz w:val="22"/>
          <w:szCs w:val="22"/>
        </w:rPr>
        <w:t>Königlich</w:t>
      </w:r>
      <w:proofErr w:type="spellEnd"/>
      <w:r>
        <w:rPr>
          <w:sz w:val="22"/>
          <w:szCs w:val="22"/>
        </w:rPr>
        <w:t xml:space="preserve"> </w:t>
      </w:r>
      <w:proofErr w:type="spellStart"/>
      <w:r>
        <w:rPr>
          <w:sz w:val="22"/>
          <w:szCs w:val="22"/>
        </w:rPr>
        <w:t>Preußischen</w:t>
      </w:r>
      <w:proofErr w:type="spellEnd"/>
      <w:r>
        <w:rPr>
          <w:sz w:val="22"/>
          <w:szCs w:val="22"/>
        </w:rPr>
        <w:t xml:space="preserve"> Akademie der </w:t>
      </w:r>
      <w:proofErr w:type="spellStart"/>
      <w:r>
        <w:rPr>
          <w:sz w:val="22"/>
          <w:szCs w:val="22"/>
        </w:rPr>
        <w:t>Wissenschaften</w:t>
      </w:r>
      <w:proofErr w:type="spellEnd"/>
      <w:r>
        <w:rPr>
          <w:sz w:val="22"/>
          <w:szCs w:val="22"/>
        </w:rPr>
        <w:t>, 831–839.</w:t>
      </w:r>
    </w:p>
    <w:p w14:paraId="24F1005F" w14:textId="77777777" w:rsidR="006C1CD8" w:rsidRDefault="00000000">
      <w:pPr>
        <w:spacing w:after="80"/>
        <w:ind w:left="720" w:hanging="720"/>
      </w:pPr>
      <w:r>
        <w:rPr>
          <w:sz w:val="22"/>
          <w:szCs w:val="22"/>
        </w:rPr>
        <w:t xml:space="preserve">Einstein, A. (1916). Die </w:t>
      </w:r>
      <w:proofErr w:type="spellStart"/>
      <w:r>
        <w:rPr>
          <w:sz w:val="22"/>
          <w:szCs w:val="22"/>
        </w:rPr>
        <w:t>Grundlage</w:t>
      </w:r>
      <w:proofErr w:type="spellEnd"/>
      <w:r>
        <w:rPr>
          <w:sz w:val="22"/>
          <w:szCs w:val="22"/>
        </w:rPr>
        <w:t xml:space="preserve"> der </w:t>
      </w:r>
      <w:proofErr w:type="spellStart"/>
      <w:r>
        <w:rPr>
          <w:sz w:val="22"/>
          <w:szCs w:val="22"/>
        </w:rPr>
        <w:t>allgemeinen</w:t>
      </w:r>
      <w:proofErr w:type="spellEnd"/>
      <w:r>
        <w:rPr>
          <w:sz w:val="22"/>
          <w:szCs w:val="22"/>
        </w:rPr>
        <w:t xml:space="preserve"> </w:t>
      </w:r>
      <w:proofErr w:type="spellStart"/>
      <w:r>
        <w:rPr>
          <w:sz w:val="22"/>
          <w:szCs w:val="22"/>
        </w:rPr>
        <w:t>Relativitätstheorie</w:t>
      </w:r>
      <w:proofErr w:type="spellEnd"/>
      <w:r>
        <w:rPr>
          <w:sz w:val="22"/>
          <w:szCs w:val="22"/>
        </w:rPr>
        <w:t xml:space="preserve">. Annalen der </w:t>
      </w:r>
      <w:proofErr w:type="spellStart"/>
      <w:r>
        <w:rPr>
          <w:sz w:val="22"/>
          <w:szCs w:val="22"/>
        </w:rPr>
        <w:t>Physik</w:t>
      </w:r>
      <w:proofErr w:type="spellEnd"/>
      <w:r>
        <w:rPr>
          <w:sz w:val="22"/>
          <w:szCs w:val="22"/>
        </w:rPr>
        <w:t>, 354(7), 769–822.</w:t>
      </w:r>
    </w:p>
    <w:p w14:paraId="4CA7FAC7" w14:textId="77777777" w:rsidR="006C1CD8" w:rsidRDefault="00000000">
      <w:pPr>
        <w:spacing w:after="80"/>
        <w:ind w:left="720" w:hanging="720"/>
      </w:pPr>
      <w:r>
        <w:rPr>
          <w:sz w:val="22"/>
          <w:szCs w:val="22"/>
        </w:rPr>
        <w:t xml:space="preserve">Kevorkian, J., &amp; Cole, J. D. (1996). Multiple Scale and Singular Perturbation Methods. Springer. </w:t>
      </w:r>
      <w:hyperlink r:id="rId26" w:history="1">
        <w:r>
          <w:rPr>
            <w:rStyle w:val="Hyperlink"/>
            <w:sz w:val="22"/>
            <w:szCs w:val="22"/>
          </w:rPr>
          <w:t>https://doi.org/10.1007/978-1-4612-3968-4</w:t>
        </w:r>
      </w:hyperlink>
    </w:p>
    <w:p w14:paraId="634C7BF5" w14:textId="77777777" w:rsidR="006C1CD8" w:rsidRDefault="00000000">
      <w:pPr>
        <w:spacing w:after="80"/>
        <w:ind w:left="720" w:hanging="720"/>
      </w:pPr>
      <w:r>
        <w:rPr>
          <w:sz w:val="22"/>
          <w:szCs w:val="22"/>
        </w:rPr>
        <w:t xml:space="preserve">Le Verrier, U. J. (1859). </w:t>
      </w:r>
      <w:proofErr w:type="spellStart"/>
      <w:r>
        <w:rPr>
          <w:sz w:val="22"/>
          <w:szCs w:val="22"/>
        </w:rPr>
        <w:t>Théorie</w:t>
      </w:r>
      <w:proofErr w:type="spellEnd"/>
      <w:r>
        <w:rPr>
          <w:sz w:val="22"/>
          <w:szCs w:val="22"/>
        </w:rPr>
        <w:t xml:space="preserve"> du </w:t>
      </w:r>
      <w:proofErr w:type="spellStart"/>
      <w:r>
        <w:rPr>
          <w:sz w:val="22"/>
          <w:szCs w:val="22"/>
        </w:rPr>
        <w:t>mouvement</w:t>
      </w:r>
      <w:proofErr w:type="spellEnd"/>
      <w:r>
        <w:rPr>
          <w:sz w:val="22"/>
          <w:szCs w:val="22"/>
        </w:rPr>
        <w:t xml:space="preserve"> de Mercure. Annales de </w:t>
      </w:r>
      <w:proofErr w:type="spellStart"/>
      <w:r>
        <w:rPr>
          <w:sz w:val="22"/>
          <w:szCs w:val="22"/>
        </w:rPr>
        <w:t>l’Observatoire</w:t>
      </w:r>
      <w:proofErr w:type="spellEnd"/>
      <w:r>
        <w:rPr>
          <w:sz w:val="22"/>
          <w:szCs w:val="22"/>
        </w:rPr>
        <w:t xml:space="preserve"> de Paris, 5, 1–196.</w:t>
      </w:r>
    </w:p>
    <w:p w14:paraId="083C53C7" w14:textId="77777777" w:rsidR="006C1CD8" w:rsidRDefault="00000000">
      <w:pPr>
        <w:spacing w:after="80"/>
        <w:ind w:left="720" w:hanging="720"/>
      </w:pPr>
      <w:r>
        <w:rPr>
          <w:sz w:val="22"/>
          <w:szCs w:val="22"/>
        </w:rPr>
        <w:t xml:space="preserve">Lelli, F., McGaugh, S. S., &amp; </w:t>
      </w:r>
      <w:proofErr w:type="spellStart"/>
      <w:r>
        <w:rPr>
          <w:sz w:val="22"/>
          <w:szCs w:val="22"/>
        </w:rPr>
        <w:t>Schombert</w:t>
      </w:r>
      <w:proofErr w:type="spellEnd"/>
      <w:r>
        <w:rPr>
          <w:sz w:val="22"/>
          <w:szCs w:val="22"/>
        </w:rPr>
        <w:t xml:space="preserve">, J. M. (2016). SPARC: Mass models for 175 disk galaxies with Spitzer photometry and accurate rotation curves. The Astronomical Journal, 152(6), 157. </w:t>
      </w:r>
      <w:hyperlink r:id="rId27" w:history="1">
        <w:r>
          <w:rPr>
            <w:rStyle w:val="Hyperlink"/>
            <w:sz w:val="22"/>
            <w:szCs w:val="22"/>
          </w:rPr>
          <w:t>https://doi.org/10.3847/0004-6256/152/6/157</w:t>
        </w:r>
      </w:hyperlink>
    </w:p>
    <w:p w14:paraId="0D66B0BE" w14:textId="77777777" w:rsidR="006C1CD8" w:rsidRDefault="00000000">
      <w:pPr>
        <w:spacing w:after="80"/>
        <w:ind w:left="720" w:hanging="720"/>
      </w:pPr>
      <w:r>
        <w:rPr>
          <w:sz w:val="22"/>
          <w:szCs w:val="22"/>
        </w:rPr>
        <w:t xml:space="preserve">McGaugh, S. S., &amp; </w:t>
      </w:r>
      <w:proofErr w:type="spellStart"/>
      <w:r>
        <w:rPr>
          <w:sz w:val="22"/>
          <w:szCs w:val="22"/>
        </w:rPr>
        <w:t>Schombert</w:t>
      </w:r>
      <w:proofErr w:type="spellEnd"/>
      <w:r>
        <w:rPr>
          <w:sz w:val="22"/>
          <w:szCs w:val="22"/>
        </w:rPr>
        <w:t xml:space="preserve">, J. M. (2014). Color–mass-to-light-ratio relations for disk galaxies. The Astronomical Journal, 148(5), 77. </w:t>
      </w:r>
      <w:hyperlink r:id="rId28" w:history="1">
        <w:r>
          <w:rPr>
            <w:rStyle w:val="Hyperlink"/>
            <w:sz w:val="22"/>
            <w:szCs w:val="22"/>
          </w:rPr>
          <w:t>https://doi.org/10.1088/0004-6256/148/5/77</w:t>
        </w:r>
      </w:hyperlink>
    </w:p>
    <w:p w14:paraId="37972C63" w14:textId="77777777" w:rsidR="006C1CD8" w:rsidRDefault="00000000">
      <w:pPr>
        <w:spacing w:after="80"/>
        <w:ind w:left="720" w:hanging="720"/>
      </w:pPr>
      <w:r>
        <w:rPr>
          <w:sz w:val="22"/>
          <w:szCs w:val="22"/>
        </w:rPr>
        <w:t xml:space="preserve">McGaugh, S. S., Schombert, J. M., Bothun, G. D., &amp; de Blok, W. J. G. (2000). The baryonic Tully–Fisher relation. The Astrophysical Journal, 533(2), L99–L102. </w:t>
      </w:r>
      <w:hyperlink r:id="rId29" w:history="1">
        <w:r>
          <w:rPr>
            <w:rStyle w:val="Hyperlink"/>
            <w:sz w:val="22"/>
            <w:szCs w:val="22"/>
          </w:rPr>
          <w:t>https://doi.org/10.1086/312628</w:t>
        </w:r>
      </w:hyperlink>
    </w:p>
    <w:p w14:paraId="3D8E90C1" w14:textId="77777777" w:rsidR="006C1CD8" w:rsidRDefault="00000000">
      <w:pPr>
        <w:spacing w:after="80"/>
        <w:ind w:left="720" w:hanging="720"/>
      </w:pPr>
      <w:r>
        <w:rPr>
          <w:sz w:val="22"/>
          <w:szCs w:val="22"/>
        </w:rPr>
        <w:t xml:space="preserve">Milgrom, M. (1983). A modification of the Newtonian dynamics as a possible alternative to the hidden mass hypothesis. The Astrophysical Journal, 270, 365–370. </w:t>
      </w:r>
      <w:hyperlink r:id="rId30" w:history="1">
        <w:r>
          <w:rPr>
            <w:rStyle w:val="Hyperlink"/>
            <w:sz w:val="22"/>
            <w:szCs w:val="22"/>
          </w:rPr>
          <w:t>https://doi.org/10.1086/161130</w:t>
        </w:r>
      </w:hyperlink>
    </w:p>
    <w:p w14:paraId="21541E32" w14:textId="77777777" w:rsidR="006C1CD8" w:rsidRDefault="00000000">
      <w:pPr>
        <w:spacing w:after="80"/>
        <w:ind w:left="720" w:hanging="720"/>
      </w:pPr>
      <w:r>
        <w:rPr>
          <w:sz w:val="22"/>
          <w:szCs w:val="22"/>
        </w:rPr>
        <w:t xml:space="preserve">Planck Collaboration. (2020). Planck 2018 results. VI. Cosmological parameters. Astronomy &amp; Astrophysics, 641, A6. </w:t>
      </w:r>
      <w:hyperlink r:id="rId31" w:history="1">
        <w:r>
          <w:rPr>
            <w:rStyle w:val="Hyperlink"/>
            <w:sz w:val="22"/>
            <w:szCs w:val="22"/>
          </w:rPr>
          <w:t>https://doi.org/10.1051/0004-6361/201833910</w:t>
        </w:r>
      </w:hyperlink>
    </w:p>
    <w:p w14:paraId="33173516" w14:textId="77777777" w:rsidR="006C1CD8" w:rsidRDefault="00000000">
      <w:pPr>
        <w:spacing w:after="80"/>
        <w:ind w:left="720" w:hanging="720"/>
      </w:pPr>
      <w:r>
        <w:rPr>
          <w:sz w:val="22"/>
          <w:szCs w:val="22"/>
        </w:rPr>
        <w:t>Poisson, E., &amp; Will, C. M. (2014). Gravity: Newtonian, Post-Newtonian, Relativistic. Cambridge University Press.</w:t>
      </w:r>
    </w:p>
    <w:p w14:paraId="1C5C6D6D" w14:textId="77777777" w:rsidR="006C1CD8" w:rsidRDefault="00000000">
      <w:pPr>
        <w:spacing w:after="80"/>
        <w:ind w:left="720" w:hanging="720"/>
      </w:pPr>
      <w:r>
        <w:rPr>
          <w:sz w:val="22"/>
          <w:szCs w:val="22"/>
        </w:rPr>
        <w:t xml:space="preserve">Räsänen, S. (2006). Accelerated expansion from structure formation. Journal of Cosmology and </w:t>
      </w:r>
      <w:proofErr w:type="spellStart"/>
      <w:r>
        <w:rPr>
          <w:sz w:val="22"/>
          <w:szCs w:val="22"/>
        </w:rPr>
        <w:t>Astroparticle</w:t>
      </w:r>
      <w:proofErr w:type="spellEnd"/>
      <w:r>
        <w:rPr>
          <w:sz w:val="22"/>
          <w:szCs w:val="22"/>
        </w:rPr>
        <w:t xml:space="preserve"> Physics, 2006(11), 003. </w:t>
      </w:r>
      <w:hyperlink r:id="rId32" w:history="1">
        <w:r>
          <w:rPr>
            <w:rStyle w:val="Hyperlink"/>
            <w:sz w:val="22"/>
            <w:szCs w:val="22"/>
          </w:rPr>
          <w:t>https://doi.org/10.1088/1475-7516/2006/11/003</w:t>
        </w:r>
      </w:hyperlink>
    </w:p>
    <w:p w14:paraId="20DEBFAC" w14:textId="77777777" w:rsidR="006C1CD8" w:rsidRDefault="00000000">
      <w:pPr>
        <w:spacing w:after="80"/>
        <w:ind w:left="720" w:hanging="720"/>
      </w:pPr>
      <w:r>
        <w:rPr>
          <w:sz w:val="22"/>
          <w:szCs w:val="22"/>
        </w:rPr>
        <w:t xml:space="preserve">Riess, A. G., et al. (2019). Large Magellanic Cloud Cepheid standards provide a 1% foundation for the determination of the Hubble constant. The Astrophysical Journal, 876(1), 85. </w:t>
      </w:r>
      <w:hyperlink r:id="rId33" w:history="1">
        <w:r>
          <w:rPr>
            <w:rStyle w:val="Hyperlink"/>
            <w:sz w:val="22"/>
            <w:szCs w:val="22"/>
          </w:rPr>
          <w:t>https://doi.org/10.3847/1538-4357/ab1422</w:t>
        </w:r>
      </w:hyperlink>
    </w:p>
    <w:p w14:paraId="1C6BF17E" w14:textId="77777777" w:rsidR="006C1CD8" w:rsidRDefault="00000000">
      <w:pPr>
        <w:spacing w:after="80"/>
        <w:ind w:left="720" w:hanging="720"/>
      </w:pPr>
      <w:r>
        <w:rPr>
          <w:sz w:val="22"/>
          <w:szCs w:val="22"/>
        </w:rPr>
        <w:t xml:space="preserve">Rubin, V. C., &amp; Ford, W. K. (1970). Rotation of the Andromeda Nebula from a spectroscopic survey of emission regions. The Astrophysical Journal, 159, 379. </w:t>
      </w:r>
      <w:hyperlink r:id="rId34" w:history="1">
        <w:r>
          <w:rPr>
            <w:rStyle w:val="Hyperlink"/>
            <w:sz w:val="22"/>
            <w:szCs w:val="22"/>
          </w:rPr>
          <w:t>https://doi.org/10.1086/150317</w:t>
        </w:r>
      </w:hyperlink>
    </w:p>
    <w:p w14:paraId="741C379A" w14:textId="77777777" w:rsidR="006C1CD8" w:rsidRDefault="00000000">
      <w:pPr>
        <w:spacing w:after="80"/>
        <w:ind w:left="720" w:hanging="720"/>
      </w:pPr>
      <w:r>
        <w:rPr>
          <w:sz w:val="22"/>
          <w:szCs w:val="22"/>
        </w:rPr>
        <w:t xml:space="preserve">Verlinde, E. (2017). Emergent gravity and the dark universe. </w:t>
      </w:r>
      <w:proofErr w:type="spellStart"/>
      <w:r>
        <w:rPr>
          <w:sz w:val="22"/>
          <w:szCs w:val="22"/>
        </w:rPr>
        <w:t>SciPost</w:t>
      </w:r>
      <w:proofErr w:type="spellEnd"/>
      <w:r>
        <w:rPr>
          <w:sz w:val="22"/>
          <w:szCs w:val="22"/>
        </w:rPr>
        <w:t xml:space="preserve"> Physics, 2, 016. </w:t>
      </w:r>
      <w:hyperlink r:id="rId35" w:history="1">
        <w:r>
          <w:rPr>
            <w:rStyle w:val="Hyperlink"/>
            <w:sz w:val="22"/>
            <w:szCs w:val="22"/>
          </w:rPr>
          <w:t>https://doi.org/10.21468/SciPostPhys.2.3.016</w:t>
        </w:r>
      </w:hyperlink>
    </w:p>
    <w:p w14:paraId="798DFE10" w14:textId="77777777" w:rsidR="006C1CD8" w:rsidRDefault="00000000">
      <w:pPr>
        <w:spacing w:after="80"/>
        <w:ind w:left="720" w:hanging="720"/>
      </w:pPr>
      <w:r>
        <w:rPr>
          <w:sz w:val="22"/>
          <w:szCs w:val="22"/>
        </w:rPr>
        <w:t>Wald, R. M. (1984). General Relativity. University of Chicago Press.</w:t>
      </w:r>
    </w:p>
    <w:p w14:paraId="57589409" w14:textId="77777777" w:rsidR="006C1CD8" w:rsidRDefault="00000000">
      <w:pPr>
        <w:spacing w:after="80"/>
        <w:ind w:left="720" w:hanging="720"/>
      </w:pPr>
      <w:r>
        <w:rPr>
          <w:sz w:val="22"/>
          <w:szCs w:val="22"/>
        </w:rPr>
        <w:t xml:space="preserve">Zwicky, F. (1933). Die </w:t>
      </w:r>
      <w:proofErr w:type="spellStart"/>
      <w:r>
        <w:rPr>
          <w:sz w:val="22"/>
          <w:szCs w:val="22"/>
        </w:rPr>
        <w:t>Rotverschiebung</w:t>
      </w:r>
      <w:proofErr w:type="spellEnd"/>
      <w:r>
        <w:rPr>
          <w:sz w:val="22"/>
          <w:szCs w:val="22"/>
        </w:rPr>
        <w:t xml:space="preserve"> von </w:t>
      </w:r>
      <w:proofErr w:type="spellStart"/>
      <w:r>
        <w:rPr>
          <w:sz w:val="22"/>
          <w:szCs w:val="22"/>
        </w:rPr>
        <w:t>extragalaktischen</w:t>
      </w:r>
      <w:proofErr w:type="spellEnd"/>
      <w:r>
        <w:rPr>
          <w:sz w:val="22"/>
          <w:szCs w:val="22"/>
        </w:rPr>
        <w:t xml:space="preserve"> </w:t>
      </w:r>
      <w:proofErr w:type="spellStart"/>
      <w:r>
        <w:rPr>
          <w:sz w:val="22"/>
          <w:szCs w:val="22"/>
        </w:rPr>
        <w:t>Nebeln</w:t>
      </w:r>
      <w:proofErr w:type="spellEnd"/>
      <w:r>
        <w:rPr>
          <w:sz w:val="22"/>
          <w:szCs w:val="22"/>
        </w:rPr>
        <w:t>. Helvetica Physica Acta, 6, 110–127.</w:t>
      </w:r>
    </w:p>
    <w:sectPr w:rsidR="006C1C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FB67" w14:textId="77777777" w:rsidR="00495514" w:rsidRDefault="00495514">
      <w:r>
        <w:separator/>
      </w:r>
    </w:p>
  </w:endnote>
  <w:endnote w:type="continuationSeparator" w:id="0">
    <w:p w14:paraId="2AFE5726" w14:textId="77777777" w:rsidR="00495514" w:rsidRDefault="0049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32EC" w14:textId="77777777" w:rsidR="006C1CD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077E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7136" w14:textId="77777777" w:rsidR="00495514" w:rsidRDefault="00495514">
      <w:r>
        <w:separator/>
      </w:r>
    </w:p>
  </w:footnote>
  <w:footnote w:type="continuationSeparator" w:id="0">
    <w:p w14:paraId="20D6894E" w14:textId="77777777" w:rsidR="00495514" w:rsidRDefault="00495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B52E" w14:textId="77777777" w:rsidR="006C1CD8" w:rsidRDefault="00000000">
    <w:pPr>
      <w:jc w:val="right"/>
    </w:pPr>
    <w:r>
      <w:rPr>
        <w:i/>
        <w:iCs/>
        <w:color w:val="666666"/>
        <w:sz w:val="18"/>
        <w:szCs w:val="18"/>
      </w:rPr>
      <w:t>Kitcey (2026) — Response-Sector Stress–Energy vs. Galactic Dark Matter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9F0"/>
    <w:multiLevelType w:val="hybridMultilevel"/>
    <w:tmpl w:val="B73AC1AE"/>
    <w:lvl w:ilvl="0" w:tplc="9BEE90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B10EC"/>
    <w:multiLevelType w:val="hybridMultilevel"/>
    <w:tmpl w:val="3BEC569E"/>
    <w:lvl w:ilvl="0" w:tplc="DA2C4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61ECC"/>
    <w:multiLevelType w:val="hybridMultilevel"/>
    <w:tmpl w:val="A362803E"/>
    <w:lvl w:ilvl="0" w:tplc="7EE0B6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76C40"/>
    <w:multiLevelType w:val="hybridMultilevel"/>
    <w:tmpl w:val="908A683A"/>
    <w:lvl w:ilvl="0" w:tplc="B4CA41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7D43"/>
    <w:multiLevelType w:val="hybridMultilevel"/>
    <w:tmpl w:val="46B2A0FE"/>
    <w:lvl w:ilvl="0" w:tplc="7F6AA7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77DDD"/>
    <w:multiLevelType w:val="hybridMultilevel"/>
    <w:tmpl w:val="995873FA"/>
    <w:lvl w:ilvl="0" w:tplc="DB4C81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19741A"/>
    <w:multiLevelType w:val="hybridMultilevel"/>
    <w:tmpl w:val="46046CBE"/>
    <w:lvl w:ilvl="0" w:tplc="3CE0CDF0">
      <w:start w:val="1"/>
      <w:numFmt w:val="bullet"/>
      <w:lvlText w:val="●"/>
      <w:lvlJc w:val="left"/>
      <w:pPr>
        <w:ind w:left="720" w:hanging="360"/>
      </w:pPr>
    </w:lvl>
    <w:lvl w:ilvl="1" w:tplc="FB42D558">
      <w:start w:val="1"/>
      <w:numFmt w:val="bullet"/>
      <w:lvlText w:val="○"/>
      <w:lvlJc w:val="left"/>
      <w:pPr>
        <w:ind w:left="1440" w:hanging="360"/>
      </w:pPr>
    </w:lvl>
    <w:lvl w:ilvl="2" w:tplc="0CAEF41E">
      <w:start w:val="1"/>
      <w:numFmt w:val="bullet"/>
      <w:lvlText w:val="■"/>
      <w:lvlJc w:val="left"/>
      <w:pPr>
        <w:ind w:left="2160" w:hanging="360"/>
      </w:pPr>
    </w:lvl>
    <w:lvl w:ilvl="3" w:tplc="B6BA8182">
      <w:start w:val="1"/>
      <w:numFmt w:val="bullet"/>
      <w:lvlText w:val="●"/>
      <w:lvlJc w:val="left"/>
      <w:pPr>
        <w:ind w:left="2880" w:hanging="360"/>
      </w:pPr>
    </w:lvl>
    <w:lvl w:ilvl="4" w:tplc="CF4064EC">
      <w:start w:val="1"/>
      <w:numFmt w:val="bullet"/>
      <w:lvlText w:val="○"/>
      <w:lvlJc w:val="left"/>
      <w:pPr>
        <w:ind w:left="3600" w:hanging="360"/>
      </w:pPr>
    </w:lvl>
    <w:lvl w:ilvl="5" w:tplc="443AD84A">
      <w:start w:val="1"/>
      <w:numFmt w:val="bullet"/>
      <w:lvlText w:val="■"/>
      <w:lvlJc w:val="left"/>
      <w:pPr>
        <w:ind w:left="4320" w:hanging="360"/>
      </w:pPr>
    </w:lvl>
    <w:lvl w:ilvl="6" w:tplc="244A9B18">
      <w:start w:val="1"/>
      <w:numFmt w:val="bullet"/>
      <w:lvlText w:val="●"/>
      <w:lvlJc w:val="left"/>
      <w:pPr>
        <w:ind w:left="5040" w:hanging="360"/>
      </w:pPr>
    </w:lvl>
    <w:lvl w:ilvl="7" w:tplc="7EC4A664">
      <w:start w:val="1"/>
      <w:numFmt w:val="bullet"/>
      <w:lvlText w:val="●"/>
      <w:lvlJc w:val="left"/>
      <w:pPr>
        <w:ind w:left="5760" w:hanging="360"/>
      </w:pPr>
    </w:lvl>
    <w:lvl w:ilvl="8" w:tplc="DA6614BA">
      <w:start w:val="1"/>
      <w:numFmt w:val="bullet"/>
      <w:lvlText w:val="●"/>
      <w:lvlJc w:val="left"/>
      <w:pPr>
        <w:ind w:left="6480" w:hanging="360"/>
      </w:pPr>
    </w:lvl>
  </w:abstractNum>
  <w:num w:numId="1" w16cid:durableId="1014069234">
    <w:abstractNumId w:val="6"/>
    <w:lvlOverride w:ilvl="0">
      <w:startOverride w:val="1"/>
    </w:lvlOverride>
  </w:num>
  <w:num w:numId="2" w16cid:durableId="911086845">
    <w:abstractNumId w:val="1"/>
  </w:num>
  <w:num w:numId="3" w16cid:durableId="1159998141">
    <w:abstractNumId w:val="2"/>
  </w:num>
  <w:num w:numId="4" w16cid:durableId="635912504">
    <w:abstractNumId w:val="4"/>
  </w:num>
  <w:num w:numId="5" w16cid:durableId="2826414">
    <w:abstractNumId w:val="5"/>
  </w:num>
  <w:num w:numId="6" w16cid:durableId="1082800367">
    <w:abstractNumId w:val="3"/>
  </w:num>
  <w:num w:numId="7" w16cid:durableId="137319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D8"/>
    <w:rsid w:val="001D276C"/>
    <w:rsid w:val="00214E42"/>
    <w:rsid w:val="00335065"/>
    <w:rsid w:val="004077E5"/>
    <w:rsid w:val="00495514"/>
    <w:rsid w:val="005657CB"/>
    <w:rsid w:val="00645A7A"/>
    <w:rsid w:val="006C1CD8"/>
    <w:rsid w:val="00B555CD"/>
    <w:rsid w:val="00B909D1"/>
    <w:rsid w:val="00BE0DE6"/>
    <w:rsid w:val="00C94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998A"/>
  <w15:docId w15:val="{8F7B6388-08A1-4E92-8026-052B34CE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077E5"/>
    <w:pPr>
      <w:spacing w:after="100"/>
    </w:pPr>
  </w:style>
  <w:style w:type="paragraph" w:styleId="TOC2">
    <w:name w:val="toc 2"/>
    <w:basedOn w:val="Normal"/>
    <w:next w:val="Normal"/>
    <w:autoRedefine/>
    <w:uiPriority w:val="39"/>
    <w:unhideWhenUsed/>
    <w:rsid w:val="004077E5"/>
    <w:pPr>
      <w:spacing w:after="100"/>
      <w:ind w:left="240"/>
    </w:pPr>
  </w:style>
  <w:style w:type="paragraph" w:styleId="TOC3">
    <w:name w:val="toc 3"/>
    <w:basedOn w:val="Normal"/>
    <w:next w:val="Normal"/>
    <w:autoRedefine/>
    <w:uiPriority w:val="39"/>
    <w:unhideWhenUsed/>
    <w:rsid w:val="004077E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03/PhysRevD.70.083509" TargetMode="External"/><Relationship Id="rId26" Type="http://schemas.openxmlformats.org/officeDocument/2006/relationships/hyperlink" Target="https://doi.org/10.1007/978-1-4612-3968-4" TargetMode="External"/><Relationship Id="rId21" Type="http://schemas.openxmlformats.org/officeDocument/2006/relationships/hyperlink" Target="https://doi.org/10.12942/lrr-2004-5" TargetMode="External"/><Relationship Id="rId34" Type="http://schemas.openxmlformats.org/officeDocument/2006/relationships/hyperlink" Target="https://doi.org/10.1086/150317" TargetMode="Externa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doi.org/10.1103/PhysRevLett.121.111302" TargetMode="External"/><Relationship Id="rId25" Type="http://schemas.openxmlformats.org/officeDocument/2006/relationships/hyperlink" Target="https://doi.org/10.1103/PhysRevD.50.3874" TargetMode="External"/><Relationship Id="rId33" Type="http://schemas.openxmlformats.org/officeDocument/2006/relationships/hyperlink" Target="https://doi.org/10.3847/1538-4357/ab1422" TargetMode="External"/><Relationship Id="rId2" Type="http://schemas.openxmlformats.org/officeDocument/2006/relationships/styles" Target="styles.xml"/><Relationship Id="rId16" Type="http://schemas.openxmlformats.org/officeDocument/2006/relationships/hyperlink" Target="https://doi.org/10.1103/PhysRevLett.118.021303" TargetMode="External"/><Relationship Id="rId20" Type="http://schemas.openxmlformats.org/officeDocument/2006/relationships/hyperlink" Target="https://doi.org/10.1023/A:1001800617177" TargetMode="External"/><Relationship Id="rId29" Type="http://schemas.openxmlformats.org/officeDocument/2006/relationships/hyperlink" Target="https://doi.org/10.1086/3126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03/PhysRevLett.99.111301" TargetMode="External"/><Relationship Id="rId32" Type="http://schemas.openxmlformats.org/officeDocument/2006/relationships/hyperlink" Target="https://doi.org/10.1088/1475-7516/2006/11/00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03/PhysRevLett.110.141102" TargetMode="External"/><Relationship Id="rId23" Type="http://schemas.openxmlformats.org/officeDocument/2006/relationships/hyperlink" Target="https://doi.org/10.1103/PhysRevLett.119.181302" TargetMode="External"/><Relationship Id="rId28" Type="http://schemas.openxmlformats.org/officeDocument/2006/relationships/hyperlink" Target="https://doi.org/10.1088/0004-6256/148/5/77"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07/978-1-4757-3069-2" TargetMode="External"/><Relationship Id="rId31" Type="http://schemas.openxmlformats.org/officeDocument/2006/relationships/hyperlink" Target="https://doi.org/10.1051/0004-6361/20183391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03/PhysRevLett.115.231301" TargetMode="External"/><Relationship Id="rId22" Type="http://schemas.openxmlformats.org/officeDocument/2006/relationships/hyperlink" Target="https://doi.org/10.1086/508162" TargetMode="External"/><Relationship Id="rId27" Type="http://schemas.openxmlformats.org/officeDocument/2006/relationships/hyperlink" Target="https://doi.org/10.3847/0004-6256/152/6/157" TargetMode="External"/><Relationship Id="rId30" Type="http://schemas.openxmlformats.org/officeDocument/2006/relationships/hyperlink" Target="https://doi.org/10.1086/161130" TargetMode="External"/><Relationship Id="rId35" Type="http://schemas.openxmlformats.org/officeDocument/2006/relationships/hyperlink" Target="https://doi.org/10.21468/SciPostPhys.2.3.016"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30</Pages>
  <Words>7190</Words>
  <Characters>40987</Characters>
  <Application>Microsoft Office Word</Application>
  <DocSecurity>0</DocSecurity>
  <Lines>341</Lines>
  <Paragraphs>96</Paragraphs>
  <ScaleCrop>false</ScaleCrop>
  <Company/>
  <LinksUpToDate>false</LinksUpToDate>
  <CharactersWithSpaces>48081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Hermano</cp:lastModifiedBy>
  <cp:revision>3</cp:revision>
  <dcterms:created xsi:type="dcterms:W3CDTF">2026-02-22T01:44:00Z</dcterms:created>
  <dcterms:modified xsi:type="dcterms:W3CDTF">2026-02-22T02:33:00Z</dcterms:modified>
</cp:coreProperties>
</file>