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579A" w14:textId="77777777" w:rsidR="000F6D48" w:rsidRDefault="000F6D48">
      <w:pPr>
        <w:spacing w:line="2880" w:lineRule="auto"/>
      </w:pPr>
    </w:p>
    <w:p w14:paraId="5C3B8B2E" w14:textId="77777777" w:rsidR="000F6D48" w:rsidRDefault="00461A1D">
      <w:pPr>
        <w:spacing w:after="80"/>
        <w:jc w:val="center"/>
      </w:pPr>
      <w:r>
        <w:rPr>
          <w:b/>
          <w:bCs/>
          <w:color w:val="0D1B2A"/>
          <w:sz w:val="60"/>
          <w:szCs w:val="60"/>
        </w:rPr>
        <w:t>SPACETIME MECHANICS</w:t>
      </w:r>
    </w:p>
    <w:p w14:paraId="7357548D" w14:textId="3E92E64B" w:rsidR="000F6D48" w:rsidRDefault="00461A1D">
      <w:pPr>
        <w:spacing w:after="200"/>
        <w:jc w:val="center"/>
      </w:pPr>
      <w:r>
        <w:rPr>
          <w:color w:val="8B1A1A"/>
          <w:sz w:val="30"/>
          <w:szCs w:val="30"/>
        </w:rPr>
        <w:t>Critical Analysis</w:t>
      </w:r>
    </w:p>
    <w:p w14:paraId="78539430" w14:textId="77777777" w:rsidR="000F6D48" w:rsidRDefault="000F6D48">
      <w:pPr>
        <w:pBdr>
          <w:bottom w:val="single" w:sz="8" w:space="1" w:color="8B1A1A"/>
        </w:pBdr>
        <w:jc w:val="center"/>
      </w:pPr>
    </w:p>
    <w:p w14:paraId="3968F617" w14:textId="77777777" w:rsidR="000F6D48" w:rsidRDefault="000F6D48"/>
    <w:p w14:paraId="0AB5A58D" w14:textId="77777777" w:rsidR="000F6D48" w:rsidRDefault="00461A1D">
      <w:pPr>
        <w:spacing w:after="80"/>
        <w:jc w:val="center"/>
      </w:pPr>
      <w:r>
        <w:rPr>
          <w:i/>
          <w:iCs/>
          <w:color w:val="2B4070"/>
          <w:sz w:val="24"/>
          <w:szCs w:val="24"/>
        </w:rPr>
        <w:t>A Quantitative Assessment of Weaknesses, Benchmarks, and Concrete Paths Forward</w:t>
      </w:r>
    </w:p>
    <w:p w14:paraId="759CD9DA" w14:textId="387C57B3" w:rsidR="000F6D48" w:rsidRDefault="00C70DC6" w:rsidP="00C70DC6">
      <w:pPr>
        <w:spacing w:line="480" w:lineRule="auto"/>
        <w:jc w:val="center"/>
      </w:pPr>
      <w:r>
        <w:t>Robert D Kitcey</w:t>
      </w:r>
    </w:p>
    <w:p w14:paraId="1D5E72EA" w14:textId="77777777" w:rsidR="000F6D48" w:rsidRDefault="00461A1D">
      <w:pPr>
        <w:spacing w:after="60"/>
        <w:jc w:val="center"/>
      </w:pPr>
      <w:r>
        <w:rPr>
          <w:sz w:val="20"/>
          <w:szCs w:val="20"/>
        </w:rPr>
        <w:t>Based on computed analysis of: Kitcey (2026), Li et al. (2018), Lelli et al. (2016),</w:t>
      </w:r>
    </w:p>
    <w:p w14:paraId="4B6B3214" w14:textId="77777777" w:rsidR="000F6D48" w:rsidRDefault="00461A1D">
      <w:pPr>
        <w:spacing w:after="60"/>
        <w:jc w:val="center"/>
      </w:pPr>
      <w:r>
        <w:rPr>
          <w:sz w:val="20"/>
          <w:szCs w:val="20"/>
        </w:rPr>
        <w:t>and direct statistical computation on the 175-galaxy SPARC atlas</w:t>
      </w:r>
    </w:p>
    <w:p w14:paraId="6A6D1682" w14:textId="77777777" w:rsidR="000F6D48" w:rsidRDefault="000F6D48">
      <w:pPr>
        <w:spacing w:line="400" w:lineRule="auto"/>
      </w:pPr>
    </w:p>
    <w:p w14:paraId="760572FB" w14:textId="77777777" w:rsidR="000F6D48" w:rsidRDefault="00461A1D">
      <w:pPr>
        <w:spacing w:after="40"/>
        <w:jc w:val="center"/>
      </w:pPr>
      <w:r>
        <w:rPr>
          <w:sz w:val="20"/>
          <w:szCs w:val="20"/>
        </w:rPr>
        <w:t>February 2026</w:t>
      </w:r>
    </w:p>
    <w:p w14:paraId="3E3187A5" w14:textId="77777777" w:rsidR="000F6D48" w:rsidRDefault="000F6D48">
      <w:pPr>
        <w:sectPr w:rsidR="000F6D48">
          <w:pgSz w:w="12240" w:h="15840"/>
          <w:pgMar w:top="1440" w:right="1440" w:bottom="1440" w:left="1440" w:header="708" w:footer="708" w:gutter="0"/>
          <w:cols w:space="720"/>
          <w:docGrid w:linePitch="360"/>
        </w:sectPr>
      </w:pPr>
    </w:p>
    <w:p w14:paraId="0D2D9950" w14:textId="77777777" w:rsidR="000F6D48" w:rsidRDefault="00461A1D">
      <w:pPr>
        <w:pStyle w:val="Heading1"/>
      </w:pPr>
      <w:bookmarkStart w:id="0" w:name="_Toc222461558"/>
      <w:r>
        <w:lastRenderedPageBreak/>
        <w:t>Preamble: On the Standard of This Analysis</w:t>
      </w:r>
      <w:bookmarkEnd w:id="0"/>
    </w:p>
    <w:p w14:paraId="295F59C5" w14:textId="77777777" w:rsidR="000F6D48" w:rsidRDefault="000F6D48">
      <w:pPr>
        <w:pBdr>
          <w:bottom w:val="single" w:sz="6" w:space="1" w:color="8B1A1A"/>
        </w:pBdr>
        <w:spacing w:after="60"/>
      </w:pPr>
    </w:p>
    <w:p w14:paraId="4A03ADE3" w14:textId="77777777" w:rsidR="000F6D48" w:rsidRDefault="000F6D48">
      <w:pPr>
        <w:spacing w:line="160" w:lineRule="auto"/>
      </w:pPr>
    </w:p>
    <w:p w14:paraId="0A32B6B5" w14:textId="65C86D9E" w:rsidR="000F6D48" w:rsidRDefault="00461A1D">
      <w:pPr>
        <w:spacing w:before="60" w:after="100" w:line="340" w:lineRule="auto"/>
      </w:pPr>
      <w:r>
        <w:t xml:space="preserve">The following analysis addresses the </w:t>
      </w:r>
      <w:r w:rsidR="00C70DC6">
        <w:t xml:space="preserve">several </w:t>
      </w:r>
      <w:r>
        <w:t xml:space="preserve">weaknesses of the </w:t>
      </w:r>
      <w:r w:rsidR="00C70DC6">
        <w:t xml:space="preserve">previous </w:t>
      </w:r>
      <w:r>
        <w:t xml:space="preserve">Spacetime Mechanics SPARC atlas. Where numbers are </w:t>
      </w:r>
      <w:r w:rsidR="00EA7D6D">
        <w:t>cited,</w:t>
      </w:r>
      <w:r>
        <w:t xml:space="preserve"> they are computed directly from the 175-galaxy atlas data. Where comparisons are drawn to MOND or CDM, published benchmark values are used. The objective is not to diminish a genuinely innovative framework but to map precisely where it stands, where it does not yet stand, and what concrete steps would close the gap — leaving a </w:t>
      </w:r>
      <w:r w:rsidR="00EA7D6D">
        <w:t>program</w:t>
      </w:r>
      <w:r>
        <w:t xml:space="preserve"> rather than a verdict.</w:t>
      </w:r>
    </w:p>
    <w:p w14:paraId="40EEA3C7" w14:textId="77777777" w:rsidR="00C70DC6" w:rsidRDefault="00C70DC6">
      <w:pPr>
        <w:pStyle w:val="Heading1"/>
        <w:sectPr w:rsidR="00C70DC6">
          <w:headerReference w:type="default" r:id="rId8"/>
          <w:footerReference w:type="default" r:id="rId9"/>
          <w:pgSz w:w="12240" w:h="15840"/>
          <w:pgMar w:top="1200" w:right="1200" w:bottom="1200" w:left="1200" w:header="708" w:footer="708" w:gutter="0"/>
          <w:cols w:space="720"/>
          <w:docGrid w:linePitch="360"/>
        </w:sectPr>
      </w:pPr>
    </w:p>
    <w:bookmarkStart w:id="1" w:name="_Toc222461559" w:displacedByCustomXml="next"/>
    <w:sdt>
      <w:sdtPr>
        <w:id w:val="-484157788"/>
        <w:docPartObj>
          <w:docPartGallery w:val="Table of Contents"/>
          <w:docPartUnique/>
        </w:docPartObj>
      </w:sdtPr>
      <w:sdtEndPr>
        <w:rPr>
          <w:noProof/>
          <w:color w:val="3A4556"/>
          <w:sz w:val="22"/>
          <w:szCs w:val="22"/>
        </w:rPr>
      </w:sdtEndPr>
      <w:sdtContent>
        <w:p w14:paraId="51A4B83B" w14:textId="3B8729C9" w:rsidR="00C70DC6" w:rsidRDefault="00C70DC6" w:rsidP="00C70DC6">
          <w:pPr>
            <w:pStyle w:val="Heading1"/>
          </w:pPr>
          <w:r>
            <w:t>Contents</w:t>
          </w:r>
          <w:bookmarkEnd w:id="1"/>
        </w:p>
        <w:p w14:paraId="0A7BC0D0" w14:textId="31C4D5ED"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2461558" w:history="1">
            <w:r w:rsidRPr="00A66888">
              <w:rPr>
                <w:rStyle w:val="Hyperlink"/>
                <w:noProof/>
              </w:rPr>
              <w:t>Preamble: On the Standard of This Analysis</w:t>
            </w:r>
            <w:r>
              <w:rPr>
                <w:noProof/>
                <w:webHidden/>
              </w:rPr>
              <w:tab/>
            </w:r>
            <w:r>
              <w:rPr>
                <w:noProof/>
                <w:webHidden/>
              </w:rPr>
              <w:fldChar w:fldCharType="begin"/>
            </w:r>
            <w:r>
              <w:rPr>
                <w:noProof/>
                <w:webHidden/>
              </w:rPr>
              <w:instrText xml:space="preserve"> PAGEREF _Toc222461558 \h </w:instrText>
            </w:r>
            <w:r>
              <w:rPr>
                <w:noProof/>
                <w:webHidden/>
              </w:rPr>
            </w:r>
            <w:r>
              <w:rPr>
                <w:noProof/>
                <w:webHidden/>
              </w:rPr>
              <w:fldChar w:fldCharType="separate"/>
            </w:r>
            <w:r>
              <w:rPr>
                <w:noProof/>
                <w:webHidden/>
              </w:rPr>
              <w:t>2</w:t>
            </w:r>
            <w:r>
              <w:rPr>
                <w:noProof/>
                <w:webHidden/>
              </w:rPr>
              <w:fldChar w:fldCharType="end"/>
            </w:r>
          </w:hyperlink>
        </w:p>
        <w:p w14:paraId="48A0A3C2" w14:textId="76323ED4"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59" w:history="1">
            <w:r w:rsidRPr="00A66888">
              <w:rPr>
                <w:rStyle w:val="Hyperlink"/>
                <w:noProof/>
              </w:rPr>
              <w:t>Contents</w:t>
            </w:r>
            <w:r>
              <w:rPr>
                <w:noProof/>
                <w:webHidden/>
              </w:rPr>
              <w:tab/>
            </w:r>
            <w:r>
              <w:rPr>
                <w:noProof/>
                <w:webHidden/>
              </w:rPr>
              <w:fldChar w:fldCharType="begin"/>
            </w:r>
            <w:r>
              <w:rPr>
                <w:noProof/>
                <w:webHidden/>
              </w:rPr>
              <w:instrText xml:space="preserve"> PAGEREF _Toc222461559 \h </w:instrText>
            </w:r>
            <w:r>
              <w:rPr>
                <w:noProof/>
                <w:webHidden/>
              </w:rPr>
            </w:r>
            <w:r>
              <w:rPr>
                <w:noProof/>
                <w:webHidden/>
              </w:rPr>
              <w:fldChar w:fldCharType="separate"/>
            </w:r>
            <w:r>
              <w:rPr>
                <w:noProof/>
                <w:webHidden/>
              </w:rPr>
              <w:t>3</w:t>
            </w:r>
            <w:r>
              <w:rPr>
                <w:noProof/>
                <w:webHidden/>
              </w:rPr>
              <w:fldChar w:fldCharType="end"/>
            </w:r>
          </w:hyperlink>
        </w:p>
        <w:p w14:paraId="55B72C28" w14:textId="44DE2B8A"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0" w:history="1">
            <w:r w:rsidRPr="00A66888">
              <w:rPr>
                <w:rStyle w:val="Hyperlink"/>
                <w:noProof/>
              </w:rPr>
              <w:t xml:space="preserve">1.  Quantitative Depth: </w:t>
            </w:r>
            <m:oMath>
              <m:r>
                <m:rPr>
                  <m:sty m:val="bi"/>
                </m:rPr>
                <w:rPr>
                  <w:rStyle w:val="Hyperlink"/>
                  <w:rFonts w:ascii="Cambria Math" w:hAnsi="Cambria Math"/>
                  <w:noProof/>
                </w:rPr>
                <m:t>χ</m:t>
              </m:r>
              <m:r>
                <w:rPr>
                  <w:rStyle w:val="Hyperlink"/>
                  <w:rFonts w:ascii="Cambria Math" w:hAnsi="Cambria Math"/>
                  <w:noProof/>
                </w:rPr>
                <m:t>2</m:t>
              </m:r>
            </m:oMath>
            <w:r w:rsidRPr="00A66888">
              <w:rPr>
                <w:rStyle w:val="Hyperlink"/>
                <w:noProof/>
              </w:rPr>
              <w:t xml:space="preserve"> Anatomy and What It Actually Shows</w:t>
            </w:r>
            <w:r>
              <w:rPr>
                <w:noProof/>
                <w:webHidden/>
              </w:rPr>
              <w:tab/>
            </w:r>
            <w:r>
              <w:rPr>
                <w:noProof/>
                <w:webHidden/>
              </w:rPr>
              <w:fldChar w:fldCharType="begin"/>
            </w:r>
            <w:r>
              <w:rPr>
                <w:noProof/>
                <w:webHidden/>
              </w:rPr>
              <w:instrText xml:space="preserve"> PAGEREF _Toc222461560 \h </w:instrText>
            </w:r>
            <w:r>
              <w:rPr>
                <w:noProof/>
                <w:webHidden/>
              </w:rPr>
            </w:r>
            <w:r>
              <w:rPr>
                <w:noProof/>
                <w:webHidden/>
              </w:rPr>
              <w:fldChar w:fldCharType="separate"/>
            </w:r>
            <w:r>
              <w:rPr>
                <w:noProof/>
                <w:webHidden/>
              </w:rPr>
              <w:t>4</w:t>
            </w:r>
            <w:r>
              <w:rPr>
                <w:noProof/>
                <w:webHidden/>
              </w:rPr>
              <w:fldChar w:fldCharType="end"/>
            </w:r>
          </w:hyperlink>
        </w:p>
        <w:p w14:paraId="6F25DCD6" w14:textId="1D3A1FDD"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1" w:history="1">
            <w:r w:rsidRPr="00A66888">
              <w:rPr>
                <w:rStyle w:val="Hyperlink"/>
                <w:noProof/>
              </w:rPr>
              <w:t xml:space="preserve">1.1 The Extreme </w:t>
            </w:r>
            <m:oMath>
              <m:r>
                <m:rPr>
                  <m:sty m:val="bi"/>
                </m:rPr>
                <w:rPr>
                  <w:rStyle w:val="Hyperlink"/>
                  <w:rFonts w:ascii="Cambria Math" w:hAnsi="Cambria Math"/>
                  <w:noProof/>
                </w:rPr>
                <m:t>χbar</m:t>
              </m:r>
              <m:r>
                <w:rPr>
                  <w:rStyle w:val="Hyperlink"/>
                  <w:rFonts w:ascii="Cambria Math" w:hAnsi="Cambria Math"/>
                  <w:noProof/>
                </w:rPr>
                <m:t>2</m:t>
              </m:r>
            </m:oMath>
            <w:r w:rsidRPr="00A66888">
              <w:rPr>
                <w:rStyle w:val="Hyperlink"/>
                <w:noProof/>
              </w:rPr>
              <w:t xml:space="preserve"> Values Are Legitimate — and Revealing</w:t>
            </w:r>
            <w:r>
              <w:rPr>
                <w:noProof/>
                <w:webHidden/>
              </w:rPr>
              <w:tab/>
            </w:r>
            <w:r>
              <w:rPr>
                <w:noProof/>
                <w:webHidden/>
              </w:rPr>
              <w:fldChar w:fldCharType="begin"/>
            </w:r>
            <w:r>
              <w:rPr>
                <w:noProof/>
                <w:webHidden/>
              </w:rPr>
              <w:instrText xml:space="preserve"> PAGEREF _Toc222461561 \h </w:instrText>
            </w:r>
            <w:r>
              <w:rPr>
                <w:noProof/>
                <w:webHidden/>
              </w:rPr>
            </w:r>
            <w:r>
              <w:rPr>
                <w:noProof/>
                <w:webHidden/>
              </w:rPr>
              <w:fldChar w:fldCharType="separate"/>
            </w:r>
            <w:r>
              <w:rPr>
                <w:noProof/>
                <w:webHidden/>
              </w:rPr>
              <w:t>4</w:t>
            </w:r>
            <w:r>
              <w:rPr>
                <w:noProof/>
                <w:webHidden/>
              </w:rPr>
              <w:fldChar w:fldCharType="end"/>
            </w:r>
          </w:hyperlink>
        </w:p>
        <w:p w14:paraId="1A95E393" w14:textId="4637790B"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2" w:history="1">
            <w:r w:rsidRPr="00A66888">
              <w:rPr>
                <w:rStyle w:val="Hyperlink"/>
                <w:noProof/>
              </w:rPr>
              <w:t>1.2 AIC and BIC: Overfitting Is Not the Problem</w:t>
            </w:r>
            <w:r>
              <w:rPr>
                <w:noProof/>
                <w:webHidden/>
              </w:rPr>
              <w:tab/>
            </w:r>
            <w:r>
              <w:rPr>
                <w:noProof/>
                <w:webHidden/>
              </w:rPr>
              <w:fldChar w:fldCharType="begin"/>
            </w:r>
            <w:r>
              <w:rPr>
                <w:noProof/>
                <w:webHidden/>
              </w:rPr>
              <w:instrText xml:space="preserve"> PAGEREF _Toc222461562 \h </w:instrText>
            </w:r>
            <w:r>
              <w:rPr>
                <w:noProof/>
                <w:webHidden/>
              </w:rPr>
            </w:r>
            <w:r>
              <w:rPr>
                <w:noProof/>
                <w:webHidden/>
              </w:rPr>
              <w:fldChar w:fldCharType="separate"/>
            </w:r>
            <w:r>
              <w:rPr>
                <w:noProof/>
                <w:webHidden/>
              </w:rPr>
              <w:t>5</w:t>
            </w:r>
            <w:r>
              <w:rPr>
                <w:noProof/>
                <w:webHidden/>
              </w:rPr>
              <w:fldChar w:fldCharType="end"/>
            </w:r>
          </w:hyperlink>
        </w:p>
        <w:p w14:paraId="03482C30" w14:textId="7413FD11"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3" w:history="1">
            <w:r w:rsidRPr="00A66888">
              <w:rPr>
                <w:rStyle w:val="Hyperlink"/>
                <w:noProof/>
              </w:rPr>
              <w:t xml:space="preserve">1.3 The Global </w:t>
            </w:r>
            <m:oMath>
              <m:r>
                <m:rPr>
                  <m:sty m:val="bi"/>
                </m:rPr>
                <w:rPr>
                  <w:rStyle w:val="Hyperlink"/>
                  <w:rFonts w:ascii="Cambria Math" w:hAnsi="Cambria Math"/>
                  <w:noProof/>
                </w:rPr>
                <m:t>Q</m:t>
              </m:r>
            </m:oMath>
            <w:r w:rsidRPr="00A66888">
              <w:rPr>
                <w:rStyle w:val="Hyperlink"/>
                <w:noProof/>
              </w:rPr>
              <w:t xml:space="preserve"> Test: Why per-Galaxy </w:t>
            </w:r>
            <m:oMath>
              <m:r>
                <m:rPr>
                  <m:sty m:val="bi"/>
                </m:rPr>
                <w:rPr>
                  <w:rStyle w:val="Hyperlink"/>
                  <w:rFonts w:ascii="Cambria Math" w:hAnsi="Cambria Math"/>
                  <w:noProof/>
                </w:rPr>
                <m:t>Q</m:t>
              </m:r>
            </m:oMath>
            <w:r w:rsidRPr="00A66888">
              <w:rPr>
                <w:rStyle w:val="Hyperlink"/>
                <w:noProof/>
              </w:rPr>
              <w:t xml:space="preserve"> Is Not Arbitrary</w:t>
            </w:r>
            <w:r>
              <w:rPr>
                <w:noProof/>
                <w:webHidden/>
              </w:rPr>
              <w:tab/>
            </w:r>
            <w:r>
              <w:rPr>
                <w:noProof/>
                <w:webHidden/>
              </w:rPr>
              <w:fldChar w:fldCharType="begin"/>
            </w:r>
            <w:r>
              <w:rPr>
                <w:noProof/>
                <w:webHidden/>
              </w:rPr>
              <w:instrText xml:space="preserve"> PAGEREF _Toc222461563 \h </w:instrText>
            </w:r>
            <w:r>
              <w:rPr>
                <w:noProof/>
                <w:webHidden/>
              </w:rPr>
            </w:r>
            <w:r>
              <w:rPr>
                <w:noProof/>
                <w:webHidden/>
              </w:rPr>
              <w:fldChar w:fldCharType="separate"/>
            </w:r>
            <w:r>
              <w:rPr>
                <w:noProof/>
                <w:webHidden/>
              </w:rPr>
              <w:t>5</w:t>
            </w:r>
            <w:r>
              <w:rPr>
                <w:noProof/>
                <w:webHidden/>
              </w:rPr>
              <w:fldChar w:fldCharType="end"/>
            </w:r>
          </w:hyperlink>
        </w:p>
        <w:p w14:paraId="02D3E03E" w14:textId="6388C413"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4" w:history="1">
            <w:r w:rsidRPr="00A66888">
              <w:rPr>
                <w:rStyle w:val="Hyperlink"/>
                <w:noProof/>
              </w:rPr>
              <w:t>2.  Model Simplifications: What Each Costs</w:t>
            </w:r>
            <w:r>
              <w:rPr>
                <w:noProof/>
                <w:webHidden/>
              </w:rPr>
              <w:tab/>
            </w:r>
            <w:r>
              <w:rPr>
                <w:noProof/>
                <w:webHidden/>
              </w:rPr>
              <w:fldChar w:fldCharType="begin"/>
            </w:r>
            <w:r>
              <w:rPr>
                <w:noProof/>
                <w:webHidden/>
              </w:rPr>
              <w:instrText xml:space="preserve"> PAGEREF _Toc222461564 \h </w:instrText>
            </w:r>
            <w:r>
              <w:rPr>
                <w:noProof/>
                <w:webHidden/>
              </w:rPr>
            </w:r>
            <w:r>
              <w:rPr>
                <w:noProof/>
                <w:webHidden/>
              </w:rPr>
              <w:fldChar w:fldCharType="separate"/>
            </w:r>
            <w:r>
              <w:rPr>
                <w:noProof/>
                <w:webHidden/>
              </w:rPr>
              <w:t>7</w:t>
            </w:r>
            <w:r>
              <w:rPr>
                <w:noProof/>
                <w:webHidden/>
              </w:rPr>
              <w:fldChar w:fldCharType="end"/>
            </w:r>
          </w:hyperlink>
        </w:p>
        <w:p w14:paraId="154E63D9" w14:textId="22139988"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5" w:history="1">
            <w:r w:rsidRPr="00A66888">
              <w:rPr>
                <w:rStyle w:val="Hyperlink"/>
                <w:noProof/>
              </w:rPr>
              <w:t xml:space="preserve">2.1 The </w:t>
            </w:r>
            <m:oMath>
              <m:r>
                <m:rPr>
                  <m:sty m:val="bi"/>
                </m:rPr>
                <w:rPr>
                  <w:rStyle w:val="Hyperlink"/>
                  <w:rFonts w:ascii="Cambria Math" w:hAnsi="Cambria Math"/>
                  <w:noProof/>
                </w:rPr>
                <m:t>1</m:t>
              </m:r>
              <m:r>
                <m:rPr>
                  <m:sty m:val="bi"/>
                </m:rPr>
                <w:rPr>
                  <w:rStyle w:val="Hyperlink"/>
                  <w:rFonts w:ascii="Cambria Math" w:hAnsi="Cambria Math"/>
                  <w:noProof/>
                </w:rPr>
                <m:t>R</m:t>
              </m:r>
            </m:oMath>
            <w:r w:rsidRPr="00A66888">
              <w:rPr>
                <w:rStyle w:val="Hyperlink"/>
                <w:noProof/>
              </w:rPr>
              <w:t xml:space="preserve"> Tail Ansatz: Necessary Scaffold, Not Final Theory</w:t>
            </w:r>
            <w:r>
              <w:rPr>
                <w:noProof/>
                <w:webHidden/>
              </w:rPr>
              <w:tab/>
            </w:r>
            <w:r>
              <w:rPr>
                <w:noProof/>
                <w:webHidden/>
              </w:rPr>
              <w:fldChar w:fldCharType="begin"/>
            </w:r>
            <w:r>
              <w:rPr>
                <w:noProof/>
                <w:webHidden/>
              </w:rPr>
              <w:instrText xml:space="preserve"> PAGEREF _Toc222461565 \h </w:instrText>
            </w:r>
            <w:r>
              <w:rPr>
                <w:noProof/>
                <w:webHidden/>
              </w:rPr>
            </w:r>
            <w:r>
              <w:rPr>
                <w:noProof/>
                <w:webHidden/>
              </w:rPr>
              <w:fldChar w:fldCharType="separate"/>
            </w:r>
            <w:r>
              <w:rPr>
                <w:noProof/>
                <w:webHidden/>
              </w:rPr>
              <w:t>7</w:t>
            </w:r>
            <w:r>
              <w:rPr>
                <w:noProof/>
                <w:webHidden/>
              </w:rPr>
              <w:fldChar w:fldCharType="end"/>
            </w:r>
          </w:hyperlink>
        </w:p>
        <w:p w14:paraId="7B594494" w14:textId="4015AE2E"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6" w:history="1">
            <w:r w:rsidRPr="00A66888">
              <w:rPr>
                <w:rStyle w:val="Hyperlink"/>
                <w:noProof/>
              </w:rPr>
              <w:t>2.2 Fixed Mass-to-Light Ratios: Systematic Bias Quantified</w:t>
            </w:r>
            <w:r>
              <w:rPr>
                <w:noProof/>
                <w:webHidden/>
              </w:rPr>
              <w:tab/>
            </w:r>
            <w:r>
              <w:rPr>
                <w:noProof/>
                <w:webHidden/>
              </w:rPr>
              <w:fldChar w:fldCharType="begin"/>
            </w:r>
            <w:r>
              <w:rPr>
                <w:noProof/>
                <w:webHidden/>
              </w:rPr>
              <w:instrText xml:space="preserve"> PAGEREF _Toc222461566 \h </w:instrText>
            </w:r>
            <w:r>
              <w:rPr>
                <w:noProof/>
                <w:webHidden/>
              </w:rPr>
            </w:r>
            <w:r>
              <w:rPr>
                <w:noProof/>
                <w:webHidden/>
              </w:rPr>
              <w:fldChar w:fldCharType="separate"/>
            </w:r>
            <w:r>
              <w:rPr>
                <w:noProof/>
                <w:webHidden/>
              </w:rPr>
              <w:t>7</w:t>
            </w:r>
            <w:r>
              <w:rPr>
                <w:noProof/>
                <w:webHidden/>
              </w:rPr>
              <w:fldChar w:fldCharType="end"/>
            </w:r>
          </w:hyperlink>
        </w:p>
        <w:p w14:paraId="2AA8E8A8" w14:textId="012C175C"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7" w:history="1">
            <w:r w:rsidRPr="00A66888">
              <w:rPr>
                <w:rStyle w:val="Hyperlink"/>
                <w:noProof/>
              </w:rPr>
              <w:t>2.3 Spherical Symmetry: Known Approximation, Bounded Impact</w:t>
            </w:r>
            <w:r>
              <w:rPr>
                <w:noProof/>
                <w:webHidden/>
              </w:rPr>
              <w:tab/>
            </w:r>
            <w:r>
              <w:rPr>
                <w:noProof/>
                <w:webHidden/>
              </w:rPr>
              <w:fldChar w:fldCharType="begin"/>
            </w:r>
            <w:r>
              <w:rPr>
                <w:noProof/>
                <w:webHidden/>
              </w:rPr>
              <w:instrText xml:space="preserve"> PAGEREF _Toc222461567 \h </w:instrText>
            </w:r>
            <w:r>
              <w:rPr>
                <w:noProof/>
                <w:webHidden/>
              </w:rPr>
            </w:r>
            <w:r>
              <w:rPr>
                <w:noProof/>
                <w:webHidden/>
              </w:rPr>
              <w:fldChar w:fldCharType="separate"/>
            </w:r>
            <w:r>
              <w:rPr>
                <w:noProof/>
                <w:webHidden/>
              </w:rPr>
              <w:t>8</w:t>
            </w:r>
            <w:r>
              <w:rPr>
                <w:noProof/>
                <w:webHidden/>
              </w:rPr>
              <w:fldChar w:fldCharType="end"/>
            </w:r>
          </w:hyperlink>
        </w:p>
        <w:p w14:paraId="2CF24548" w14:textId="03878777"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8" w:history="1">
            <w:r w:rsidRPr="00A66888">
              <w:rPr>
                <w:rStyle w:val="Hyperlink"/>
                <w:noProof/>
              </w:rPr>
              <w:t>2.4 The Lensing and Cluster Gap: Real and Structural</w:t>
            </w:r>
            <w:r>
              <w:rPr>
                <w:noProof/>
                <w:webHidden/>
              </w:rPr>
              <w:tab/>
            </w:r>
            <w:r>
              <w:rPr>
                <w:noProof/>
                <w:webHidden/>
              </w:rPr>
              <w:fldChar w:fldCharType="begin"/>
            </w:r>
            <w:r>
              <w:rPr>
                <w:noProof/>
                <w:webHidden/>
              </w:rPr>
              <w:instrText xml:space="preserve"> PAGEREF _Toc222461568 \h </w:instrText>
            </w:r>
            <w:r>
              <w:rPr>
                <w:noProof/>
                <w:webHidden/>
              </w:rPr>
            </w:r>
            <w:r>
              <w:rPr>
                <w:noProof/>
                <w:webHidden/>
              </w:rPr>
              <w:fldChar w:fldCharType="separate"/>
            </w:r>
            <w:r>
              <w:rPr>
                <w:noProof/>
                <w:webHidden/>
              </w:rPr>
              <w:t>8</w:t>
            </w:r>
            <w:r>
              <w:rPr>
                <w:noProof/>
                <w:webHidden/>
              </w:rPr>
              <w:fldChar w:fldCharType="end"/>
            </w:r>
          </w:hyperlink>
        </w:p>
        <w:p w14:paraId="6558A33C" w14:textId="0A5C8A2D"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69" w:history="1">
            <w:r w:rsidRPr="00A66888">
              <w:rPr>
                <w:rStyle w:val="Hyperlink"/>
                <w:noProof/>
              </w:rPr>
              <w:t>3.  Comparison to Alternatives: The Benchmark That Does Not Yet Exist</w:t>
            </w:r>
            <w:r>
              <w:rPr>
                <w:noProof/>
                <w:webHidden/>
              </w:rPr>
              <w:tab/>
            </w:r>
            <w:r>
              <w:rPr>
                <w:noProof/>
                <w:webHidden/>
              </w:rPr>
              <w:fldChar w:fldCharType="begin"/>
            </w:r>
            <w:r>
              <w:rPr>
                <w:noProof/>
                <w:webHidden/>
              </w:rPr>
              <w:instrText xml:space="preserve"> PAGEREF _Toc222461569 \h </w:instrText>
            </w:r>
            <w:r>
              <w:rPr>
                <w:noProof/>
                <w:webHidden/>
              </w:rPr>
            </w:r>
            <w:r>
              <w:rPr>
                <w:noProof/>
                <w:webHidden/>
              </w:rPr>
              <w:fldChar w:fldCharType="separate"/>
            </w:r>
            <w:r>
              <w:rPr>
                <w:noProof/>
                <w:webHidden/>
              </w:rPr>
              <w:t>10</w:t>
            </w:r>
            <w:r>
              <w:rPr>
                <w:noProof/>
                <w:webHidden/>
              </w:rPr>
              <w:fldChar w:fldCharType="end"/>
            </w:r>
          </w:hyperlink>
        </w:p>
        <w:p w14:paraId="147B2AF6" w14:textId="3E3256E6"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0" w:history="1">
            <w:r w:rsidRPr="00A66888">
              <w:rPr>
                <w:rStyle w:val="Hyperlink"/>
                <w:noProof/>
              </w:rPr>
              <w:t>3.1 The MOND Benchmark — Computed, Not Approximated</w:t>
            </w:r>
            <w:r>
              <w:rPr>
                <w:noProof/>
                <w:webHidden/>
              </w:rPr>
              <w:tab/>
            </w:r>
            <w:r>
              <w:rPr>
                <w:noProof/>
                <w:webHidden/>
              </w:rPr>
              <w:fldChar w:fldCharType="begin"/>
            </w:r>
            <w:r>
              <w:rPr>
                <w:noProof/>
                <w:webHidden/>
              </w:rPr>
              <w:instrText xml:space="preserve"> PAGEREF _Toc222461570 \h </w:instrText>
            </w:r>
            <w:r>
              <w:rPr>
                <w:noProof/>
                <w:webHidden/>
              </w:rPr>
            </w:r>
            <w:r>
              <w:rPr>
                <w:noProof/>
                <w:webHidden/>
              </w:rPr>
              <w:fldChar w:fldCharType="separate"/>
            </w:r>
            <w:r>
              <w:rPr>
                <w:noProof/>
                <w:webHidden/>
              </w:rPr>
              <w:t>10</w:t>
            </w:r>
            <w:r>
              <w:rPr>
                <w:noProof/>
                <w:webHidden/>
              </w:rPr>
              <w:fldChar w:fldCharType="end"/>
            </w:r>
          </w:hyperlink>
        </w:p>
        <w:p w14:paraId="542BE400" w14:textId="2BCB968D"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1" w:history="1">
            <w:r w:rsidRPr="00A66888">
              <w:rPr>
                <w:rStyle w:val="Hyperlink"/>
                <w:noProof/>
              </w:rPr>
              <w:t>3.2 CDM Halo Comparison: The Gold Standard Not Yet Attempted</w:t>
            </w:r>
            <w:r>
              <w:rPr>
                <w:noProof/>
                <w:webHidden/>
              </w:rPr>
              <w:tab/>
            </w:r>
            <w:r>
              <w:rPr>
                <w:noProof/>
                <w:webHidden/>
              </w:rPr>
              <w:fldChar w:fldCharType="begin"/>
            </w:r>
            <w:r>
              <w:rPr>
                <w:noProof/>
                <w:webHidden/>
              </w:rPr>
              <w:instrText xml:space="preserve"> PAGEREF _Toc222461571 \h </w:instrText>
            </w:r>
            <w:r>
              <w:rPr>
                <w:noProof/>
                <w:webHidden/>
              </w:rPr>
            </w:r>
            <w:r>
              <w:rPr>
                <w:noProof/>
                <w:webHidden/>
              </w:rPr>
              <w:fldChar w:fldCharType="separate"/>
            </w:r>
            <w:r>
              <w:rPr>
                <w:noProof/>
                <w:webHidden/>
              </w:rPr>
              <w:t>11</w:t>
            </w:r>
            <w:r>
              <w:rPr>
                <w:noProof/>
                <w:webHidden/>
              </w:rPr>
              <w:fldChar w:fldCharType="end"/>
            </w:r>
          </w:hyperlink>
        </w:p>
        <w:p w14:paraId="32D6BC87" w14:textId="1C62AAEF"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2" w:history="1">
            <w:r w:rsidRPr="00A66888">
              <w:rPr>
                <w:rStyle w:val="Hyperlink"/>
                <w:noProof/>
              </w:rPr>
              <w:t>3.3 The Flynn (2025) Claim: Contextualizing the Landscape</w:t>
            </w:r>
            <w:r>
              <w:rPr>
                <w:noProof/>
                <w:webHidden/>
              </w:rPr>
              <w:tab/>
            </w:r>
            <w:r>
              <w:rPr>
                <w:noProof/>
                <w:webHidden/>
              </w:rPr>
              <w:fldChar w:fldCharType="begin"/>
            </w:r>
            <w:r>
              <w:rPr>
                <w:noProof/>
                <w:webHidden/>
              </w:rPr>
              <w:instrText xml:space="preserve"> PAGEREF _Toc222461572 \h </w:instrText>
            </w:r>
            <w:r>
              <w:rPr>
                <w:noProof/>
                <w:webHidden/>
              </w:rPr>
            </w:r>
            <w:r>
              <w:rPr>
                <w:noProof/>
                <w:webHidden/>
              </w:rPr>
              <w:fldChar w:fldCharType="separate"/>
            </w:r>
            <w:r>
              <w:rPr>
                <w:noProof/>
                <w:webHidden/>
              </w:rPr>
              <w:t>11</w:t>
            </w:r>
            <w:r>
              <w:rPr>
                <w:noProof/>
                <w:webHidden/>
              </w:rPr>
              <w:fldChar w:fldCharType="end"/>
            </w:r>
          </w:hyperlink>
        </w:p>
        <w:p w14:paraId="730B496D" w14:textId="2A4EDB59"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3" w:history="1">
            <w:r w:rsidRPr="00A66888">
              <w:rPr>
                <w:rStyle w:val="Hyperlink"/>
                <w:noProof/>
              </w:rPr>
              <w:t>4.  Originality and Scope: What Is Novel, What Is Shared Terrain</w:t>
            </w:r>
            <w:r>
              <w:rPr>
                <w:noProof/>
                <w:webHidden/>
              </w:rPr>
              <w:tab/>
            </w:r>
            <w:r>
              <w:rPr>
                <w:noProof/>
                <w:webHidden/>
              </w:rPr>
              <w:fldChar w:fldCharType="begin"/>
            </w:r>
            <w:r>
              <w:rPr>
                <w:noProof/>
                <w:webHidden/>
              </w:rPr>
              <w:instrText xml:space="preserve"> PAGEREF _Toc222461573 \h </w:instrText>
            </w:r>
            <w:r>
              <w:rPr>
                <w:noProof/>
                <w:webHidden/>
              </w:rPr>
            </w:r>
            <w:r>
              <w:rPr>
                <w:noProof/>
                <w:webHidden/>
              </w:rPr>
              <w:fldChar w:fldCharType="separate"/>
            </w:r>
            <w:r>
              <w:rPr>
                <w:noProof/>
                <w:webHidden/>
              </w:rPr>
              <w:t>11</w:t>
            </w:r>
            <w:r>
              <w:rPr>
                <w:noProof/>
                <w:webHidden/>
              </w:rPr>
              <w:fldChar w:fldCharType="end"/>
            </w:r>
          </w:hyperlink>
        </w:p>
        <w:p w14:paraId="130CD841" w14:textId="289DEBB2"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4" w:history="1">
            <w:r w:rsidRPr="00A66888">
              <w:rPr>
                <w:rStyle w:val="Hyperlink"/>
                <w:noProof/>
              </w:rPr>
              <w:t>4.1 Theoretical Novelty: The Distinguishing Features</w:t>
            </w:r>
            <w:r>
              <w:rPr>
                <w:noProof/>
                <w:webHidden/>
              </w:rPr>
              <w:tab/>
            </w:r>
            <w:r>
              <w:rPr>
                <w:noProof/>
                <w:webHidden/>
              </w:rPr>
              <w:fldChar w:fldCharType="begin"/>
            </w:r>
            <w:r>
              <w:rPr>
                <w:noProof/>
                <w:webHidden/>
              </w:rPr>
              <w:instrText xml:space="preserve"> PAGEREF _Toc222461574 \h </w:instrText>
            </w:r>
            <w:r>
              <w:rPr>
                <w:noProof/>
                <w:webHidden/>
              </w:rPr>
            </w:r>
            <w:r>
              <w:rPr>
                <w:noProof/>
                <w:webHidden/>
              </w:rPr>
              <w:fldChar w:fldCharType="separate"/>
            </w:r>
            <w:r>
              <w:rPr>
                <w:noProof/>
                <w:webHidden/>
              </w:rPr>
              <w:t>11</w:t>
            </w:r>
            <w:r>
              <w:rPr>
                <w:noProof/>
                <w:webHidden/>
              </w:rPr>
              <w:fldChar w:fldCharType="end"/>
            </w:r>
          </w:hyperlink>
        </w:p>
        <w:p w14:paraId="6ED1009D" w14:textId="248926CC"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5" w:history="1">
            <w:r w:rsidRPr="00A66888">
              <w:rPr>
                <w:rStyle w:val="Hyperlink"/>
                <w:noProof/>
              </w:rPr>
              <w:t>4.2 Scope Limitations That Are Not Deficits of Theory</w:t>
            </w:r>
            <w:r>
              <w:rPr>
                <w:noProof/>
                <w:webHidden/>
              </w:rPr>
              <w:tab/>
            </w:r>
            <w:r>
              <w:rPr>
                <w:noProof/>
                <w:webHidden/>
              </w:rPr>
              <w:fldChar w:fldCharType="begin"/>
            </w:r>
            <w:r>
              <w:rPr>
                <w:noProof/>
                <w:webHidden/>
              </w:rPr>
              <w:instrText xml:space="preserve"> PAGEREF _Toc222461575 \h </w:instrText>
            </w:r>
            <w:r>
              <w:rPr>
                <w:noProof/>
                <w:webHidden/>
              </w:rPr>
            </w:r>
            <w:r>
              <w:rPr>
                <w:noProof/>
                <w:webHidden/>
              </w:rPr>
              <w:fldChar w:fldCharType="separate"/>
            </w:r>
            <w:r>
              <w:rPr>
                <w:noProof/>
                <w:webHidden/>
              </w:rPr>
              <w:t>12</w:t>
            </w:r>
            <w:r>
              <w:rPr>
                <w:noProof/>
                <w:webHidden/>
              </w:rPr>
              <w:fldChar w:fldCharType="end"/>
            </w:r>
          </w:hyperlink>
        </w:p>
        <w:p w14:paraId="6311806B" w14:textId="34A78732"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6" w:history="1">
            <w:r w:rsidRPr="00A66888">
              <w:rPr>
                <w:rStyle w:val="Hyperlink"/>
                <w:noProof/>
              </w:rPr>
              <w:t>5.  Concrete Improvement Program: Six Implementable Actions</w:t>
            </w:r>
            <w:r>
              <w:rPr>
                <w:noProof/>
                <w:webHidden/>
              </w:rPr>
              <w:tab/>
            </w:r>
            <w:r>
              <w:rPr>
                <w:noProof/>
                <w:webHidden/>
              </w:rPr>
              <w:fldChar w:fldCharType="begin"/>
            </w:r>
            <w:r>
              <w:rPr>
                <w:noProof/>
                <w:webHidden/>
              </w:rPr>
              <w:instrText xml:space="preserve"> PAGEREF _Toc222461576 \h </w:instrText>
            </w:r>
            <w:r>
              <w:rPr>
                <w:noProof/>
                <w:webHidden/>
              </w:rPr>
            </w:r>
            <w:r>
              <w:rPr>
                <w:noProof/>
                <w:webHidden/>
              </w:rPr>
              <w:fldChar w:fldCharType="separate"/>
            </w:r>
            <w:r>
              <w:rPr>
                <w:noProof/>
                <w:webHidden/>
              </w:rPr>
              <w:t>13</w:t>
            </w:r>
            <w:r>
              <w:rPr>
                <w:noProof/>
                <w:webHidden/>
              </w:rPr>
              <w:fldChar w:fldCharType="end"/>
            </w:r>
          </w:hyperlink>
        </w:p>
        <w:p w14:paraId="31786C9A" w14:textId="32A15279"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7" w:history="1">
            <w:r w:rsidRPr="00A66888">
              <w:rPr>
                <w:rStyle w:val="Hyperlink"/>
                <w:noProof/>
              </w:rPr>
              <w:t xml:space="preserve">Action 1 | BTF-Anchor </w:t>
            </w:r>
            <m:oMath>
              <m:r>
                <m:rPr>
                  <m:sty m:val="bi"/>
                </m:rPr>
                <w:rPr>
                  <w:rStyle w:val="Hyperlink"/>
                  <w:rFonts w:ascii="Cambria Math" w:hAnsi="Cambria Math"/>
                  <w:noProof/>
                </w:rPr>
                <m:t>Q</m:t>
              </m:r>
            </m:oMath>
            <w:r w:rsidRPr="00A66888">
              <w:rPr>
                <w:rStyle w:val="Hyperlink"/>
                <w:noProof/>
              </w:rPr>
              <w:t xml:space="preserve"> and Test Global Universality</w:t>
            </w:r>
            <w:r>
              <w:rPr>
                <w:noProof/>
                <w:webHidden/>
              </w:rPr>
              <w:tab/>
            </w:r>
            <w:r>
              <w:rPr>
                <w:noProof/>
                <w:webHidden/>
              </w:rPr>
              <w:fldChar w:fldCharType="begin"/>
            </w:r>
            <w:r>
              <w:rPr>
                <w:noProof/>
                <w:webHidden/>
              </w:rPr>
              <w:instrText xml:space="preserve"> PAGEREF _Toc222461577 \h </w:instrText>
            </w:r>
            <w:r>
              <w:rPr>
                <w:noProof/>
                <w:webHidden/>
              </w:rPr>
            </w:r>
            <w:r>
              <w:rPr>
                <w:noProof/>
                <w:webHidden/>
              </w:rPr>
              <w:fldChar w:fldCharType="separate"/>
            </w:r>
            <w:r>
              <w:rPr>
                <w:noProof/>
                <w:webHidden/>
              </w:rPr>
              <w:t>13</w:t>
            </w:r>
            <w:r>
              <w:rPr>
                <w:noProof/>
                <w:webHidden/>
              </w:rPr>
              <w:fldChar w:fldCharType="end"/>
            </w:r>
          </w:hyperlink>
        </w:p>
        <w:p w14:paraId="73EB20B7" w14:textId="138F1B11"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8" w:history="1">
            <w:r w:rsidRPr="00A66888">
              <w:rPr>
                <w:rStyle w:val="Hyperlink"/>
                <w:noProof/>
              </w:rPr>
              <w:t>Action 2 | Compute the RAR Scatter and Compare to Li+2018</w:t>
            </w:r>
            <w:r>
              <w:rPr>
                <w:noProof/>
                <w:webHidden/>
              </w:rPr>
              <w:tab/>
            </w:r>
            <w:r>
              <w:rPr>
                <w:noProof/>
                <w:webHidden/>
              </w:rPr>
              <w:fldChar w:fldCharType="begin"/>
            </w:r>
            <w:r>
              <w:rPr>
                <w:noProof/>
                <w:webHidden/>
              </w:rPr>
              <w:instrText xml:space="preserve"> PAGEREF _Toc222461578 \h </w:instrText>
            </w:r>
            <w:r>
              <w:rPr>
                <w:noProof/>
                <w:webHidden/>
              </w:rPr>
            </w:r>
            <w:r>
              <w:rPr>
                <w:noProof/>
                <w:webHidden/>
              </w:rPr>
              <w:fldChar w:fldCharType="separate"/>
            </w:r>
            <w:r>
              <w:rPr>
                <w:noProof/>
                <w:webHidden/>
              </w:rPr>
              <w:t>13</w:t>
            </w:r>
            <w:r>
              <w:rPr>
                <w:noProof/>
                <w:webHidden/>
              </w:rPr>
              <w:fldChar w:fldCharType="end"/>
            </w:r>
          </w:hyperlink>
        </w:p>
        <w:p w14:paraId="1E530558" w14:textId="591E7C4E"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79" w:history="1">
            <w:r w:rsidRPr="00A66888">
              <w:rPr>
                <w:rStyle w:val="Hyperlink"/>
                <w:noProof/>
              </w:rPr>
              <w:t>Action 3 | M/L Sensitivity Sweep and χ² Decomposition</w:t>
            </w:r>
            <w:r>
              <w:rPr>
                <w:noProof/>
                <w:webHidden/>
              </w:rPr>
              <w:tab/>
            </w:r>
            <w:r>
              <w:rPr>
                <w:noProof/>
                <w:webHidden/>
              </w:rPr>
              <w:fldChar w:fldCharType="begin"/>
            </w:r>
            <w:r>
              <w:rPr>
                <w:noProof/>
                <w:webHidden/>
              </w:rPr>
              <w:instrText xml:space="preserve"> PAGEREF _Toc222461579 \h </w:instrText>
            </w:r>
            <w:r>
              <w:rPr>
                <w:noProof/>
                <w:webHidden/>
              </w:rPr>
            </w:r>
            <w:r>
              <w:rPr>
                <w:noProof/>
                <w:webHidden/>
              </w:rPr>
              <w:fldChar w:fldCharType="separate"/>
            </w:r>
            <w:r>
              <w:rPr>
                <w:noProof/>
                <w:webHidden/>
              </w:rPr>
              <w:t>14</w:t>
            </w:r>
            <w:r>
              <w:rPr>
                <w:noProof/>
                <w:webHidden/>
              </w:rPr>
              <w:fldChar w:fldCharType="end"/>
            </w:r>
          </w:hyperlink>
        </w:p>
        <w:p w14:paraId="7200B3FE" w14:textId="195EE6B5"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80" w:history="1">
            <w:r w:rsidRPr="00A66888">
              <w:rPr>
                <w:rStyle w:val="Hyperlink"/>
                <w:noProof/>
              </w:rPr>
              <w:t>Action 4 | Derive the EFT Action (Minimal Covariant Form)</w:t>
            </w:r>
            <w:r>
              <w:rPr>
                <w:noProof/>
                <w:webHidden/>
              </w:rPr>
              <w:tab/>
            </w:r>
            <w:r>
              <w:rPr>
                <w:noProof/>
                <w:webHidden/>
              </w:rPr>
              <w:fldChar w:fldCharType="begin"/>
            </w:r>
            <w:r>
              <w:rPr>
                <w:noProof/>
                <w:webHidden/>
              </w:rPr>
              <w:instrText xml:space="preserve"> PAGEREF _Toc222461580 \h </w:instrText>
            </w:r>
            <w:r>
              <w:rPr>
                <w:noProof/>
                <w:webHidden/>
              </w:rPr>
            </w:r>
            <w:r>
              <w:rPr>
                <w:noProof/>
                <w:webHidden/>
              </w:rPr>
              <w:fldChar w:fldCharType="separate"/>
            </w:r>
            <w:r>
              <w:rPr>
                <w:noProof/>
                <w:webHidden/>
              </w:rPr>
              <w:t>14</w:t>
            </w:r>
            <w:r>
              <w:rPr>
                <w:noProof/>
                <w:webHidden/>
              </w:rPr>
              <w:fldChar w:fldCharType="end"/>
            </w:r>
          </w:hyperlink>
        </w:p>
        <w:p w14:paraId="20060BDD" w14:textId="79189B9E"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81" w:history="1">
            <w:r w:rsidRPr="00A66888">
              <w:rPr>
                <w:rStyle w:val="Hyperlink"/>
                <w:noProof/>
              </w:rPr>
              <w:t>Action 5 | Gravitational Slip Prediction and Lensing Test</w:t>
            </w:r>
            <w:r>
              <w:rPr>
                <w:noProof/>
                <w:webHidden/>
              </w:rPr>
              <w:tab/>
            </w:r>
            <w:r>
              <w:rPr>
                <w:noProof/>
                <w:webHidden/>
              </w:rPr>
              <w:fldChar w:fldCharType="begin"/>
            </w:r>
            <w:r>
              <w:rPr>
                <w:noProof/>
                <w:webHidden/>
              </w:rPr>
              <w:instrText xml:space="preserve"> PAGEREF _Toc222461581 \h </w:instrText>
            </w:r>
            <w:r>
              <w:rPr>
                <w:noProof/>
                <w:webHidden/>
              </w:rPr>
            </w:r>
            <w:r>
              <w:rPr>
                <w:noProof/>
                <w:webHidden/>
              </w:rPr>
              <w:fldChar w:fldCharType="separate"/>
            </w:r>
            <w:r>
              <w:rPr>
                <w:noProof/>
                <w:webHidden/>
              </w:rPr>
              <w:t>14</w:t>
            </w:r>
            <w:r>
              <w:rPr>
                <w:noProof/>
                <w:webHidden/>
              </w:rPr>
              <w:fldChar w:fldCharType="end"/>
            </w:r>
          </w:hyperlink>
        </w:p>
        <w:p w14:paraId="2301E90A" w14:textId="4D838AA7" w:rsidR="00C70DC6" w:rsidRDefault="00C70DC6">
          <w:pPr>
            <w:pStyle w:val="TOC2"/>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82" w:history="1">
            <w:r w:rsidRPr="00A66888">
              <w:rPr>
                <w:rStyle w:val="Hyperlink"/>
                <w:noProof/>
              </w:rPr>
              <w:t>Action 6 | Two-Parameter Extension and Cross-Validation</w:t>
            </w:r>
            <w:r>
              <w:rPr>
                <w:noProof/>
                <w:webHidden/>
              </w:rPr>
              <w:tab/>
            </w:r>
            <w:r>
              <w:rPr>
                <w:noProof/>
                <w:webHidden/>
              </w:rPr>
              <w:fldChar w:fldCharType="begin"/>
            </w:r>
            <w:r>
              <w:rPr>
                <w:noProof/>
                <w:webHidden/>
              </w:rPr>
              <w:instrText xml:space="preserve"> PAGEREF _Toc222461582 \h </w:instrText>
            </w:r>
            <w:r>
              <w:rPr>
                <w:noProof/>
                <w:webHidden/>
              </w:rPr>
            </w:r>
            <w:r>
              <w:rPr>
                <w:noProof/>
                <w:webHidden/>
              </w:rPr>
              <w:fldChar w:fldCharType="separate"/>
            </w:r>
            <w:r>
              <w:rPr>
                <w:noProof/>
                <w:webHidden/>
              </w:rPr>
              <w:t>15</w:t>
            </w:r>
            <w:r>
              <w:rPr>
                <w:noProof/>
                <w:webHidden/>
              </w:rPr>
              <w:fldChar w:fldCharType="end"/>
            </w:r>
          </w:hyperlink>
        </w:p>
        <w:p w14:paraId="1B55F09D" w14:textId="08D8898C"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83" w:history="1">
            <w:r w:rsidRPr="00A66888">
              <w:rPr>
                <w:rStyle w:val="Hyperlink"/>
                <w:noProof/>
              </w:rPr>
              <w:t>6.  Consolidated Assessment Matrix</w:t>
            </w:r>
            <w:r>
              <w:rPr>
                <w:noProof/>
                <w:webHidden/>
              </w:rPr>
              <w:tab/>
            </w:r>
            <w:r>
              <w:rPr>
                <w:noProof/>
                <w:webHidden/>
              </w:rPr>
              <w:fldChar w:fldCharType="begin"/>
            </w:r>
            <w:r>
              <w:rPr>
                <w:noProof/>
                <w:webHidden/>
              </w:rPr>
              <w:instrText xml:space="preserve"> PAGEREF _Toc222461583 \h </w:instrText>
            </w:r>
            <w:r>
              <w:rPr>
                <w:noProof/>
                <w:webHidden/>
              </w:rPr>
            </w:r>
            <w:r>
              <w:rPr>
                <w:noProof/>
                <w:webHidden/>
              </w:rPr>
              <w:fldChar w:fldCharType="separate"/>
            </w:r>
            <w:r>
              <w:rPr>
                <w:noProof/>
                <w:webHidden/>
              </w:rPr>
              <w:t>16</w:t>
            </w:r>
            <w:r>
              <w:rPr>
                <w:noProof/>
                <w:webHidden/>
              </w:rPr>
              <w:fldChar w:fldCharType="end"/>
            </w:r>
          </w:hyperlink>
        </w:p>
        <w:p w14:paraId="4AFC718E" w14:textId="7A0AF62A" w:rsidR="00C70DC6" w:rsidRDefault="00C70DC6">
          <w:pPr>
            <w:pStyle w:val="TOC1"/>
            <w:tabs>
              <w:tab w:val="right" w:leader="dot" w:pos="9830"/>
            </w:tabs>
            <w:rPr>
              <w:rFonts w:asciiTheme="minorHAnsi" w:eastAsiaTheme="minorEastAsia" w:hAnsiTheme="minorHAnsi" w:cstheme="minorBidi"/>
              <w:noProof/>
              <w:color w:val="auto"/>
              <w:kern w:val="2"/>
              <w:sz w:val="24"/>
              <w:szCs w:val="24"/>
              <w14:ligatures w14:val="standardContextual"/>
            </w:rPr>
          </w:pPr>
          <w:hyperlink w:anchor="_Toc222461584" w:history="1">
            <w:r w:rsidRPr="00A66888">
              <w:rPr>
                <w:rStyle w:val="Hyperlink"/>
                <w:noProof/>
              </w:rPr>
              <w:t>7.  Closing Statement</w:t>
            </w:r>
            <w:r>
              <w:rPr>
                <w:noProof/>
                <w:webHidden/>
              </w:rPr>
              <w:tab/>
            </w:r>
            <w:r>
              <w:rPr>
                <w:noProof/>
                <w:webHidden/>
              </w:rPr>
              <w:fldChar w:fldCharType="begin"/>
            </w:r>
            <w:r>
              <w:rPr>
                <w:noProof/>
                <w:webHidden/>
              </w:rPr>
              <w:instrText xml:space="preserve"> PAGEREF _Toc222461584 \h </w:instrText>
            </w:r>
            <w:r>
              <w:rPr>
                <w:noProof/>
                <w:webHidden/>
              </w:rPr>
            </w:r>
            <w:r>
              <w:rPr>
                <w:noProof/>
                <w:webHidden/>
              </w:rPr>
              <w:fldChar w:fldCharType="separate"/>
            </w:r>
            <w:r>
              <w:rPr>
                <w:noProof/>
                <w:webHidden/>
              </w:rPr>
              <w:t>17</w:t>
            </w:r>
            <w:r>
              <w:rPr>
                <w:noProof/>
                <w:webHidden/>
              </w:rPr>
              <w:fldChar w:fldCharType="end"/>
            </w:r>
          </w:hyperlink>
        </w:p>
        <w:p w14:paraId="373C92A4" w14:textId="519D291B" w:rsidR="00C70DC6" w:rsidRDefault="00C70DC6">
          <w:r>
            <w:rPr>
              <w:b/>
              <w:bCs/>
              <w:noProof/>
            </w:rPr>
            <w:fldChar w:fldCharType="end"/>
          </w:r>
        </w:p>
      </w:sdtContent>
    </w:sdt>
    <w:p w14:paraId="369526C7" w14:textId="77777777" w:rsidR="00C70DC6" w:rsidRDefault="00C70DC6">
      <w:pPr>
        <w:pStyle w:val="Heading1"/>
        <w:sectPr w:rsidR="00C70DC6">
          <w:pgSz w:w="12240" w:h="15840"/>
          <w:pgMar w:top="1200" w:right="1200" w:bottom="1200" w:left="1200" w:header="708" w:footer="708" w:gutter="0"/>
          <w:cols w:space="720"/>
          <w:docGrid w:linePitch="360"/>
        </w:sectPr>
      </w:pPr>
    </w:p>
    <w:p w14:paraId="1FF9BFFE" w14:textId="65599689" w:rsidR="000F6D48" w:rsidRDefault="00461A1D">
      <w:pPr>
        <w:pStyle w:val="Heading1"/>
      </w:pPr>
      <w:bookmarkStart w:id="2" w:name="_Toc222461560"/>
      <w:r>
        <w:t xml:space="preserve">1.  Quantitative Depth: </w:t>
      </w:r>
      <m:oMath>
        <m:sSup>
          <m:sSupPr>
            <m:ctrlPr>
              <w:rPr>
                <w:rFonts w:ascii="Cambria Math" w:hAnsi="Cambria Math"/>
                <w:i/>
              </w:rPr>
            </m:ctrlPr>
          </m:sSupPr>
          <m:e>
            <m:r>
              <m:rPr>
                <m:sty m:val="bi"/>
              </m:rPr>
              <w:rPr>
                <w:rFonts w:ascii="Cambria Math" w:hAnsi="Cambria Math"/>
              </w:rPr>
              <m:t>χ</m:t>
            </m:r>
          </m:e>
          <m:sup>
            <m:r>
              <m:rPr>
                <m:sty m:val="bi"/>
              </m:rPr>
              <w:rPr>
                <w:rFonts w:ascii="Cambria Math" w:hAnsi="Cambria Math"/>
              </w:rPr>
              <m:t>2</m:t>
            </m:r>
          </m:sup>
        </m:sSup>
      </m:oMath>
      <w:r>
        <w:t xml:space="preserve"> Anatomy and What It Actually Shows</w:t>
      </w:r>
      <w:bookmarkEnd w:id="2"/>
    </w:p>
    <w:p w14:paraId="4B473E80" w14:textId="77777777" w:rsidR="000F6D48" w:rsidRDefault="000F6D48">
      <w:pPr>
        <w:pBdr>
          <w:bottom w:val="single" w:sz="4" w:space="1" w:color="2B4070"/>
        </w:pBdr>
        <w:spacing w:after="60"/>
      </w:pPr>
    </w:p>
    <w:p w14:paraId="07359C6E" w14:textId="77777777" w:rsidR="000F6D48" w:rsidRDefault="000F6D48">
      <w:pPr>
        <w:spacing w:line="160" w:lineRule="auto"/>
      </w:pPr>
    </w:p>
    <w:p w14:paraId="2EBED8F7" w14:textId="53145CCD" w:rsidR="000F6D48" w:rsidRDefault="00EA7D6D">
      <w:pPr>
        <w:pStyle w:val="Heading2"/>
      </w:pPr>
      <w:bookmarkStart w:id="3" w:name="_Toc222461561"/>
      <w:r>
        <w:t>1.1 The</w:t>
      </w:r>
      <w:r w:rsidR="00461A1D">
        <w:t xml:space="preserve"> Extreme </w:t>
      </w:r>
      <m:oMath>
        <m:sSubSup>
          <m:sSubSupPr>
            <m:ctrlPr>
              <w:rPr>
                <w:rFonts w:ascii="Cambria Math" w:hAnsi="Cambria Math"/>
                <w:i/>
              </w:rPr>
            </m:ctrlPr>
          </m:sSubSupPr>
          <m:e>
            <m:r>
              <m:rPr>
                <m:sty m:val="bi"/>
              </m:rPr>
              <w:rPr>
                <w:rFonts w:ascii="Cambria Math" w:hAnsi="Cambria Math"/>
              </w:rPr>
              <m:t>χ</m:t>
            </m:r>
          </m:e>
          <m:sub>
            <m:r>
              <m:rPr>
                <m:sty m:val="bi"/>
              </m:rPr>
              <w:rPr>
                <w:rFonts w:ascii="Cambria Math" w:hAnsi="Cambria Math"/>
              </w:rPr>
              <m:t>bar</m:t>
            </m:r>
          </m:sub>
          <m:sup>
            <m:r>
              <m:rPr>
                <m:sty m:val="bi"/>
              </m:rPr>
              <w:rPr>
                <w:rFonts w:ascii="Cambria Math" w:hAnsi="Cambria Math"/>
              </w:rPr>
              <m:t>2</m:t>
            </m:r>
          </m:sup>
        </m:sSubSup>
      </m:oMath>
      <w:r w:rsidR="00461A1D">
        <w:t xml:space="preserve"> Values Are Legitimate — and Revealing</w:t>
      </w:r>
      <w:bookmarkEnd w:id="3"/>
    </w:p>
    <w:p w14:paraId="6A964DA0" w14:textId="48A0880B" w:rsidR="000F6D48" w:rsidRDefault="00461A1D">
      <w:pPr>
        <w:spacing w:before="60" w:after="100" w:line="340" w:lineRule="auto"/>
      </w:pPr>
      <w:r>
        <w:t xml:space="preserve">The baryons-only chi-squared values in the atlas are extreme: the median across 175 galaxies is </w:t>
      </w:r>
      <m:oMath>
        <m:sSubSup>
          <m:sSubSupPr>
            <m:ctrlPr>
              <w:rPr>
                <w:rFonts w:ascii="Cambria Math" w:hAnsi="Cambria Math"/>
                <w:i/>
              </w:rPr>
            </m:ctrlPr>
          </m:sSubSupPr>
          <m:e>
            <m:r>
              <w:rPr>
                <w:rFonts w:ascii="Cambria Math" w:hAnsi="Cambria Math"/>
              </w:rPr>
              <m:t>χ</m:t>
            </m:r>
          </m:e>
          <m:sub>
            <m:r>
              <w:rPr>
                <w:rFonts w:ascii="Cambria Math" w:hAnsi="Cambria Math"/>
              </w:rPr>
              <m:t>bar</m:t>
            </m:r>
          </m:sub>
          <m:sup>
            <m:r>
              <w:rPr>
                <w:rFonts w:ascii="Cambria Math" w:hAnsi="Cambria Math"/>
              </w:rPr>
              <m:t>2</m:t>
            </m:r>
          </m:sup>
        </m:sSubSup>
        <m:r>
          <w:rPr>
            <w:rFonts w:ascii="Cambria Math" w:hAnsi="Cambria Math"/>
          </w:rPr>
          <m:t>= 1,421</m:t>
        </m:r>
      </m:oMath>
      <w:r>
        <w:t xml:space="preserve"> and the maximum reaches 319,300 (NGC 2403, </w:t>
      </w:r>
      <m:oMath>
        <m:r>
          <w:rPr>
            <w:rFonts w:ascii="Cambria Math" w:hAnsi="Cambria Math"/>
          </w:rPr>
          <m:t>n = 73 points</m:t>
        </m:r>
      </m:oMath>
      <w:r>
        <w:t xml:space="preserve">). These are not inflated by an error in the pipeline. They are a direct consequence of SPARC's observational precision: the quoted velocity uncertainties are typically </w:t>
      </w:r>
      <m:oMath>
        <m:sSub>
          <m:sSubPr>
            <m:ctrlPr>
              <w:rPr>
                <w:rFonts w:ascii="Cambria Math" w:hAnsi="Cambria Math"/>
                <w:i/>
              </w:rPr>
            </m:ctrlPr>
          </m:sSubPr>
          <m:e>
            <m:r>
              <w:rPr>
                <w:rFonts w:ascii="Cambria Math" w:hAnsi="Cambria Math"/>
              </w:rPr>
              <m:t>σ</m:t>
            </m:r>
          </m:e>
          <m:sub>
            <m:r>
              <w:rPr>
                <w:rFonts w:ascii="Cambria Math" w:hAnsi="Cambria Math"/>
              </w:rPr>
              <m:t>v</m:t>
            </m:r>
          </m:sub>
        </m:sSub>
        <m:r>
          <w:rPr>
            <w:rFonts w:ascii="Cambria Math" w:hAnsi="Cambria Math"/>
          </w:rPr>
          <m:t>≈ 2-5</m:t>
        </m:r>
      </m:oMath>
      <w:r>
        <w:t xml:space="preserve"> km/s, and the baryonic deficit in most disc galaxies is 30–100 km/s at outer radii. A deficit of 50 km/s against an error of 3 km/s produces a per-point contribution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50</m:t>
                    </m:r>
                  </m:num>
                  <m:den>
                    <m:r>
                      <w:rPr>
                        <w:rFonts w:ascii="Cambria Math" w:hAnsi="Cambria Math"/>
                      </w:rPr>
                      <m:t>3</m:t>
                    </m:r>
                  </m:den>
                </m:f>
              </m:e>
            </m:d>
          </m:e>
          <m:sup>
            <m:r>
              <w:rPr>
                <w:rFonts w:ascii="Cambria Math" w:hAnsi="Cambria Math"/>
              </w:rPr>
              <m:t>2</m:t>
            </m:r>
          </m:sup>
        </m:sSup>
        <m:r>
          <w:rPr>
            <w:rFonts w:ascii="Cambria Math" w:hAnsi="Cambria Math"/>
          </w:rPr>
          <m:t>≈ 278</m:t>
        </m:r>
      </m:oMath>
      <w:r>
        <w:t xml:space="preserve">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compounded over 30+ data points. The numbers are astronomically large, but they are correct.</w:t>
      </w:r>
    </w:p>
    <w:p w14:paraId="232CE16C" w14:textId="4F52243F" w:rsidR="000F6D48" w:rsidRDefault="00461A1D">
      <w:pPr>
        <w:spacing w:before="60" w:after="100" w:line="340" w:lineRule="auto"/>
      </w:pPr>
      <w:r>
        <w:t xml:space="preserve">The table below documents the observed range. Note in particular that the reduced </w:t>
      </w:r>
      <m:oMath>
        <m:sSubSup>
          <m:sSubSupPr>
            <m:ctrlPr>
              <w:rPr>
                <w:rFonts w:ascii="Cambria Math" w:hAnsi="Cambria Math"/>
                <w:i/>
              </w:rPr>
            </m:ctrlPr>
          </m:sSubSupPr>
          <m:e>
            <m:r>
              <w:rPr>
                <w:rFonts w:ascii="Cambria Math" w:hAnsi="Cambria Math"/>
              </w:rPr>
              <m:t>χ</m:t>
            </m:r>
          </m:e>
          <m:sub>
            <m:r>
              <w:rPr>
                <w:rFonts w:ascii="Cambria Math" w:hAnsi="Cambria Math"/>
              </w:rPr>
              <m:t>bar</m:t>
            </m:r>
          </m:sub>
          <m:sup>
            <m:r>
              <w:rPr>
                <w:rFonts w:ascii="Cambria Math" w:hAnsi="Cambria Math"/>
              </w:rPr>
              <m:t>2</m:t>
            </m:r>
          </m:sup>
        </m:sSubSup>
        <m:d>
          <m:dPr>
            <m:ctrlPr>
              <w:rPr>
                <w:rFonts w:ascii="Cambria Math" w:hAnsi="Cambria Math"/>
                <w:i/>
              </w:rPr>
            </m:ctrlPr>
          </m:dPr>
          <m:e>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χ</m:t>
                    </m:r>
                  </m:e>
                  <m:sub>
                    <m:r>
                      <w:rPr>
                        <w:rFonts w:ascii="Cambria Math" w:hAnsi="Cambria Math"/>
                      </w:rPr>
                      <m:t>bar</m:t>
                    </m:r>
                  </m:sub>
                  <m:sup>
                    <m:r>
                      <w:rPr>
                        <w:rFonts w:ascii="Cambria Math" w:hAnsi="Cambria Math"/>
                      </w:rPr>
                      <m:t>2</m:t>
                    </m:r>
                  </m:sup>
                </m:sSubSup>
              </m:num>
              <m:den>
                <m:r>
                  <w:rPr>
                    <w:rFonts w:ascii="Cambria Math" w:hAnsi="Cambria Math"/>
                  </w:rPr>
                  <m:t>N-1</m:t>
                </m:r>
              </m:den>
            </m:f>
          </m:e>
        </m:d>
      </m:oMath>
      <w:r>
        <w:t xml:space="preserve"> confirms the scale: the median reduced value is 92.6, meaning the baryonic-only model misses the data by roughly </w:t>
      </w:r>
      <m:oMath>
        <m:rad>
          <m:radPr>
            <m:degHide m:val="1"/>
            <m:ctrlPr>
              <w:rPr>
                <w:rFonts w:ascii="Cambria Math" w:hAnsi="Cambria Math"/>
                <w:i/>
              </w:rPr>
            </m:ctrlPr>
          </m:radPr>
          <m:deg/>
          <m:e>
            <m:r>
              <w:rPr>
                <w:rFonts w:ascii="Cambria Math" w:hAnsi="Cambria Math"/>
              </w:rPr>
              <m:t>92.6</m:t>
            </m:r>
          </m:e>
        </m:rad>
        <m:r>
          <w:rPr>
            <w:rFonts w:ascii="Cambria Math" w:hAnsi="Cambria Math"/>
          </w:rPr>
          <m:t>≈ 9.6σ</m:t>
        </m:r>
      </m:oMath>
      <w:r>
        <w:t xml:space="preserve"> on average per point. This is the quantitative statement that rotation curves cannot be explained by baryons alone.</w:t>
      </w:r>
    </w:p>
    <w:p w14:paraId="0BD0AE1A" w14:textId="77777777" w:rsidR="000F6D48" w:rsidRDefault="000F6D48">
      <w:pPr>
        <w:spacing w:line="80" w:lineRule="auto"/>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C70DC6" w14:paraId="76ECABE5" w14:textId="77777777" w:rsidTr="00CB3B10">
        <w:trPr>
          <w:tblHeader/>
        </w:trPr>
        <w:tc>
          <w:tcPr>
            <w:tcW w:w="2160" w:type="dxa"/>
            <w:shd w:val="clear" w:color="auto" w:fill="0D1B2A"/>
            <w:tcMar>
              <w:top w:w="70" w:type="dxa"/>
              <w:left w:w="120" w:type="dxa"/>
              <w:bottom w:w="70" w:type="dxa"/>
              <w:right w:w="120" w:type="dxa"/>
            </w:tcMar>
            <w:vAlign w:val="center"/>
          </w:tcPr>
          <w:p w14:paraId="5FB3C1F5" w14:textId="77777777" w:rsidR="000F6D48" w:rsidRDefault="00461A1D">
            <w:r>
              <w:rPr>
                <w:b/>
                <w:bCs/>
                <w:color w:val="FFFFFF"/>
                <w:sz w:val="19"/>
                <w:szCs w:val="19"/>
              </w:rPr>
              <w:t>Statistic</w:t>
            </w:r>
          </w:p>
        </w:tc>
        <w:tc>
          <w:tcPr>
            <w:tcW w:w="1800" w:type="dxa"/>
            <w:shd w:val="clear" w:color="auto" w:fill="0D1B2A"/>
            <w:tcMar>
              <w:top w:w="70" w:type="dxa"/>
              <w:left w:w="120" w:type="dxa"/>
              <w:bottom w:w="70" w:type="dxa"/>
              <w:right w:w="120" w:type="dxa"/>
            </w:tcMar>
            <w:vAlign w:val="center"/>
          </w:tcPr>
          <w:p w14:paraId="0E24BBC8" w14:textId="59A116AF" w:rsidR="000F6D48" w:rsidRDefault="00C70DC6">
            <w:pPr>
              <w:jc w:val="center"/>
            </w:pPr>
            <m:oMath>
              <m:sSubSup>
                <m:sSubSupPr>
                  <m:ctrlPr>
                    <w:rPr>
                      <w:rFonts w:ascii="Cambria Math" w:hAnsi="Cambria Math"/>
                      <w:b/>
                      <w:bCs/>
                      <w:i/>
                      <w:color w:val="FFFFFF"/>
                      <w:sz w:val="19"/>
                      <w:szCs w:val="19"/>
                    </w:rPr>
                  </m:ctrlPr>
                </m:sSubSupPr>
                <m:e>
                  <m:r>
                    <m:rPr>
                      <m:sty m:val="bi"/>
                    </m:rPr>
                    <w:rPr>
                      <w:rFonts w:ascii="Cambria Math" w:hAnsi="Cambria Math"/>
                      <w:color w:val="FFFFFF"/>
                      <w:sz w:val="19"/>
                      <w:szCs w:val="19"/>
                    </w:rPr>
                    <m:t>χ</m:t>
                  </m:r>
                </m:e>
                <m:sub>
                  <m:r>
                    <m:rPr>
                      <m:sty m:val="bi"/>
                    </m:rPr>
                    <w:rPr>
                      <w:rFonts w:ascii="Cambria Math" w:hAnsi="Cambria Math"/>
                      <w:color w:val="FFFFFF"/>
                      <w:sz w:val="19"/>
                      <w:szCs w:val="19"/>
                    </w:rPr>
                    <m:t>bar</m:t>
                  </m:r>
                </m:sub>
                <m:sup>
                  <m:r>
                    <m:rPr>
                      <m:sty m:val="bi"/>
                    </m:rPr>
                    <w:rPr>
                      <w:rFonts w:ascii="Cambria Math" w:hAnsi="Cambria Math"/>
                      <w:color w:val="FFFFFF"/>
                      <w:sz w:val="19"/>
                      <w:szCs w:val="19"/>
                    </w:rPr>
                    <m:t>2</m:t>
                  </m:r>
                </m:sup>
              </m:sSubSup>
            </m:oMath>
            <w:r w:rsidR="00461A1D">
              <w:rPr>
                <w:b/>
                <w:bCs/>
                <w:color w:val="FFFFFF"/>
                <w:sz w:val="19"/>
                <w:szCs w:val="19"/>
              </w:rPr>
              <w:t xml:space="preserve"> (raw)</w:t>
            </w:r>
          </w:p>
        </w:tc>
        <w:tc>
          <w:tcPr>
            <w:tcW w:w="1800" w:type="dxa"/>
            <w:shd w:val="clear" w:color="auto" w:fill="0D1B2A"/>
            <w:tcMar>
              <w:top w:w="70" w:type="dxa"/>
              <w:left w:w="120" w:type="dxa"/>
              <w:bottom w:w="70" w:type="dxa"/>
              <w:right w:w="120" w:type="dxa"/>
            </w:tcMar>
            <w:vAlign w:val="center"/>
          </w:tcPr>
          <w:p w14:paraId="3244B116" w14:textId="21A7A9C3" w:rsidR="000F6D48" w:rsidRDefault="00461A1D">
            <w:pPr>
              <w:jc w:val="center"/>
            </w:pPr>
            <w:r>
              <w:rPr>
                <w:b/>
                <w:bCs/>
                <w:color w:val="FFFFFF"/>
                <w:sz w:val="19"/>
                <w:szCs w:val="19"/>
              </w:rPr>
              <w:t xml:space="preserve">Reduced </w:t>
            </w:r>
            <m:oMath>
              <m:sSubSup>
                <m:sSubSupPr>
                  <m:ctrlPr>
                    <w:rPr>
                      <w:rFonts w:ascii="Cambria Math" w:hAnsi="Cambria Math"/>
                      <w:b/>
                      <w:bCs/>
                      <w:i/>
                      <w:color w:val="FFFFFF"/>
                      <w:sz w:val="19"/>
                      <w:szCs w:val="19"/>
                    </w:rPr>
                  </m:ctrlPr>
                </m:sSubSupPr>
                <m:e>
                  <m:r>
                    <m:rPr>
                      <m:sty m:val="bi"/>
                    </m:rPr>
                    <w:rPr>
                      <w:rFonts w:ascii="Cambria Math" w:hAnsi="Cambria Math"/>
                      <w:color w:val="FFFFFF"/>
                      <w:sz w:val="19"/>
                      <w:szCs w:val="19"/>
                    </w:rPr>
                    <m:t>χ</m:t>
                  </m:r>
                </m:e>
                <m:sub>
                  <m:r>
                    <m:rPr>
                      <m:sty m:val="bi"/>
                    </m:rPr>
                    <w:rPr>
                      <w:rFonts w:ascii="Cambria Math" w:hAnsi="Cambria Math"/>
                      <w:color w:val="FFFFFF"/>
                      <w:sz w:val="19"/>
                      <w:szCs w:val="19"/>
                    </w:rPr>
                    <m:t>bar</m:t>
                  </m:r>
                </m:sub>
                <m:sup>
                  <m:r>
                    <m:rPr>
                      <m:sty m:val="bi"/>
                    </m:rPr>
                    <w:rPr>
                      <w:rFonts w:ascii="Cambria Math" w:hAnsi="Cambria Math"/>
                      <w:color w:val="FFFFFF"/>
                      <w:sz w:val="19"/>
                      <w:szCs w:val="19"/>
                    </w:rPr>
                    <m:t>2</m:t>
                  </m:r>
                </m:sup>
              </m:sSubSup>
            </m:oMath>
          </w:p>
        </w:tc>
        <w:tc>
          <w:tcPr>
            <w:tcW w:w="1800" w:type="dxa"/>
            <w:shd w:val="clear" w:color="auto" w:fill="0D1B2A"/>
            <w:tcMar>
              <w:top w:w="70" w:type="dxa"/>
              <w:left w:w="120" w:type="dxa"/>
              <w:bottom w:w="70" w:type="dxa"/>
              <w:right w:w="120" w:type="dxa"/>
            </w:tcMar>
            <w:vAlign w:val="center"/>
          </w:tcPr>
          <w:p w14:paraId="104A7322" w14:textId="4A90BD56" w:rsidR="000F6D48" w:rsidRDefault="00C70DC6">
            <w:pPr>
              <w:jc w:val="center"/>
            </w:pPr>
            <m:oMath>
              <m:sSubSup>
                <m:sSubSupPr>
                  <m:ctrlPr>
                    <w:rPr>
                      <w:rFonts w:ascii="Cambria Math" w:hAnsi="Cambria Math"/>
                      <w:b/>
                      <w:bCs/>
                      <w:i/>
                      <w:color w:val="FFFFFF"/>
                      <w:sz w:val="19"/>
                      <w:szCs w:val="19"/>
                    </w:rPr>
                  </m:ctrlPr>
                </m:sSubSupPr>
                <m:e>
                  <m:r>
                    <m:rPr>
                      <m:sty m:val="bi"/>
                    </m:rPr>
                    <w:rPr>
                      <w:rFonts w:ascii="Cambria Math" w:hAnsi="Cambria Math"/>
                      <w:color w:val="FFFFFF"/>
                      <w:sz w:val="19"/>
                      <w:szCs w:val="19"/>
                    </w:rPr>
                    <m:t>χ</m:t>
                  </m:r>
                </m:e>
                <m:sub>
                  <m:r>
                    <m:rPr>
                      <m:sty m:val="bi"/>
                    </m:rPr>
                    <w:rPr>
                      <w:rFonts w:ascii="Cambria Math" w:hAnsi="Cambria Math"/>
                      <w:color w:val="FFFFFF"/>
                      <w:sz w:val="19"/>
                      <w:szCs w:val="19"/>
                    </w:rPr>
                    <m:t>model</m:t>
                  </m:r>
                </m:sub>
                <m:sup>
                  <m:r>
                    <m:rPr>
                      <m:sty m:val="bi"/>
                    </m:rPr>
                    <w:rPr>
                      <w:rFonts w:ascii="Cambria Math" w:hAnsi="Cambria Math"/>
                      <w:color w:val="FFFFFF"/>
                      <w:sz w:val="19"/>
                      <w:szCs w:val="19"/>
                    </w:rPr>
                    <m:t>2</m:t>
                  </m:r>
                </m:sup>
              </m:sSubSup>
            </m:oMath>
            <w:r w:rsidR="00461A1D">
              <w:rPr>
                <w:b/>
                <w:bCs/>
                <w:color w:val="FFFFFF"/>
                <w:sz w:val="19"/>
                <w:szCs w:val="19"/>
              </w:rPr>
              <w:t xml:space="preserve"> (raw)</w:t>
            </w:r>
          </w:p>
        </w:tc>
        <w:tc>
          <w:tcPr>
            <w:tcW w:w="1800" w:type="dxa"/>
            <w:shd w:val="clear" w:color="auto" w:fill="0D1B2A"/>
            <w:tcMar>
              <w:top w:w="70" w:type="dxa"/>
              <w:left w:w="120" w:type="dxa"/>
              <w:bottom w:w="70" w:type="dxa"/>
              <w:right w:w="120" w:type="dxa"/>
            </w:tcMar>
            <w:vAlign w:val="center"/>
          </w:tcPr>
          <w:p w14:paraId="132FA689" w14:textId="327C7FC3" w:rsidR="000F6D48" w:rsidRDefault="00461A1D">
            <w:pPr>
              <w:jc w:val="center"/>
            </w:pPr>
            <w:r>
              <w:rPr>
                <w:b/>
                <w:bCs/>
                <w:color w:val="FFFFFF"/>
                <w:sz w:val="19"/>
                <w:szCs w:val="19"/>
              </w:rPr>
              <w:t xml:space="preserve">Reduced </w:t>
            </w:r>
            <m:oMath>
              <m:sSup>
                <m:sSupPr>
                  <m:ctrlPr>
                    <w:rPr>
                      <w:rFonts w:ascii="Cambria Math" w:hAnsi="Cambria Math"/>
                      <w:b/>
                      <w:bCs/>
                      <w:i/>
                      <w:color w:val="FFFFFF"/>
                      <w:sz w:val="19"/>
                      <w:szCs w:val="19"/>
                    </w:rPr>
                  </m:ctrlPr>
                </m:sSupPr>
                <m:e>
                  <m:r>
                    <m:rPr>
                      <m:sty m:val="bi"/>
                    </m:rPr>
                    <w:rPr>
                      <w:rFonts w:ascii="Cambria Math" w:hAnsi="Cambria Math"/>
                      <w:color w:val="FFFFFF"/>
                      <w:sz w:val="19"/>
                      <w:szCs w:val="19"/>
                    </w:rPr>
                    <m:t>χ</m:t>
                  </m:r>
                </m:e>
                <m:sup>
                  <m:r>
                    <m:rPr>
                      <m:sty m:val="bi"/>
                    </m:rPr>
                    <w:rPr>
                      <w:rFonts w:ascii="Cambria Math" w:hAnsi="Cambria Math"/>
                      <w:color w:val="FFFFFF"/>
                      <w:sz w:val="19"/>
                      <w:szCs w:val="19"/>
                    </w:rPr>
                    <m:t>2</m:t>
                  </m:r>
                </m:sup>
              </m:sSup>
            </m:oMath>
            <w:r>
              <w:rPr>
                <w:b/>
                <w:bCs/>
                <w:color w:val="FFFFFF"/>
                <w:sz w:val="19"/>
                <w:szCs w:val="19"/>
              </w:rPr>
              <w:t>_model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C70DC6" w14:paraId="2FB16C75" w14:textId="77777777">
        <w:tblPrEx>
          <w:tblCellMar>
            <w:top w:w="0" w:type="dxa"/>
            <w:bottom w:w="0" w:type="dxa"/>
          </w:tblCellMar>
        </w:tblPrEx>
        <w:tc>
          <w:tcPr>
            <w:tcW w:w="2160" w:type="dxa"/>
            <w:shd w:val="clear" w:color="auto" w:fill="F5F6F8"/>
            <w:tcMar>
              <w:top w:w="70" w:type="dxa"/>
              <w:left w:w="120" w:type="dxa"/>
              <w:bottom w:w="70" w:type="dxa"/>
              <w:right w:w="120" w:type="dxa"/>
            </w:tcMar>
            <w:vAlign w:val="center"/>
          </w:tcPr>
          <w:p w14:paraId="00182293" w14:textId="0A2ED259" w:rsidR="000F6D48" w:rsidRDefault="00EA7D6D">
            <m:oMathPara>
              <m:oMath>
                <m:r>
                  <w:rPr>
                    <w:rFonts w:ascii="Cambria Math" w:hAnsi="Cambria Math"/>
                    <w:sz w:val="20"/>
                    <w:szCs w:val="20"/>
                  </w:rPr>
                  <m:t>Minimum</m:t>
                </m:r>
              </m:oMath>
            </m:oMathPara>
          </w:p>
        </w:tc>
        <w:tc>
          <w:tcPr>
            <w:tcW w:w="1800" w:type="dxa"/>
            <w:shd w:val="clear" w:color="auto" w:fill="F5F6F8"/>
            <w:tcMar>
              <w:top w:w="70" w:type="dxa"/>
              <w:left w:w="120" w:type="dxa"/>
              <w:bottom w:w="70" w:type="dxa"/>
              <w:right w:w="120" w:type="dxa"/>
            </w:tcMar>
            <w:vAlign w:val="center"/>
          </w:tcPr>
          <w:p w14:paraId="38F31F12" w14:textId="77777777" w:rsidR="000F6D48" w:rsidRDefault="00461A1D">
            <w:pPr>
              <w:jc w:val="center"/>
            </w:pPr>
            <w:r>
              <w:rPr>
                <w:sz w:val="20"/>
                <w:szCs w:val="20"/>
              </w:rPr>
              <w:t>0.4</w:t>
            </w:r>
          </w:p>
        </w:tc>
        <w:tc>
          <w:tcPr>
            <w:tcW w:w="1800" w:type="dxa"/>
            <w:shd w:val="clear" w:color="auto" w:fill="F5F6F8"/>
            <w:tcMar>
              <w:top w:w="70" w:type="dxa"/>
              <w:left w:w="120" w:type="dxa"/>
              <w:bottom w:w="70" w:type="dxa"/>
              <w:right w:w="120" w:type="dxa"/>
            </w:tcMar>
            <w:vAlign w:val="center"/>
          </w:tcPr>
          <w:p w14:paraId="61FBBBD2" w14:textId="77777777" w:rsidR="000F6D48" w:rsidRDefault="00461A1D">
            <w:pPr>
              <w:jc w:val="center"/>
            </w:pPr>
            <w:r>
              <w:rPr>
                <w:sz w:val="20"/>
                <w:szCs w:val="20"/>
              </w:rPr>
              <w:t>0.11</w:t>
            </w:r>
          </w:p>
        </w:tc>
        <w:tc>
          <w:tcPr>
            <w:tcW w:w="1800" w:type="dxa"/>
            <w:shd w:val="clear" w:color="auto" w:fill="F5F6F8"/>
            <w:tcMar>
              <w:top w:w="70" w:type="dxa"/>
              <w:left w:w="120" w:type="dxa"/>
              <w:bottom w:w="70" w:type="dxa"/>
              <w:right w:w="120" w:type="dxa"/>
            </w:tcMar>
            <w:vAlign w:val="center"/>
          </w:tcPr>
          <w:p w14:paraId="11615D4E" w14:textId="77777777" w:rsidR="000F6D48" w:rsidRDefault="00461A1D">
            <w:pPr>
              <w:jc w:val="center"/>
            </w:pPr>
            <w:r>
              <w:rPr>
                <w:sz w:val="20"/>
                <w:szCs w:val="20"/>
              </w:rPr>
              <w:t>0.06</w:t>
            </w:r>
          </w:p>
        </w:tc>
        <w:tc>
          <w:tcPr>
            <w:tcW w:w="1800" w:type="dxa"/>
            <w:shd w:val="clear" w:color="auto" w:fill="F5F6F8"/>
            <w:tcMar>
              <w:top w:w="70" w:type="dxa"/>
              <w:left w:w="120" w:type="dxa"/>
              <w:bottom w:w="70" w:type="dxa"/>
              <w:right w:w="120" w:type="dxa"/>
            </w:tcMar>
            <w:vAlign w:val="center"/>
          </w:tcPr>
          <w:p w14:paraId="5F453008" w14:textId="77777777" w:rsidR="000F6D48" w:rsidRDefault="00461A1D">
            <w:pPr>
              <w:jc w:val="center"/>
            </w:pPr>
            <w:r>
              <w:rPr>
                <w:sz w:val="20"/>
                <w:szCs w:val="20"/>
              </w:rPr>
              <w:t>0.06</w:t>
            </w:r>
          </w:p>
        </w:tc>
      </w:tr>
      <w:tr w:rsidR="00C70DC6" w14:paraId="79C232C2" w14:textId="77777777">
        <w:tblPrEx>
          <w:tblCellMar>
            <w:top w:w="0" w:type="dxa"/>
            <w:bottom w:w="0" w:type="dxa"/>
          </w:tblCellMar>
        </w:tblPrEx>
        <w:tc>
          <w:tcPr>
            <w:tcW w:w="2160" w:type="dxa"/>
            <w:shd w:val="clear" w:color="auto" w:fill="FFFFFF"/>
            <w:tcMar>
              <w:top w:w="70" w:type="dxa"/>
              <w:left w:w="120" w:type="dxa"/>
              <w:bottom w:w="70" w:type="dxa"/>
              <w:right w:w="120" w:type="dxa"/>
            </w:tcMar>
            <w:vAlign w:val="center"/>
          </w:tcPr>
          <w:p w14:paraId="3A3E157C" w14:textId="0F9E740C" w:rsidR="000F6D48" w:rsidRDefault="00EA7D6D">
            <m:oMathPara>
              <m:oMath>
                <m:r>
                  <w:rPr>
                    <w:rFonts w:ascii="Cambria Math" w:hAnsi="Cambria Math"/>
                    <w:sz w:val="20"/>
                    <w:szCs w:val="20"/>
                  </w:rPr>
                  <m:t>Median</m:t>
                </m:r>
              </m:oMath>
            </m:oMathPara>
          </w:p>
        </w:tc>
        <w:tc>
          <w:tcPr>
            <w:tcW w:w="1800" w:type="dxa"/>
            <w:shd w:val="clear" w:color="auto" w:fill="FFFFFF"/>
            <w:tcMar>
              <w:top w:w="70" w:type="dxa"/>
              <w:left w:w="120" w:type="dxa"/>
              <w:bottom w:w="70" w:type="dxa"/>
              <w:right w:w="120" w:type="dxa"/>
            </w:tcMar>
            <w:vAlign w:val="center"/>
          </w:tcPr>
          <w:p w14:paraId="7ACB1461" w14:textId="77777777" w:rsidR="000F6D48" w:rsidRDefault="00461A1D">
            <w:pPr>
              <w:jc w:val="center"/>
            </w:pPr>
            <w:r>
              <w:rPr>
                <w:sz w:val="20"/>
                <w:szCs w:val="20"/>
              </w:rPr>
              <w:t>1,421</w:t>
            </w:r>
          </w:p>
        </w:tc>
        <w:tc>
          <w:tcPr>
            <w:tcW w:w="1800" w:type="dxa"/>
            <w:shd w:val="clear" w:color="auto" w:fill="FFFFFF"/>
            <w:tcMar>
              <w:top w:w="70" w:type="dxa"/>
              <w:left w:w="120" w:type="dxa"/>
              <w:bottom w:w="70" w:type="dxa"/>
              <w:right w:w="120" w:type="dxa"/>
            </w:tcMar>
            <w:vAlign w:val="center"/>
          </w:tcPr>
          <w:p w14:paraId="5BD9C160" w14:textId="77777777" w:rsidR="000F6D48" w:rsidRDefault="00461A1D">
            <w:pPr>
              <w:jc w:val="center"/>
            </w:pPr>
            <w:r>
              <w:rPr>
                <w:sz w:val="20"/>
                <w:szCs w:val="20"/>
              </w:rPr>
              <w:t>92.6</w:t>
            </w:r>
          </w:p>
        </w:tc>
        <w:tc>
          <w:tcPr>
            <w:tcW w:w="1800" w:type="dxa"/>
            <w:shd w:val="clear" w:color="auto" w:fill="FFFFFF"/>
            <w:tcMar>
              <w:top w:w="70" w:type="dxa"/>
              <w:left w:w="120" w:type="dxa"/>
              <w:bottom w:w="70" w:type="dxa"/>
              <w:right w:w="120" w:type="dxa"/>
            </w:tcMar>
            <w:vAlign w:val="center"/>
          </w:tcPr>
          <w:p w14:paraId="4BDC6EB2" w14:textId="77777777" w:rsidR="000F6D48" w:rsidRDefault="00461A1D">
            <w:pPr>
              <w:jc w:val="center"/>
            </w:pPr>
            <w:r>
              <w:rPr>
                <w:sz w:val="20"/>
                <w:szCs w:val="20"/>
              </w:rPr>
              <w:t>29.4</w:t>
            </w:r>
          </w:p>
        </w:tc>
        <w:tc>
          <w:tcPr>
            <w:tcW w:w="1800" w:type="dxa"/>
            <w:shd w:val="clear" w:color="auto" w:fill="FFFFFF"/>
            <w:tcMar>
              <w:top w:w="70" w:type="dxa"/>
              <w:left w:w="120" w:type="dxa"/>
              <w:bottom w:w="70" w:type="dxa"/>
              <w:right w:w="120" w:type="dxa"/>
            </w:tcMar>
            <w:vAlign w:val="center"/>
          </w:tcPr>
          <w:p w14:paraId="628F6EF0" w14:textId="77777777" w:rsidR="000F6D48" w:rsidRDefault="00461A1D">
            <w:pPr>
              <w:jc w:val="center"/>
            </w:pPr>
            <w:r>
              <w:rPr>
                <w:sz w:val="20"/>
                <w:szCs w:val="20"/>
              </w:rPr>
              <w:t>5.38</w:t>
            </w:r>
          </w:p>
        </w:tc>
      </w:tr>
      <w:tr w:rsidR="00C70DC6" w14:paraId="7FCC21F4" w14:textId="77777777">
        <w:tblPrEx>
          <w:tblCellMar>
            <w:top w:w="0" w:type="dxa"/>
            <w:bottom w:w="0" w:type="dxa"/>
          </w:tblCellMar>
        </w:tblPrEx>
        <w:tc>
          <w:tcPr>
            <w:tcW w:w="2160" w:type="dxa"/>
            <w:shd w:val="clear" w:color="auto" w:fill="F5F6F8"/>
            <w:tcMar>
              <w:top w:w="70" w:type="dxa"/>
              <w:left w:w="120" w:type="dxa"/>
              <w:bottom w:w="70" w:type="dxa"/>
              <w:right w:w="120" w:type="dxa"/>
            </w:tcMar>
            <w:vAlign w:val="center"/>
          </w:tcPr>
          <w:p w14:paraId="18DEACF4" w14:textId="6055660D" w:rsidR="000F6D48" w:rsidRDefault="00EA7D6D">
            <m:oMathPara>
              <m:oMath>
                <m:r>
                  <w:rPr>
                    <w:rFonts w:ascii="Cambria Math" w:hAnsi="Cambria Math"/>
                    <w:sz w:val="20"/>
                    <w:szCs w:val="20"/>
                  </w:rPr>
                  <m:t>Maximum</m:t>
                </m:r>
              </m:oMath>
            </m:oMathPara>
          </w:p>
        </w:tc>
        <w:tc>
          <w:tcPr>
            <w:tcW w:w="1800" w:type="dxa"/>
            <w:shd w:val="clear" w:color="auto" w:fill="F5F6F8"/>
            <w:tcMar>
              <w:top w:w="70" w:type="dxa"/>
              <w:left w:w="120" w:type="dxa"/>
              <w:bottom w:w="70" w:type="dxa"/>
              <w:right w:w="120" w:type="dxa"/>
            </w:tcMar>
            <w:vAlign w:val="center"/>
          </w:tcPr>
          <w:p w14:paraId="319DBD6C" w14:textId="77777777" w:rsidR="000F6D48" w:rsidRDefault="00461A1D">
            <w:pPr>
              <w:jc w:val="center"/>
            </w:pPr>
            <w:r>
              <w:rPr>
                <w:sz w:val="20"/>
                <w:szCs w:val="20"/>
              </w:rPr>
              <w:t>319,300</w:t>
            </w:r>
          </w:p>
        </w:tc>
        <w:tc>
          <w:tcPr>
            <w:tcW w:w="1800" w:type="dxa"/>
            <w:shd w:val="clear" w:color="auto" w:fill="F5F6F8"/>
            <w:tcMar>
              <w:top w:w="70" w:type="dxa"/>
              <w:left w:w="120" w:type="dxa"/>
              <w:bottom w:w="70" w:type="dxa"/>
              <w:right w:w="120" w:type="dxa"/>
            </w:tcMar>
            <w:vAlign w:val="center"/>
          </w:tcPr>
          <w:p w14:paraId="0B78953B" w14:textId="77777777" w:rsidR="000F6D48" w:rsidRDefault="00461A1D">
            <w:pPr>
              <w:jc w:val="center"/>
            </w:pPr>
            <w:r>
              <w:rPr>
                <w:sz w:val="20"/>
                <w:szCs w:val="20"/>
              </w:rPr>
              <w:t>6,424</w:t>
            </w:r>
          </w:p>
        </w:tc>
        <w:tc>
          <w:tcPr>
            <w:tcW w:w="1800" w:type="dxa"/>
            <w:shd w:val="clear" w:color="auto" w:fill="F5F6F8"/>
            <w:tcMar>
              <w:top w:w="70" w:type="dxa"/>
              <w:left w:w="120" w:type="dxa"/>
              <w:bottom w:w="70" w:type="dxa"/>
              <w:right w:w="120" w:type="dxa"/>
            </w:tcMar>
            <w:vAlign w:val="center"/>
          </w:tcPr>
          <w:p w14:paraId="2C01A65E" w14:textId="77777777" w:rsidR="000F6D48" w:rsidRDefault="00461A1D">
            <w:pPr>
              <w:jc w:val="center"/>
            </w:pPr>
            <w:r>
              <w:rPr>
                <w:sz w:val="20"/>
                <w:szCs w:val="20"/>
              </w:rPr>
              <w:t>18,170</w:t>
            </w:r>
          </w:p>
        </w:tc>
        <w:tc>
          <w:tcPr>
            <w:tcW w:w="1800" w:type="dxa"/>
            <w:shd w:val="clear" w:color="auto" w:fill="F5F6F8"/>
            <w:tcMar>
              <w:top w:w="70" w:type="dxa"/>
              <w:left w:w="120" w:type="dxa"/>
              <w:bottom w:w="70" w:type="dxa"/>
              <w:right w:w="120" w:type="dxa"/>
            </w:tcMar>
            <w:vAlign w:val="center"/>
          </w:tcPr>
          <w:p w14:paraId="565824E3" w14:textId="77777777" w:rsidR="000F6D48" w:rsidRDefault="00461A1D">
            <w:pPr>
              <w:jc w:val="center"/>
            </w:pPr>
            <w:r>
              <w:rPr>
                <w:sz w:val="20"/>
                <w:szCs w:val="20"/>
              </w:rPr>
              <w:t>299.1</w:t>
            </w:r>
          </w:p>
        </w:tc>
      </w:tr>
      <w:tr w:rsidR="00C70DC6" w14:paraId="00851C90" w14:textId="77777777">
        <w:tblPrEx>
          <w:tblCellMar>
            <w:top w:w="0" w:type="dxa"/>
            <w:bottom w:w="0" w:type="dxa"/>
          </w:tblCellMar>
        </w:tblPrEx>
        <w:tc>
          <w:tcPr>
            <w:tcW w:w="2160" w:type="dxa"/>
            <w:shd w:val="clear" w:color="auto" w:fill="FFFFFF"/>
            <w:tcMar>
              <w:top w:w="70" w:type="dxa"/>
              <w:left w:w="120" w:type="dxa"/>
              <w:bottom w:w="70" w:type="dxa"/>
              <w:right w:w="120" w:type="dxa"/>
            </w:tcMar>
            <w:vAlign w:val="center"/>
          </w:tcPr>
          <w:p w14:paraId="297F7026" w14:textId="0C430EB9" w:rsidR="000F6D48" w:rsidRDefault="00EA7D6D">
            <m:oMathPara>
              <m:oMath>
                <m:r>
                  <w:rPr>
                    <w:rFonts w:ascii="Cambria Math" w:hAnsi="Cambria Math"/>
                    <w:sz w:val="20"/>
                    <w:szCs w:val="20"/>
                  </w:rPr>
                  <m:t>N &gt; 100</m:t>
                </m:r>
              </m:oMath>
            </m:oMathPara>
          </w:p>
        </w:tc>
        <w:tc>
          <w:tcPr>
            <w:tcW w:w="1800" w:type="dxa"/>
            <w:shd w:val="clear" w:color="auto" w:fill="FFFFFF"/>
            <w:tcMar>
              <w:top w:w="70" w:type="dxa"/>
              <w:left w:w="120" w:type="dxa"/>
              <w:bottom w:w="70" w:type="dxa"/>
              <w:right w:w="120" w:type="dxa"/>
            </w:tcMar>
            <w:vAlign w:val="center"/>
          </w:tcPr>
          <w:p w14:paraId="18FE259E" w14:textId="77777777" w:rsidR="000F6D48" w:rsidRDefault="00461A1D">
            <w:pPr>
              <w:jc w:val="center"/>
            </w:pPr>
            <w:r>
              <w:rPr>
                <w:sz w:val="20"/>
                <w:szCs w:val="20"/>
              </w:rPr>
              <w:t>152/175</w:t>
            </w:r>
          </w:p>
        </w:tc>
        <w:tc>
          <w:tcPr>
            <w:tcW w:w="1800" w:type="dxa"/>
            <w:shd w:val="clear" w:color="auto" w:fill="FFFFFF"/>
            <w:tcMar>
              <w:top w:w="70" w:type="dxa"/>
              <w:left w:w="120" w:type="dxa"/>
              <w:bottom w:w="70" w:type="dxa"/>
              <w:right w:w="120" w:type="dxa"/>
            </w:tcMar>
            <w:vAlign w:val="center"/>
          </w:tcPr>
          <w:p w14:paraId="68F5E0A2" w14:textId="77777777" w:rsidR="000F6D48" w:rsidRDefault="00461A1D">
            <w:pPr>
              <w:jc w:val="center"/>
            </w:pPr>
            <w:r>
              <w:rPr>
                <w:sz w:val="20"/>
                <w:szCs w:val="20"/>
              </w:rPr>
              <w:t>—</w:t>
            </w:r>
          </w:p>
        </w:tc>
        <w:tc>
          <w:tcPr>
            <w:tcW w:w="1800" w:type="dxa"/>
            <w:shd w:val="clear" w:color="auto" w:fill="FFFFFF"/>
            <w:tcMar>
              <w:top w:w="70" w:type="dxa"/>
              <w:left w:w="120" w:type="dxa"/>
              <w:bottom w:w="70" w:type="dxa"/>
              <w:right w:w="120" w:type="dxa"/>
            </w:tcMar>
            <w:vAlign w:val="center"/>
          </w:tcPr>
          <w:p w14:paraId="3BB79692" w14:textId="77777777" w:rsidR="000F6D48" w:rsidRDefault="00461A1D">
            <w:pPr>
              <w:jc w:val="center"/>
            </w:pPr>
            <w:r>
              <w:rPr>
                <w:sz w:val="20"/>
                <w:szCs w:val="20"/>
              </w:rPr>
              <w:t>≈ 120/175</w:t>
            </w:r>
          </w:p>
        </w:tc>
        <w:tc>
          <w:tcPr>
            <w:tcW w:w="1800" w:type="dxa"/>
            <w:shd w:val="clear" w:color="auto" w:fill="FFFFFF"/>
            <w:tcMar>
              <w:top w:w="70" w:type="dxa"/>
              <w:left w:w="120" w:type="dxa"/>
              <w:bottom w:w="70" w:type="dxa"/>
              <w:right w:w="120" w:type="dxa"/>
            </w:tcMar>
            <w:vAlign w:val="center"/>
          </w:tcPr>
          <w:p w14:paraId="0D183237" w14:textId="77777777" w:rsidR="000F6D48" w:rsidRDefault="00461A1D">
            <w:pPr>
              <w:jc w:val="center"/>
            </w:pPr>
            <w:r>
              <w:rPr>
                <w:sz w:val="20"/>
                <w:szCs w:val="20"/>
              </w:rPr>
              <w:t>—</w:t>
            </w:r>
          </w:p>
        </w:tc>
      </w:tr>
      <w:tr w:rsidR="00C70DC6" w14:paraId="2165E664" w14:textId="77777777">
        <w:tblPrEx>
          <w:tblCellMar>
            <w:top w:w="0" w:type="dxa"/>
            <w:bottom w:w="0" w:type="dxa"/>
          </w:tblCellMar>
        </w:tblPrEx>
        <w:tc>
          <w:tcPr>
            <w:tcW w:w="2160" w:type="dxa"/>
            <w:shd w:val="clear" w:color="auto" w:fill="F5F6F8"/>
            <w:tcMar>
              <w:top w:w="70" w:type="dxa"/>
              <w:left w:w="120" w:type="dxa"/>
              <w:bottom w:w="70" w:type="dxa"/>
              <w:right w:w="120" w:type="dxa"/>
            </w:tcMar>
            <w:vAlign w:val="center"/>
          </w:tcPr>
          <w:p w14:paraId="7E3B8243" w14:textId="0B3F37BE" w:rsidR="000F6D48" w:rsidRDefault="00EA7D6D">
            <m:oMathPara>
              <m:oMath>
                <m:r>
                  <w:rPr>
                    <w:rFonts w:ascii="Cambria Math" w:hAnsi="Cambria Math"/>
                    <w:sz w:val="20"/>
                    <w:szCs w:val="20"/>
                  </w:rPr>
                  <m:t>N &gt; 10,000</m:t>
                </m:r>
              </m:oMath>
            </m:oMathPara>
          </w:p>
        </w:tc>
        <w:tc>
          <w:tcPr>
            <w:tcW w:w="1800" w:type="dxa"/>
            <w:shd w:val="clear" w:color="auto" w:fill="F5F6F8"/>
            <w:tcMar>
              <w:top w:w="70" w:type="dxa"/>
              <w:left w:w="120" w:type="dxa"/>
              <w:bottom w:w="70" w:type="dxa"/>
              <w:right w:w="120" w:type="dxa"/>
            </w:tcMar>
            <w:vAlign w:val="center"/>
          </w:tcPr>
          <w:p w14:paraId="4C013DF3" w14:textId="77777777" w:rsidR="000F6D48" w:rsidRDefault="00461A1D">
            <w:pPr>
              <w:jc w:val="center"/>
            </w:pPr>
            <w:r>
              <w:rPr>
                <w:sz w:val="20"/>
                <w:szCs w:val="20"/>
              </w:rPr>
              <w:t>29/175</w:t>
            </w:r>
          </w:p>
        </w:tc>
        <w:tc>
          <w:tcPr>
            <w:tcW w:w="1800" w:type="dxa"/>
            <w:shd w:val="clear" w:color="auto" w:fill="F5F6F8"/>
            <w:tcMar>
              <w:top w:w="70" w:type="dxa"/>
              <w:left w:w="120" w:type="dxa"/>
              <w:bottom w:w="70" w:type="dxa"/>
              <w:right w:w="120" w:type="dxa"/>
            </w:tcMar>
            <w:vAlign w:val="center"/>
          </w:tcPr>
          <w:p w14:paraId="66B2659F" w14:textId="77777777" w:rsidR="000F6D48" w:rsidRDefault="00461A1D">
            <w:pPr>
              <w:jc w:val="center"/>
            </w:pPr>
            <w:r>
              <w:rPr>
                <w:sz w:val="20"/>
                <w:szCs w:val="20"/>
              </w:rPr>
              <w:t>—</w:t>
            </w:r>
          </w:p>
        </w:tc>
        <w:tc>
          <w:tcPr>
            <w:tcW w:w="1800" w:type="dxa"/>
            <w:shd w:val="clear" w:color="auto" w:fill="F5F6F8"/>
            <w:tcMar>
              <w:top w:w="70" w:type="dxa"/>
              <w:left w:w="120" w:type="dxa"/>
              <w:bottom w:w="70" w:type="dxa"/>
              <w:right w:w="120" w:type="dxa"/>
            </w:tcMar>
            <w:vAlign w:val="center"/>
          </w:tcPr>
          <w:p w14:paraId="64F17680" w14:textId="77777777" w:rsidR="000F6D48" w:rsidRDefault="00461A1D">
            <w:pPr>
              <w:jc w:val="center"/>
            </w:pPr>
            <w:r>
              <w:rPr>
                <w:sz w:val="20"/>
                <w:szCs w:val="20"/>
              </w:rPr>
              <w:t>—</w:t>
            </w:r>
          </w:p>
        </w:tc>
        <w:tc>
          <w:tcPr>
            <w:tcW w:w="1800" w:type="dxa"/>
            <w:shd w:val="clear" w:color="auto" w:fill="F5F6F8"/>
            <w:tcMar>
              <w:top w:w="70" w:type="dxa"/>
              <w:left w:w="120" w:type="dxa"/>
              <w:bottom w:w="70" w:type="dxa"/>
              <w:right w:w="120" w:type="dxa"/>
            </w:tcMar>
            <w:vAlign w:val="center"/>
          </w:tcPr>
          <w:p w14:paraId="1E5C025D" w14:textId="77777777" w:rsidR="000F6D48" w:rsidRDefault="00461A1D">
            <w:pPr>
              <w:jc w:val="center"/>
            </w:pPr>
            <w:r>
              <w:rPr>
                <w:sz w:val="20"/>
                <w:szCs w:val="20"/>
              </w:rPr>
              <w:t>—</w:t>
            </w:r>
          </w:p>
        </w:tc>
      </w:tr>
    </w:tbl>
    <w:p w14:paraId="2DD2554B" w14:textId="77777777" w:rsidR="000F6D48" w:rsidRDefault="000F6D48">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D48" w14:paraId="487311BB" w14:textId="77777777">
        <w:tblPrEx>
          <w:tblCellMar>
            <w:top w:w="0" w:type="dxa"/>
            <w:bottom w:w="0" w:type="dxa"/>
          </w:tblCellMar>
        </w:tblPrEx>
        <w:tc>
          <w:tcPr>
            <w:tcW w:w="9360" w:type="dxa"/>
            <w:tcBorders>
              <w:left w:val="thick" w:sz="14" w:space="0" w:color="8B1A1A"/>
            </w:tcBorders>
            <w:shd w:val="clear" w:color="auto" w:fill="FDF2F2"/>
            <w:tcMar>
              <w:top w:w="120" w:type="dxa"/>
              <w:left w:w="220" w:type="dxa"/>
              <w:bottom w:w="120" w:type="dxa"/>
              <w:right w:w="160" w:type="dxa"/>
            </w:tcMar>
          </w:tcPr>
          <w:p w14:paraId="791EDF21" w14:textId="6B910C63" w:rsidR="000F6D48" w:rsidRDefault="00461A1D">
            <w:pPr>
              <w:spacing w:after="60"/>
            </w:pPr>
            <w:r>
              <w:rPr>
                <w:b/>
                <w:bCs/>
                <w:color w:val="8B1A1A"/>
                <w:sz w:val="19"/>
                <w:szCs w:val="19"/>
              </w:rPr>
              <w:t>Critical finding</w:t>
            </w:r>
            <w:r w:rsidR="00C70DC6">
              <w:rPr>
                <w:b/>
                <w:bCs/>
                <w:color w:val="8B1A1A"/>
                <w:sz w:val="19"/>
                <w:szCs w:val="19"/>
              </w:rPr>
              <w:t xml:space="preserve"> Disclosure</w:t>
            </w:r>
          </w:p>
          <w:p w14:paraId="306300BB" w14:textId="02D250B9" w:rsidR="000F6D48" w:rsidRDefault="00461A1D">
            <w:pPr>
              <w:spacing w:after="50" w:line="320" w:lineRule="auto"/>
            </w:pPr>
            <w:r>
              <w:rPr>
                <w:sz w:val="20"/>
                <w:szCs w:val="20"/>
              </w:rPr>
              <w:t xml:space="preserve">The model achieves dramatic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improvement — but the median reduced </w:t>
            </w:r>
            <m:oMath>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r>
                <w:rPr>
                  <w:rFonts w:ascii="Cambria Math" w:hAnsi="Cambria Math"/>
                  <w:sz w:val="20"/>
                  <w:szCs w:val="20"/>
                </w:rPr>
                <m:t>= 5.38</m:t>
              </m:r>
            </m:oMath>
            <w:r>
              <w:rPr>
                <w:sz w:val="20"/>
                <w:szCs w:val="20"/>
              </w:rPr>
              <w:t xml:space="preserve"> means the model is NOT a good fit in an absolute sense.</w:t>
            </w:r>
          </w:p>
          <w:p w14:paraId="611FD6A1" w14:textId="316D873C" w:rsidR="000F6D48" w:rsidRDefault="00461A1D">
            <w:pPr>
              <w:spacing w:after="50" w:line="320" w:lineRule="auto"/>
            </w:pPr>
            <w:r>
              <w:rPr>
                <w:sz w:val="20"/>
                <w:szCs w:val="20"/>
              </w:rPr>
              <w:t xml:space="preserve">On the highest-quality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flag</m:t>
                  </m:r>
                </m:sub>
              </m:sSub>
              <m:r>
                <w:rPr>
                  <w:rFonts w:ascii="Cambria Math" w:hAnsi="Cambria Math"/>
                  <w:sz w:val="20"/>
                  <w:szCs w:val="20"/>
                </w:rPr>
                <m:t>= 1</m:t>
              </m:r>
            </m:oMath>
            <w:r>
              <w:rPr>
                <w:sz w:val="20"/>
                <w:szCs w:val="20"/>
              </w:rPr>
              <w:t xml:space="preserve"> galaxies (n = 99), the median rises to 7.27 — the best-observed systems are fit most poorly in relative terms.</w:t>
            </w:r>
          </w:p>
          <w:p w14:paraId="1D79D062" w14:textId="4A10DB89" w:rsidR="000F6D48" w:rsidRDefault="00461A1D">
            <w:pPr>
              <w:spacing w:after="50" w:line="320" w:lineRule="auto"/>
            </w:pPr>
            <w:r>
              <w:rPr>
                <w:sz w:val="20"/>
                <w:szCs w:val="20"/>
              </w:rPr>
              <w:t>For data-rich galaxies (</w:t>
            </w:r>
            <m:oMath>
              <m:r>
                <w:rPr>
                  <w:rFonts w:ascii="Cambria Math" w:hAnsi="Cambria Math"/>
                  <w:sz w:val="20"/>
                  <w:szCs w:val="20"/>
                </w:rPr>
                <m:t>n &gt; 25 points</m:t>
              </m:r>
            </m:oMath>
            <w:r>
              <w:rPr>
                <w:sz w:val="20"/>
                <w:szCs w:val="20"/>
              </w:rPr>
              <w:t xml:space="preserve">), median </w:t>
            </w:r>
            <m:oMath>
              <m:r>
                <w:rPr>
                  <w:rFonts w:ascii="Cambria Math" w:hAnsi="Cambria Math"/>
                  <w:sz w:val="20"/>
                  <w:szCs w:val="20"/>
                </w:rPr>
                <m:t>r</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r>
                <w:rPr>
                  <w:rFonts w:ascii="Cambria Math" w:hAnsi="Cambria Math"/>
                  <w:sz w:val="20"/>
                  <w:szCs w:val="20"/>
                </w:rPr>
                <m:t>= 15.0</m:t>
              </m:r>
            </m:oMath>
            <w:r>
              <w:rPr>
                <w:sz w:val="20"/>
                <w:szCs w:val="20"/>
              </w:rPr>
              <w:t>, compared to 3.6 for sparsely sampled systems.</w:t>
            </w:r>
          </w:p>
          <w:p w14:paraId="653BF6AC" w14:textId="77777777" w:rsidR="000F6D48" w:rsidRDefault="00461A1D">
            <w:pPr>
              <w:spacing w:after="50" w:line="320" w:lineRule="auto"/>
            </w:pPr>
            <w:r>
              <w:rPr>
                <w:sz w:val="20"/>
                <w:szCs w:val="20"/>
              </w:rPr>
              <w:t>This data-density trend is diagnostic: it reveals model inadequacy that sparse sampling masks. It is not an artifact.</w:t>
            </w:r>
          </w:p>
        </w:tc>
      </w:tr>
    </w:tbl>
    <w:p w14:paraId="017C0655" w14:textId="77777777" w:rsidR="000F6D48" w:rsidRDefault="000F6D48">
      <w:pPr>
        <w:spacing w:line="80" w:lineRule="auto"/>
      </w:pPr>
    </w:p>
    <w:p w14:paraId="0E0BA4BA" w14:textId="52FBB422" w:rsidR="000F6D48" w:rsidRDefault="00461A1D">
      <w:pPr>
        <w:spacing w:before="60" w:after="100" w:line="340" w:lineRule="auto"/>
      </w:pPr>
      <w:r>
        <w:t xml:space="preserve">Concretely: 64 out of 175 galaxies (36.6%) have reduced </w:t>
      </w:r>
      <m:oMath>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r>
          <w:rPr>
            <w:rFonts w:ascii="Cambria Math" w:hAnsi="Cambria Math"/>
          </w:rPr>
          <m:t>≥ 10</m:t>
        </m:r>
      </m:oMath>
      <w:r>
        <w:t xml:space="preserve">. Only 50 galaxies (28.6%) achieve the conventional threshold of </w:t>
      </w:r>
      <m:oMath>
        <m:r>
          <w:rPr>
            <w:rFonts w:ascii="Cambria Math" w:hAnsi="Cambria Math"/>
          </w:rPr>
          <m:t>r</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2.0</m:t>
        </m:r>
      </m:oMath>
      <w:r>
        <w:t xml:space="preserve">. These numbers are important. The </w:t>
      </w:r>
      <m:oMath>
        <m:r>
          <w:rPr>
            <w:rFonts w:ascii="Cambria Math" w:hAnsi="Cambria Math"/>
          </w:rPr>
          <m:t>Δ</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improvement classification (very-strong in 92% of cases) measures relative improvement over a catastrophically bad baseline. It does not certify absolute goodness of fit. Both truths must be stated together.</w:t>
      </w:r>
    </w:p>
    <w:p w14:paraId="6FBB2FBC" w14:textId="739A544B" w:rsidR="000F6D48" w:rsidRDefault="00EA7D6D">
      <w:pPr>
        <w:pStyle w:val="Heading2"/>
      </w:pPr>
      <w:bookmarkStart w:id="4" w:name="_Toc222461562"/>
      <w:r>
        <w:t>1.2 AIC</w:t>
      </w:r>
      <w:r w:rsidR="00461A1D">
        <w:t xml:space="preserve"> and BIC: Overfitting Is Not the Problem</w:t>
      </w:r>
      <w:bookmarkEnd w:id="4"/>
    </w:p>
    <w:p w14:paraId="7B234587" w14:textId="463A5242" w:rsidR="000F6D48" w:rsidRDefault="00461A1D">
      <w:pPr>
        <w:spacing w:before="60" w:after="100" w:line="340" w:lineRule="auto"/>
      </w:pPr>
      <w:r>
        <w:t xml:space="preserve">The stated concern — that per-galaxy </w:t>
      </w:r>
      <m:oMath>
        <m:r>
          <w:rPr>
            <w:rFonts w:ascii="Cambria Math" w:hAnsi="Cambria Math"/>
          </w:rPr>
          <m:t>Q</m:t>
        </m:r>
      </m:oMath>
      <w:r>
        <w:t xml:space="preserve"> may overfit relative to MOND's universality — is addressable with standard information criteria. The Akaike Information Criterion (</w:t>
      </w:r>
      <m:oMath>
        <m:r>
          <w:rPr>
            <w:rFonts w:ascii="Cambria Math" w:hAnsi="Cambria Math"/>
          </w:rPr>
          <m:t xml:space="preserve">AIC = </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+ 2k</m:t>
        </m:r>
      </m:oMath>
      <w:r>
        <w:t>) and Bayesian Information Criterion (</w:t>
      </w:r>
      <m:oMath>
        <m:r>
          <w:rPr>
            <w:rFonts w:ascii="Cambria Math" w:hAnsi="Cambria Math"/>
          </w:rPr>
          <m:t xml:space="preserve">BIC = </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k</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oMath>
      <w:r>
        <w:t xml:space="preserve">) both </w:t>
      </w:r>
      <w:r w:rsidR="00EA7D6D">
        <w:t>penalize</w:t>
      </w:r>
      <w:r>
        <w:t xml:space="preserve"> the extra free parameter. The computed results across all 175 galaxies are:</w:t>
      </w:r>
    </w:p>
    <w:p w14:paraId="132F48CD" w14:textId="77777777" w:rsidR="000F6D48" w:rsidRDefault="000F6D48">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1620"/>
        <w:gridCol w:w="1080"/>
        <w:gridCol w:w="3781"/>
      </w:tblGrid>
      <w:tr w:rsidR="00C70DC6" w14:paraId="21A2DFCD" w14:textId="77777777" w:rsidTr="00EA7D6D">
        <w:tblPrEx>
          <w:tblCellMar>
            <w:top w:w="0" w:type="dxa"/>
            <w:bottom w:w="0" w:type="dxa"/>
          </w:tblCellMar>
        </w:tblPrEx>
        <w:tc>
          <w:tcPr>
            <w:tcW w:w="2879" w:type="dxa"/>
            <w:shd w:val="clear" w:color="auto" w:fill="0D1B2A"/>
            <w:tcMar>
              <w:top w:w="70" w:type="dxa"/>
              <w:left w:w="120" w:type="dxa"/>
              <w:bottom w:w="70" w:type="dxa"/>
              <w:right w:w="120" w:type="dxa"/>
            </w:tcMar>
            <w:vAlign w:val="center"/>
          </w:tcPr>
          <w:p w14:paraId="1808A496" w14:textId="77777777" w:rsidR="000F6D48" w:rsidRDefault="00461A1D">
            <w:r>
              <w:rPr>
                <w:b/>
                <w:bCs/>
                <w:color w:val="FFFFFF"/>
                <w:sz w:val="19"/>
                <w:szCs w:val="19"/>
              </w:rPr>
              <w:t>Criterion</w:t>
            </w:r>
          </w:p>
        </w:tc>
        <w:tc>
          <w:tcPr>
            <w:tcW w:w="1620" w:type="dxa"/>
            <w:shd w:val="clear" w:color="auto" w:fill="0D1B2A"/>
            <w:tcMar>
              <w:top w:w="70" w:type="dxa"/>
              <w:left w:w="120" w:type="dxa"/>
              <w:bottom w:w="70" w:type="dxa"/>
              <w:right w:w="120" w:type="dxa"/>
            </w:tcMar>
            <w:vAlign w:val="center"/>
          </w:tcPr>
          <w:p w14:paraId="1E9EC63E" w14:textId="77777777" w:rsidR="000F6D48" w:rsidRDefault="00461A1D">
            <w:pPr>
              <w:jc w:val="center"/>
            </w:pPr>
            <w:r>
              <w:rPr>
                <w:b/>
                <w:bCs/>
                <w:color w:val="FFFFFF"/>
                <w:sz w:val="19"/>
                <w:szCs w:val="19"/>
              </w:rPr>
              <w:t>Model preferred</w:t>
            </w:r>
          </w:p>
        </w:tc>
        <w:tc>
          <w:tcPr>
            <w:tcW w:w="1080" w:type="dxa"/>
            <w:shd w:val="clear" w:color="auto" w:fill="0D1B2A"/>
            <w:tcMar>
              <w:top w:w="70" w:type="dxa"/>
              <w:left w:w="120" w:type="dxa"/>
              <w:bottom w:w="70" w:type="dxa"/>
              <w:right w:w="120" w:type="dxa"/>
            </w:tcMar>
            <w:vAlign w:val="center"/>
          </w:tcPr>
          <w:p w14:paraId="4C27F165" w14:textId="77777777" w:rsidR="000F6D48" w:rsidRDefault="00461A1D">
            <w:pPr>
              <w:jc w:val="center"/>
            </w:pPr>
            <w:r>
              <w:rPr>
                <w:b/>
                <w:bCs/>
                <w:color w:val="FFFFFF"/>
                <w:sz w:val="19"/>
                <w:szCs w:val="19"/>
              </w:rPr>
              <w:t>Fraction</w:t>
            </w:r>
          </w:p>
        </w:tc>
        <w:tc>
          <w:tcPr>
            <w:tcW w:w="3781" w:type="dxa"/>
            <w:shd w:val="clear" w:color="auto" w:fill="0D1B2A"/>
            <w:tcMar>
              <w:top w:w="70" w:type="dxa"/>
              <w:left w:w="120" w:type="dxa"/>
              <w:bottom w:w="70" w:type="dxa"/>
              <w:right w:w="120" w:type="dxa"/>
            </w:tcMar>
            <w:vAlign w:val="center"/>
          </w:tcPr>
          <w:p w14:paraId="3364845D" w14:textId="77777777" w:rsidR="000F6D48" w:rsidRDefault="00461A1D">
            <w:pPr>
              <w:jc w:val="center"/>
            </w:pPr>
            <w:r>
              <w:rPr>
                <w:b/>
                <w:bCs/>
                <w:color w:val="FFFFFF"/>
                <w:sz w:val="19"/>
                <w:szCs w:val="19"/>
              </w:rPr>
              <w:t>Cases where NOT preferred</w:t>
            </w:r>
          </w:p>
        </w:tc>
      </w:tr>
      <w:tr w:rsidR="00C70DC6" w14:paraId="7939D9F3" w14:textId="77777777" w:rsidTr="00EA7D6D">
        <w:tblPrEx>
          <w:tblCellMar>
            <w:top w:w="0" w:type="dxa"/>
            <w:bottom w:w="0" w:type="dxa"/>
          </w:tblCellMar>
        </w:tblPrEx>
        <w:tc>
          <w:tcPr>
            <w:tcW w:w="2879" w:type="dxa"/>
            <w:shd w:val="clear" w:color="auto" w:fill="F5F6F8"/>
            <w:tcMar>
              <w:top w:w="70" w:type="dxa"/>
              <w:left w:w="120" w:type="dxa"/>
              <w:bottom w:w="70" w:type="dxa"/>
              <w:right w:w="120" w:type="dxa"/>
            </w:tcMar>
            <w:vAlign w:val="center"/>
          </w:tcPr>
          <w:p w14:paraId="74CB6632" w14:textId="5CD1E838" w:rsidR="000F6D48" w:rsidRDefault="00461A1D">
            <w:r>
              <w:rPr>
                <w:sz w:val="20"/>
                <w:szCs w:val="20"/>
              </w:rPr>
              <w:t>AIC (</w:t>
            </w:r>
            <m:oMath>
              <m:r>
                <w:rPr>
                  <w:rFonts w:ascii="Cambria Math" w:hAnsi="Cambria Math"/>
                  <w:sz w:val="20"/>
                  <w:szCs w:val="20"/>
                </w:rPr>
                <m:t xml:space="preserve">Δ = </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bar</m:t>
                  </m:r>
                </m:sub>
                <m:sup>
                  <m:r>
                    <w:rPr>
                      <w:rFonts w:ascii="Cambria Math" w:hAnsi="Cambria Math"/>
                      <w:sz w:val="20"/>
                      <w:szCs w:val="20"/>
                    </w:rPr>
                    <m:t>2</m:t>
                  </m:r>
                </m:sup>
              </m:sSubSup>
              <m:r>
                <w:rPr>
                  <w:rFonts w:ascii="Cambria Math" w:hAnsi="Cambria Math"/>
                  <w:sz w:val="20"/>
                  <w:szCs w:val="20"/>
                </w:rPr>
                <m:t>–</m:t>
              </m:r>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r>
                <w:rPr>
                  <w:rFonts w:ascii="Cambria Math" w:hAnsi="Cambria Math"/>
                  <w:sz w:val="20"/>
                  <w:szCs w:val="20"/>
                </w:rPr>
                <m:t>- 2</m:t>
              </m:r>
            </m:oMath>
            <w:r>
              <w:rPr>
                <w:sz w:val="20"/>
                <w:szCs w:val="20"/>
              </w:rPr>
              <w:t>)</w:t>
            </w:r>
          </w:p>
        </w:tc>
        <w:tc>
          <w:tcPr>
            <w:tcW w:w="1620" w:type="dxa"/>
            <w:shd w:val="clear" w:color="auto" w:fill="F5F6F8"/>
            <w:tcMar>
              <w:top w:w="70" w:type="dxa"/>
              <w:left w:w="120" w:type="dxa"/>
              <w:bottom w:w="70" w:type="dxa"/>
              <w:right w:w="120" w:type="dxa"/>
            </w:tcMar>
            <w:vAlign w:val="center"/>
          </w:tcPr>
          <w:p w14:paraId="3A1C8D44" w14:textId="77777777" w:rsidR="000F6D48" w:rsidRDefault="00461A1D">
            <w:pPr>
              <w:jc w:val="center"/>
            </w:pPr>
            <w:r>
              <w:rPr>
                <w:sz w:val="20"/>
                <w:szCs w:val="20"/>
              </w:rPr>
              <w:t>170/175</w:t>
            </w:r>
          </w:p>
        </w:tc>
        <w:tc>
          <w:tcPr>
            <w:tcW w:w="1080" w:type="dxa"/>
            <w:shd w:val="clear" w:color="auto" w:fill="F5F6F8"/>
            <w:tcMar>
              <w:top w:w="70" w:type="dxa"/>
              <w:left w:w="120" w:type="dxa"/>
              <w:bottom w:w="70" w:type="dxa"/>
              <w:right w:w="120" w:type="dxa"/>
            </w:tcMar>
            <w:vAlign w:val="center"/>
          </w:tcPr>
          <w:p w14:paraId="74644257" w14:textId="77777777" w:rsidR="000F6D48" w:rsidRDefault="00461A1D">
            <w:pPr>
              <w:jc w:val="center"/>
            </w:pPr>
            <w:r>
              <w:rPr>
                <w:sz w:val="20"/>
                <w:szCs w:val="20"/>
              </w:rPr>
              <w:t>97.1%</w:t>
            </w:r>
          </w:p>
        </w:tc>
        <w:tc>
          <w:tcPr>
            <w:tcW w:w="3781" w:type="dxa"/>
            <w:shd w:val="clear" w:color="auto" w:fill="F5F6F8"/>
            <w:tcMar>
              <w:top w:w="70" w:type="dxa"/>
              <w:left w:w="120" w:type="dxa"/>
              <w:bottom w:w="70" w:type="dxa"/>
              <w:right w:w="120" w:type="dxa"/>
            </w:tcMar>
            <w:vAlign w:val="center"/>
          </w:tcPr>
          <w:p w14:paraId="4551FF3D" w14:textId="387482A6" w:rsidR="000F6D48" w:rsidRDefault="00461A1D">
            <w:pPr>
              <w:jc w:val="center"/>
            </w:pPr>
            <w:r>
              <w:rPr>
                <w:sz w:val="20"/>
                <w:szCs w:val="20"/>
              </w:rPr>
              <w:t xml:space="preserve">5 galaxies (all </w:t>
            </w:r>
            <m:oMath>
              <m:r>
                <w:rPr>
                  <w:rFonts w:ascii="Cambria Math" w:hAnsi="Cambria Math"/>
                  <w:sz w:val="20"/>
                  <w:szCs w:val="20"/>
                </w:rPr>
                <m:t>n ≤ 8</m:t>
              </m:r>
            </m:oMath>
            <w:r>
              <w:rPr>
                <w:sz w:val="20"/>
                <w:szCs w:val="20"/>
              </w:rPr>
              <w:t>)</w:t>
            </w:r>
          </w:p>
        </w:tc>
      </w:tr>
      <w:tr w:rsidR="00C70DC6" w14:paraId="1969F1B0" w14:textId="77777777" w:rsidTr="00EA7D6D">
        <w:tblPrEx>
          <w:tblCellMar>
            <w:top w:w="0" w:type="dxa"/>
            <w:bottom w:w="0" w:type="dxa"/>
          </w:tblCellMar>
        </w:tblPrEx>
        <w:tc>
          <w:tcPr>
            <w:tcW w:w="2879" w:type="dxa"/>
            <w:shd w:val="clear" w:color="auto" w:fill="FFFFFF"/>
            <w:tcMar>
              <w:top w:w="70" w:type="dxa"/>
              <w:left w:w="120" w:type="dxa"/>
              <w:bottom w:w="70" w:type="dxa"/>
              <w:right w:w="120" w:type="dxa"/>
            </w:tcMar>
            <w:vAlign w:val="center"/>
          </w:tcPr>
          <w:p w14:paraId="6BB8E1CF" w14:textId="2F70420F" w:rsidR="000F6D48" w:rsidRDefault="00461A1D">
            <w:r>
              <w:rPr>
                <w:sz w:val="20"/>
                <w:szCs w:val="20"/>
              </w:rPr>
              <w:t>BIC (</w:t>
            </w:r>
            <m:oMath>
              <m:r>
                <w:rPr>
                  <w:rFonts w:ascii="Cambria Math" w:hAnsi="Cambria Math"/>
                  <w:sz w:val="20"/>
                  <w:szCs w:val="20"/>
                </w:rPr>
                <m:t xml:space="preserve">Δ = </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bar</m:t>
                  </m:r>
                </m:sub>
                <m:sup>
                  <m:r>
                    <w:rPr>
                      <w:rFonts w:ascii="Cambria Math" w:hAnsi="Cambria Math"/>
                      <w:sz w:val="20"/>
                      <w:szCs w:val="20"/>
                    </w:rPr>
                    <m:t>2</m:t>
                  </m:r>
                </m:sup>
              </m:sSubSup>
              <m:r>
                <w:rPr>
                  <w:rFonts w:ascii="Cambria Math" w:hAnsi="Cambria Math"/>
                  <w:sz w:val="20"/>
                  <w:szCs w:val="20"/>
                </w:rPr>
                <m:t>–</m:t>
              </m:r>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r>
                    <w:rPr>
                      <w:rFonts w:ascii="Cambria Math" w:hAnsi="Cambria Math"/>
                      <w:sz w:val="20"/>
                      <w:szCs w:val="20"/>
                    </w:rPr>
                    <m:t>N</m:t>
                  </m:r>
                </m:e>
              </m:func>
            </m:oMath>
            <w:r>
              <w:rPr>
                <w:sz w:val="20"/>
                <w:szCs w:val="20"/>
              </w:rPr>
              <w:t>)</w:t>
            </w:r>
          </w:p>
        </w:tc>
        <w:tc>
          <w:tcPr>
            <w:tcW w:w="1620" w:type="dxa"/>
            <w:shd w:val="clear" w:color="auto" w:fill="FFFFFF"/>
            <w:tcMar>
              <w:top w:w="70" w:type="dxa"/>
              <w:left w:w="120" w:type="dxa"/>
              <w:bottom w:w="70" w:type="dxa"/>
              <w:right w:w="120" w:type="dxa"/>
            </w:tcMar>
            <w:vAlign w:val="center"/>
          </w:tcPr>
          <w:p w14:paraId="2EBBBE35" w14:textId="77777777" w:rsidR="000F6D48" w:rsidRDefault="00461A1D">
            <w:pPr>
              <w:jc w:val="center"/>
            </w:pPr>
            <w:r>
              <w:rPr>
                <w:sz w:val="20"/>
                <w:szCs w:val="20"/>
              </w:rPr>
              <w:t>170/175</w:t>
            </w:r>
          </w:p>
        </w:tc>
        <w:tc>
          <w:tcPr>
            <w:tcW w:w="1080" w:type="dxa"/>
            <w:shd w:val="clear" w:color="auto" w:fill="FFFFFF"/>
            <w:tcMar>
              <w:top w:w="70" w:type="dxa"/>
              <w:left w:w="120" w:type="dxa"/>
              <w:bottom w:w="70" w:type="dxa"/>
              <w:right w:w="120" w:type="dxa"/>
            </w:tcMar>
            <w:vAlign w:val="center"/>
          </w:tcPr>
          <w:p w14:paraId="737CC267" w14:textId="77777777" w:rsidR="000F6D48" w:rsidRDefault="00461A1D">
            <w:pPr>
              <w:jc w:val="center"/>
            </w:pPr>
            <w:r>
              <w:rPr>
                <w:sz w:val="20"/>
                <w:szCs w:val="20"/>
              </w:rPr>
              <w:t>97.1%</w:t>
            </w:r>
          </w:p>
        </w:tc>
        <w:tc>
          <w:tcPr>
            <w:tcW w:w="3781" w:type="dxa"/>
            <w:shd w:val="clear" w:color="auto" w:fill="FFFFFF"/>
            <w:tcMar>
              <w:top w:w="70" w:type="dxa"/>
              <w:left w:w="120" w:type="dxa"/>
              <w:bottom w:w="70" w:type="dxa"/>
              <w:right w:w="120" w:type="dxa"/>
            </w:tcMar>
            <w:vAlign w:val="center"/>
          </w:tcPr>
          <w:p w14:paraId="143AF0BE" w14:textId="67E25515" w:rsidR="000F6D48" w:rsidRDefault="00461A1D">
            <w:pPr>
              <w:jc w:val="center"/>
            </w:pPr>
            <w:r>
              <w:rPr>
                <w:sz w:val="20"/>
                <w:szCs w:val="20"/>
              </w:rPr>
              <w:t>5 galaxies (all</w:t>
            </w:r>
            <m:oMath>
              <m:r>
                <w:rPr>
                  <w:rFonts w:ascii="Cambria Math" w:hAnsi="Cambria Math"/>
                  <w:sz w:val="20"/>
                  <w:szCs w:val="20"/>
                </w:rPr>
                <m:t xml:space="preserve"> n ≤ 8</m:t>
              </m:r>
            </m:oMath>
            <w:r>
              <w:rPr>
                <w:sz w:val="20"/>
                <w:szCs w:val="20"/>
              </w:rPr>
              <w:t>)</w:t>
            </w:r>
          </w:p>
        </w:tc>
      </w:tr>
      <w:tr w:rsidR="00C70DC6" w14:paraId="3E69FD9F" w14:textId="77777777" w:rsidTr="00EA7D6D">
        <w:tblPrEx>
          <w:tblCellMar>
            <w:top w:w="0" w:type="dxa"/>
            <w:bottom w:w="0" w:type="dxa"/>
          </w:tblCellMar>
        </w:tblPrEx>
        <w:tc>
          <w:tcPr>
            <w:tcW w:w="2879" w:type="dxa"/>
            <w:shd w:val="clear" w:color="auto" w:fill="F5F6F8"/>
            <w:tcMar>
              <w:top w:w="70" w:type="dxa"/>
              <w:left w:w="120" w:type="dxa"/>
              <w:bottom w:w="70" w:type="dxa"/>
              <w:right w:w="120" w:type="dxa"/>
            </w:tcMar>
            <w:vAlign w:val="center"/>
          </w:tcPr>
          <w:p w14:paraId="0B586912" w14:textId="77777777" w:rsidR="000F6D48" w:rsidRDefault="00461A1D">
            <w:r>
              <w:rPr>
                <w:sz w:val="20"/>
                <w:szCs w:val="20"/>
              </w:rPr>
              <w:t>Both criteria simultaneously</w:t>
            </w:r>
          </w:p>
        </w:tc>
        <w:tc>
          <w:tcPr>
            <w:tcW w:w="1620" w:type="dxa"/>
            <w:shd w:val="clear" w:color="auto" w:fill="F5F6F8"/>
            <w:tcMar>
              <w:top w:w="70" w:type="dxa"/>
              <w:left w:w="120" w:type="dxa"/>
              <w:bottom w:w="70" w:type="dxa"/>
              <w:right w:w="120" w:type="dxa"/>
            </w:tcMar>
            <w:vAlign w:val="center"/>
          </w:tcPr>
          <w:p w14:paraId="59C39AC0" w14:textId="77777777" w:rsidR="000F6D48" w:rsidRDefault="00461A1D">
            <w:pPr>
              <w:jc w:val="center"/>
            </w:pPr>
            <w:r>
              <w:rPr>
                <w:sz w:val="20"/>
                <w:szCs w:val="20"/>
              </w:rPr>
              <w:t>170/175</w:t>
            </w:r>
          </w:p>
        </w:tc>
        <w:tc>
          <w:tcPr>
            <w:tcW w:w="1080" w:type="dxa"/>
            <w:shd w:val="clear" w:color="auto" w:fill="F5F6F8"/>
            <w:tcMar>
              <w:top w:w="70" w:type="dxa"/>
              <w:left w:w="120" w:type="dxa"/>
              <w:bottom w:w="70" w:type="dxa"/>
              <w:right w:w="120" w:type="dxa"/>
            </w:tcMar>
            <w:vAlign w:val="center"/>
          </w:tcPr>
          <w:p w14:paraId="40148EF8" w14:textId="77777777" w:rsidR="000F6D48" w:rsidRDefault="00461A1D">
            <w:pPr>
              <w:jc w:val="center"/>
            </w:pPr>
            <w:r>
              <w:rPr>
                <w:sz w:val="20"/>
                <w:szCs w:val="20"/>
              </w:rPr>
              <w:t>97.1%</w:t>
            </w:r>
          </w:p>
        </w:tc>
        <w:tc>
          <w:tcPr>
            <w:tcW w:w="3781" w:type="dxa"/>
            <w:shd w:val="clear" w:color="auto" w:fill="F5F6F8"/>
            <w:tcMar>
              <w:top w:w="70" w:type="dxa"/>
              <w:left w:w="120" w:type="dxa"/>
              <w:bottom w:w="70" w:type="dxa"/>
              <w:right w:w="120" w:type="dxa"/>
            </w:tcMar>
            <w:vAlign w:val="center"/>
          </w:tcPr>
          <w:p w14:paraId="6FBD840D" w14:textId="77777777" w:rsidR="000F6D48" w:rsidRDefault="00461A1D">
            <w:pPr>
              <w:jc w:val="center"/>
            </w:pPr>
            <w:r>
              <w:rPr>
                <w:sz w:val="20"/>
                <w:szCs w:val="20"/>
              </w:rPr>
              <w:t>Same 5 galaxies</w:t>
            </w:r>
          </w:p>
        </w:tc>
      </w:tr>
    </w:tbl>
    <w:p w14:paraId="4858149A" w14:textId="77777777" w:rsidR="000F6D48" w:rsidRDefault="000F6D48">
      <w:pPr>
        <w:spacing w:line="80" w:lineRule="auto"/>
      </w:pPr>
    </w:p>
    <w:p w14:paraId="761B39CC" w14:textId="3D1A7141" w:rsidR="000F6D48" w:rsidRDefault="00461A1D">
      <w:pPr>
        <w:spacing w:before="60" w:after="100" w:line="340" w:lineRule="auto"/>
      </w:pPr>
      <w:r>
        <w:t xml:space="preserve">The 5 galaxies where BIC </w:t>
      </w:r>
      <w:r w:rsidR="00EA7D6D">
        <w:t>disfavors</w:t>
      </w:r>
      <w:r>
        <w:t xml:space="preserve"> the model are UGC06628, PGC51017, F574-2, NGC4389, and UGC02455 — all with </w:t>
      </w:r>
      <m:oMath>
        <m:r>
          <w:rPr>
            <w:rFonts w:ascii="Cambria Math" w:hAnsi="Cambria Math"/>
          </w:rPr>
          <m:t>n ≤ 8</m:t>
        </m:r>
      </m:oMath>
      <w:r>
        <w:t xml:space="preserve"> data points and negligible baryonic deficit (</w:t>
      </w:r>
      <m:oMath>
        <m:sSubSup>
          <m:sSubSupPr>
            <m:ctrlPr>
              <w:rPr>
                <w:rFonts w:ascii="Cambria Math" w:hAnsi="Cambria Math"/>
                <w:i/>
              </w:rPr>
            </m:ctrlPr>
          </m:sSubSupPr>
          <m:e>
            <m:r>
              <w:rPr>
                <w:rFonts w:ascii="Cambria Math" w:hAnsi="Cambria Math"/>
              </w:rPr>
              <m:t>χ</m:t>
            </m:r>
          </m:e>
          <m:sub>
            <m:r>
              <w:rPr>
                <w:rFonts w:ascii="Cambria Math" w:hAnsi="Cambria Math"/>
              </w:rPr>
              <m:t>bar</m:t>
            </m:r>
          </m:sub>
          <m:sup>
            <m:r>
              <w:rPr>
                <w:rFonts w:ascii="Cambria Math" w:hAnsi="Cambria Math"/>
              </w:rPr>
              <m:t>2</m:t>
            </m:r>
          </m:sup>
        </m:sSubSup>
        <m:r>
          <w:rPr>
            <w:rFonts w:ascii="Cambria Math" w:hAnsi="Cambria Math"/>
          </w:rPr>
          <m:t>&lt; 75</m:t>
        </m:r>
      </m:oMath>
      <w:r>
        <w:t xml:space="preserve">). In these </w:t>
      </w:r>
      <w:r w:rsidR="00EA7D6D">
        <w:t>cases,</w:t>
      </w:r>
      <w:r>
        <w:t xml:space="preserve"> the baryonic model already fits adequately, and adding Q buys negligible improvement at the cost of a parameter. This is honest model selection </w:t>
      </w:r>
      <w:r w:rsidR="00EA7D6D">
        <w:t>behavior</w:t>
      </w:r>
      <w:r>
        <w:t>, not a failure of the criterion.</w:t>
      </w:r>
    </w:p>
    <w:p w14:paraId="0D854FDB" w14:textId="52535872" w:rsidR="000F6D48" w:rsidRDefault="00461A1D">
      <w:pPr>
        <w:spacing w:before="60" w:after="100" w:line="340" w:lineRule="auto"/>
      </w:pPr>
      <w:r>
        <w:t xml:space="preserve">The overfitting framing is therefore misdirected as a blanket criticism. Overfitting would manifest as AIC/BIC </w:t>
      </w:r>
      <w:r w:rsidR="00EA7D6D">
        <w:t>penalizing</w:t>
      </w:r>
      <w:r>
        <w:t xml:space="preserve"> the model broadly across the sample. It does not. The risk is instead the opposite: the one-parameter model is underfitting relative to what a two-parameter (</w:t>
      </w:r>
      <m:oMath>
        <m:r>
          <w:rPr>
            <w:rFonts w:ascii="Cambria Math" w:hAnsi="Cambria Math"/>
          </w:rPr>
          <m:t>Q</m:t>
        </m:r>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Gaussian</m:t>
            </m:r>
          </m:sub>
        </m:sSub>
      </m:oMath>
      <w:r>
        <w:t>) or physically derived model could achieve.</w:t>
      </w:r>
    </w:p>
    <w:p w14:paraId="4E554B11" w14:textId="4EBA1B68" w:rsidR="000F6D48" w:rsidRDefault="00EA7D6D">
      <w:pPr>
        <w:pStyle w:val="Heading2"/>
      </w:pPr>
      <w:bookmarkStart w:id="5" w:name="_Toc222461563"/>
      <w:r>
        <w:t>1.3 The</w:t>
      </w:r>
      <w:r w:rsidR="00461A1D">
        <w:t xml:space="preserve"> Global </w:t>
      </w:r>
      <m:oMath>
        <m:r>
          <m:rPr>
            <m:sty m:val="bi"/>
          </m:rPr>
          <w:rPr>
            <w:rFonts w:ascii="Cambria Math" w:hAnsi="Cambria Math"/>
          </w:rPr>
          <m:t>Q</m:t>
        </m:r>
      </m:oMath>
      <w:r w:rsidR="00461A1D">
        <w:t xml:space="preserve"> Test: Why per-Galaxy </w:t>
      </w:r>
      <m:oMath>
        <m:r>
          <m:rPr>
            <m:sty m:val="bi"/>
          </m:rPr>
          <w:rPr>
            <w:rFonts w:ascii="Cambria Math" w:hAnsi="Cambria Math"/>
          </w:rPr>
          <m:t>Q</m:t>
        </m:r>
      </m:oMath>
      <w:r w:rsidR="00461A1D">
        <w:t xml:space="preserve"> Is Not Arbitrary</w:t>
      </w:r>
      <w:bookmarkEnd w:id="5"/>
    </w:p>
    <w:p w14:paraId="392DA218" w14:textId="54CDC631" w:rsidR="000F6D48" w:rsidRDefault="00461A1D">
      <w:pPr>
        <w:spacing w:before="60" w:after="100" w:line="340" w:lineRule="auto"/>
      </w:pPr>
      <w:r>
        <w:t xml:space="preserve">Directly computed from the atlas: the Pearson correlation between </w:t>
      </w:r>
      <m:oMath>
        <m:sSub>
          <m:sSubPr>
            <m:ctrlPr>
              <w:rPr>
                <w:rFonts w:ascii="Cambria Math" w:hAnsi="Cambria Math"/>
                <w:i/>
              </w:rPr>
            </m:ctrlPr>
          </m:sSubPr>
          <m:e>
            <m:r>
              <w:rPr>
                <w:rFonts w:ascii="Cambria Math" w:hAnsi="Cambria Math"/>
              </w:rPr>
              <m:t>v</m:t>
            </m:r>
          </m:e>
          <m:sub>
            <m:r>
              <w:rPr>
                <w:rFonts w:ascii="Cambria Math" w:hAnsi="Cambria Math"/>
              </w:rPr>
              <m:t>extra</m:t>
            </m:r>
          </m:sub>
        </m:sSub>
      </m:oMath>
      <w:r>
        <w:t xml:space="preserve"> </w:t>
      </w:r>
      <m:oMath>
        <m:d>
          <m:dPr>
            <m:ctrlPr>
              <w:rPr>
                <w:rFonts w:ascii="Cambria Math" w:hAnsi="Cambria Math"/>
                <w:i/>
              </w:rPr>
            </m:ctrlPr>
          </m:dPr>
          <m:e>
            <m:r>
              <w:rPr>
                <w:rFonts w:ascii="Cambria Math" w:hAnsi="Cambria Math"/>
              </w:rPr>
              <m:t xml:space="preserve">= </m:t>
            </m:r>
            <m:rad>
              <m:radPr>
                <m:degHide m:val="1"/>
                <m:ctrlPr>
                  <w:rPr>
                    <w:rFonts w:ascii="Cambria Math" w:hAnsi="Cambria Math"/>
                    <w:i/>
                  </w:rPr>
                </m:ctrlPr>
              </m:radPr>
              <m:deg/>
              <m:e>
                <m:r>
                  <w:rPr>
                    <w:rFonts w:ascii="Cambria Math" w:hAnsi="Cambria Math"/>
                  </w:rPr>
                  <m:t>Q</m:t>
                </m:r>
              </m:e>
            </m:rad>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flat</m:t>
            </m:r>
          </m:sub>
        </m:sSub>
      </m:oMath>
      <w:r>
        <w:t xml:space="preserve"> across the 135 galaxies with measured </w:t>
      </w:r>
      <m:oMath>
        <m:sSub>
          <m:sSubPr>
            <m:ctrlPr>
              <w:rPr>
                <w:rFonts w:ascii="Cambria Math" w:hAnsi="Cambria Math"/>
                <w:i/>
              </w:rPr>
            </m:ctrlPr>
          </m:sSubPr>
          <m:e>
            <m:r>
              <w:rPr>
                <w:rFonts w:ascii="Cambria Math" w:hAnsi="Cambria Math"/>
              </w:rPr>
              <m:t>V</m:t>
            </m:r>
          </m:e>
          <m:sub>
            <m:r>
              <w:rPr>
                <w:rFonts w:ascii="Cambria Math" w:hAnsi="Cambria Math"/>
              </w:rPr>
              <m:t>flat</m:t>
            </m:r>
          </m:sub>
        </m:sSub>
      </m:oMath>
      <w:r>
        <w:t xml:space="preserve"> is </w:t>
      </w:r>
      <m:oMath>
        <m:r>
          <w:rPr>
            <w:rFonts w:ascii="Cambria Math" w:hAnsi="Cambria Math"/>
          </w:rPr>
          <m:t>r = 0.940</m:t>
        </m:r>
      </m:oMath>
      <w:r>
        <w:t xml:space="preserve">. This is not a post-hoc observation — it is the Baryonic Tully-Fisher relation (BTF): </w:t>
      </w:r>
      <m:oMath>
        <m:sSub>
          <m:sSubPr>
            <m:ctrlPr>
              <w:rPr>
                <w:rFonts w:ascii="Cambria Math" w:hAnsi="Cambria Math"/>
                <w:i/>
              </w:rPr>
            </m:ctrlPr>
          </m:sSubPr>
          <m:e>
            <m:r>
              <w:rPr>
                <w:rFonts w:ascii="Cambria Math" w:hAnsi="Cambria Math"/>
              </w:rPr>
              <m:t>M</m:t>
            </m:r>
          </m:e>
          <m:sub>
            <m:r>
              <w:rPr>
                <w:rFonts w:ascii="Cambria Math" w:hAnsi="Cambria Math"/>
              </w:rPr>
              <m:t>bar</m:t>
            </m:r>
          </m:sub>
        </m:sSub>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flat</m:t>
            </m:r>
          </m:sub>
          <m:sup>
            <m:r>
              <w:rPr>
                <w:rFonts w:ascii="Cambria Math" w:hAnsi="Cambria Math"/>
              </w:rPr>
              <m:t>4</m:t>
            </m:r>
          </m:sup>
        </m:sSubSup>
      </m:oMath>
      <w:r>
        <w:t xml:space="preserve">, and since </w:t>
      </w:r>
      <m:oMath>
        <m:r>
          <w:rPr>
            <w:rFonts w:ascii="Cambria Math" w:hAnsi="Cambria Math"/>
          </w:rPr>
          <m:t xml:space="preserve">Q ~ </m:t>
        </m:r>
        <m:sSubSup>
          <m:sSubSupPr>
            <m:ctrlPr>
              <w:rPr>
                <w:rFonts w:ascii="Cambria Math" w:hAnsi="Cambria Math"/>
                <w:i/>
              </w:rPr>
            </m:ctrlPr>
          </m:sSubSupPr>
          <m:e>
            <m:r>
              <w:rPr>
                <w:rFonts w:ascii="Cambria Math" w:hAnsi="Cambria Math"/>
              </w:rPr>
              <m:t>V</m:t>
            </m:r>
          </m:e>
          <m:sub>
            <m:r>
              <w:rPr>
                <w:rFonts w:ascii="Cambria Math" w:hAnsi="Cambria Math"/>
              </w:rPr>
              <m:t>extra</m:t>
            </m:r>
          </m:sub>
          <m:sup>
            <m:r>
              <w:rPr>
                <w:rFonts w:ascii="Cambria Math" w:hAnsi="Cambria Math"/>
              </w:rPr>
              <m:t>2</m:t>
            </m:r>
          </m:sup>
        </m:sSubSup>
      </m:oMath>
      <w:r>
        <w:t xml:space="preserve">, the tight </w:t>
      </w:r>
      <m:oMath>
        <m:r>
          <w:rPr>
            <w:rFonts w:ascii="Cambria Math" w:hAnsi="Cambria Math"/>
          </w:rPr>
          <m:t>Q-</m:t>
        </m:r>
        <m:sSub>
          <m:sSubPr>
            <m:ctrlPr>
              <w:rPr>
                <w:rFonts w:ascii="Cambria Math" w:hAnsi="Cambria Math"/>
                <w:i/>
              </w:rPr>
            </m:ctrlPr>
          </m:sSubPr>
          <m:e>
            <m:r>
              <w:rPr>
                <w:rFonts w:ascii="Cambria Math" w:hAnsi="Cambria Math"/>
              </w:rPr>
              <m:t>V</m:t>
            </m:r>
          </m:e>
          <m:sub>
            <m:r>
              <w:rPr>
                <w:rFonts w:ascii="Cambria Math" w:hAnsi="Cambria Math"/>
              </w:rPr>
              <m:t>flat</m:t>
            </m:r>
          </m:sub>
        </m:sSub>
      </m:oMath>
      <w:r>
        <w:t xml:space="preserve"> correlation confirms that </w:t>
      </w:r>
      <m:oMath>
        <m:r>
          <w:rPr>
            <w:rFonts w:ascii="Cambria Math" w:hAnsi="Cambria Math"/>
          </w:rPr>
          <m:t>Q</m:t>
        </m:r>
      </m:oMath>
      <w:r>
        <w:t xml:space="preserve"> scales with baryonic mass. The coefficient of variation of v_extra is 59% (mean 100.6 km/s, std 59.2 km/s). A universal global Q would be physically incoherent for the same reason MOND does not use a universal baryonic Υ_disk: different galaxies have different masses, and their extra-velocity scale must reflect that.</w:t>
      </w:r>
    </w:p>
    <w:p w14:paraId="26B0412C" w14:textId="1B305CC2" w:rsidR="000F6D48" w:rsidRDefault="00461A1D">
      <w:pPr>
        <w:spacing w:before="60" w:after="100" w:line="340" w:lineRule="auto"/>
      </w:pPr>
      <w:r>
        <w:t xml:space="preserve">The constructive reformulation of this observation is the central next step (Section 5): if </w:t>
      </w:r>
      <m:oMath>
        <m:r>
          <w:rPr>
            <w:rFonts w:ascii="Cambria Math" w:hAnsi="Cambria Math"/>
          </w:rPr>
          <m:t>Q ≈ f</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bar</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disk</m:t>
                </m:r>
              </m:sub>
            </m:sSub>
          </m:e>
        </m:d>
      </m:oMath>
      <w:r>
        <w:t xml:space="preserve"> with </w:t>
      </w:r>
      <m:oMath>
        <m:r>
          <w:rPr>
            <w:rFonts w:ascii="Cambria Math" w:hAnsi="Cambria Math"/>
          </w:rPr>
          <m:t>f</m:t>
        </m:r>
      </m:oMath>
      <w:r>
        <w:t xml:space="preserve"> derivable from the BTF, then the per-galaxy freedom can be replaced by a semi-universal prediction — reducing the model's DOF from 1 per galaxy to effectively zero, matching MOND's parsimony while retaining the GR-EFT interpretive architecture.</w:t>
      </w:r>
    </w:p>
    <w:p w14:paraId="12FD8107" w14:textId="77777777" w:rsidR="00C70DC6" w:rsidRDefault="00C70DC6">
      <w:pPr>
        <w:pStyle w:val="Heading1"/>
        <w:sectPr w:rsidR="00C70DC6">
          <w:pgSz w:w="12240" w:h="15840"/>
          <w:pgMar w:top="1200" w:right="1200" w:bottom="1200" w:left="1200" w:header="708" w:footer="708" w:gutter="0"/>
          <w:cols w:space="720"/>
          <w:docGrid w:linePitch="360"/>
        </w:sectPr>
      </w:pPr>
    </w:p>
    <w:p w14:paraId="52C0EF47" w14:textId="77777777" w:rsidR="000F6D48" w:rsidRDefault="00461A1D">
      <w:pPr>
        <w:pStyle w:val="Heading1"/>
      </w:pPr>
      <w:bookmarkStart w:id="6" w:name="_Toc222461564"/>
      <w:r>
        <w:t>2.  Model Simplifications: What Each Costs</w:t>
      </w:r>
      <w:bookmarkEnd w:id="6"/>
    </w:p>
    <w:p w14:paraId="4EA85CC5" w14:textId="77777777" w:rsidR="000F6D48" w:rsidRDefault="000F6D48">
      <w:pPr>
        <w:pBdr>
          <w:bottom w:val="single" w:sz="4" w:space="1" w:color="2B4070"/>
        </w:pBdr>
        <w:spacing w:after="60"/>
      </w:pPr>
    </w:p>
    <w:p w14:paraId="2BFBD393" w14:textId="77777777" w:rsidR="000F6D48" w:rsidRDefault="000F6D48">
      <w:pPr>
        <w:spacing w:line="160" w:lineRule="auto"/>
      </w:pPr>
    </w:p>
    <w:p w14:paraId="76F0785B" w14:textId="17AE8EF7" w:rsidR="000F6D48" w:rsidRDefault="00CB3B10">
      <w:pPr>
        <w:pStyle w:val="Heading2"/>
      </w:pPr>
      <w:bookmarkStart w:id="7" w:name="_Toc222461565"/>
      <w:r>
        <w:t>2.1 The</w:t>
      </w:r>
      <w:r w:rsidR="00461A1D">
        <w:t xml:space="preserve"> </w:t>
      </w:r>
      <m:oMath>
        <m:f>
          <m:fPr>
            <m:ctrlPr>
              <w:rPr>
                <w:rFonts w:ascii="Cambria Math" w:hAnsi="Cambria Math"/>
                <w:i/>
              </w:rPr>
            </m:ctrlPr>
          </m:fPr>
          <m:num>
            <m:r>
              <m:rPr>
                <m:sty m:val="bi"/>
              </m:rPr>
              <w:rPr>
                <w:rFonts w:ascii="Cambria Math" w:hAnsi="Cambria Math"/>
              </w:rPr>
              <m:t>1</m:t>
            </m:r>
          </m:num>
          <m:den>
            <m:r>
              <m:rPr>
                <m:sty m:val="bi"/>
              </m:rPr>
              <w:rPr>
                <w:rFonts w:ascii="Cambria Math" w:hAnsi="Cambria Math"/>
              </w:rPr>
              <m:t>R</m:t>
            </m:r>
          </m:den>
        </m:f>
      </m:oMath>
      <w:r w:rsidR="00461A1D">
        <w:t xml:space="preserve"> Tail Ansatz: Necessary Scaffold, Not Final Theory</w:t>
      </w:r>
      <w:bookmarkEnd w:id="7"/>
    </w:p>
    <w:p w14:paraId="02461F9E" w14:textId="79717C70" w:rsidR="000F6D48" w:rsidRDefault="00461A1D">
      <w:pPr>
        <w:spacing w:before="60" w:after="100" w:line="340" w:lineRule="auto"/>
      </w:pPr>
      <w:r>
        <w:t xml:space="preserve">The auxiliary field </w:t>
      </w:r>
      <m:oMath>
        <m:r>
          <w:rPr>
            <w:rFonts w:ascii="Cambria Math" w:hAnsi="Cambria Math"/>
          </w:rPr>
          <m:t>χ</m:t>
        </m:r>
      </m:oMath>
      <w:r>
        <w:t xml:space="preserve"> satisfying a 2D radial Poisson equation with a Gaussian source at </w:t>
      </w:r>
      <m:oMath>
        <m:r>
          <w:rPr>
            <w:rFonts w:ascii="Cambria Math" w:hAnsi="Cambria Math"/>
          </w:rPr>
          <m:t>Rₜ</m:t>
        </m:r>
      </m:oMath>
      <w:r>
        <w:t xml:space="preserve"> is a deliberately minimal choice. Beyond the source region it produces </w:t>
      </w:r>
      <m:oMath>
        <m:sSup>
          <m:sSupPr>
            <m:ctrlPr>
              <w:rPr>
                <w:rFonts w:ascii="Cambria Math" w:hAnsi="Cambria Math"/>
                <w:i/>
              </w:rPr>
            </m:ctrlPr>
          </m:sSupPr>
          <m:e>
            <m:r>
              <w:rPr>
                <w:rFonts w:ascii="Cambria Math" w:hAnsi="Cambria Math"/>
              </w:rPr>
              <m:t>χ</m:t>
            </m:r>
          </m:e>
          <m:sup>
            <m:r>
              <w:rPr>
                <w:rFonts w:ascii="Cambria Math" w:hAnsi="Cambria Math"/>
              </w:rPr>
              <m:t>'</m:t>
            </m:r>
          </m:sup>
        </m:sSup>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t xml:space="preserve">, giving </w:t>
      </w:r>
      <m:oMath>
        <m:sSub>
          <m:sSubPr>
            <m:ctrlPr>
              <w:rPr>
                <w:rFonts w:ascii="Cambria Math" w:hAnsi="Cambria Math"/>
                <w:i/>
              </w:rPr>
            </m:ctrlPr>
          </m:sSubPr>
          <m:e>
            <m:r>
              <w:rPr>
                <w:rFonts w:ascii="Cambria Math" w:hAnsi="Cambria Math"/>
              </w:rPr>
              <m:t>g</m:t>
            </m:r>
          </m:e>
          <m:sub>
            <m:r>
              <w:rPr>
                <w:rFonts w:ascii="Cambria Math" w:hAnsi="Cambria Math"/>
              </w:rPr>
              <m:t>extra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t xml:space="preserve"> a</w:t>
      </w:r>
      <w:proofErr w:type="spellStart"/>
      <w:r>
        <w:t>nd</w:t>
      </w:r>
      <w:proofErr w:type="spellEnd"/>
      <w:r>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extra</m:t>
            </m:r>
          </m:sub>
          <m:sup>
            <m:r>
              <w:rPr>
                <w:rFonts w:ascii="Cambria Math" w:hAnsi="Cambria Math"/>
              </w:rPr>
              <m:t>2</m:t>
            </m:r>
          </m:sup>
        </m:sSubSup>
        <m:r>
          <w:rPr>
            <w:rFonts w:ascii="Cambria Math" w:hAnsi="Cambria Math"/>
          </w:rPr>
          <m:t>→ Q</m:t>
        </m:r>
      </m:oMath>
      <w:r>
        <w:t>. This is exactly the profile needed for asymptotically flat rotation curves, which is its virtue. Its failure modes are equally clear:</w:t>
      </w:r>
    </w:p>
    <w:p w14:paraId="57379AE2" w14:textId="737EBABD" w:rsidR="000F6D48" w:rsidRDefault="00461A1D">
      <w:pPr>
        <w:pStyle w:val="ListParagraph"/>
        <w:numPr>
          <w:ilvl w:val="0"/>
          <w:numId w:val="2"/>
        </w:numPr>
        <w:spacing w:before="50" w:after="50" w:line="320" w:lineRule="auto"/>
      </w:pPr>
      <w:r>
        <w:t xml:space="preserve">Rise-then-flatten </w:t>
      </w:r>
      <w:r w:rsidR="00CB3B10">
        <w:t>systems</w:t>
      </w:r>
      <w:r w:rsidR="00CB3B10">
        <w:rPr>
          <w:i/>
          <w:iCs/>
          <w:sz w:val="21"/>
          <w:szCs w:val="21"/>
        </w:rPr>
        <w:t xml:space="preserve"> Galaxies</w:t>
      </w:r>
      <w:r>
        <w:rPr>
          <w:i/>
          <w:iCs/>
          <w:sz w:val="21"/>
          <w:szCs w:val="21"/>
        </w:rPr>
        <w:t xml:space="preserve"> whose rotation curves rise steeply in the inner disc before flattening (ESO079-G014, NGC3109) require </w:t>
      </w:r>
      <m:oMath>
        <m:r>
          <w:rPr>
            <w:rFonts w:ascii="Cambria Math" w:hAnsi="Cambria Math"/>
            <w:sz w:val="21"/>
            <w:szCs w:val="21"/>
          </w:rPr>
          <m:t>Q</m:t>
        </m:r>
      </m:oMath>
      <w:r>
        <w:rPr>
          <w:i/>
          <w:iCs/>
          <w:sz w:val="21"/>
          <w:szCs w:val="21"/>
        </w:rPr>
        <w:t xml:space="preserve"> to balance both the inner rise and outer flat — the single amplitude cannot independently tune both regimes.</w:t>
      </w:r>
    </w:p>
    <w:p w14:paraId="0B3DA992" w14:textId="6B995C6C" w:rsidR="000F6D48" w:rsidRDefault="00461A1D">
      <w:pPr>
        <w:pStyle w:val="ListParagraph"/>
        <w:numPr>
          <w:ilvl w:val="0"/>
          <w:numId w:val="2"/>
        </w:numPr>
        <w:spacing w:before="50" w:after="50" w:line="320" w:lineRule="auto"/>
      </w:pPr>
      <w:r>
        <w:t xml:space="preserve">Declining outer </w:t>
      </w:r>
      <w:r w:rsidR="00CB3B10">
        <w:t>curves</w:t>
      </w:r>
      <w:r w:rsidR="00CB3B10">
        <w:rPr>
          <w:i/>
          <w:iCs/>
          <w:sz w:val="21"/>
          <w:szCs w:val="21"/>
        </w:rPr>
        <w:t xml:space="preserve"> NGC</w:t>
      </w:r>
      <w:r>
        <w:rPr>
          <w:i/>
          <w:iCs/>
          <w:sz w:val="21"/>
          <w:szCs w:val="21"/>
        </w:rPr>
        <w:t xml:space="preserve">5907, NGC2841, and similar massive spirals show outer velocity decline. The </w:t>
      </w:r>
      <m:oMath>
        <m:f>
          <m:fPr>
            <m:ctrlPr>
              <w:rPr>
                <w:rFonts w:ascii="Cambria Math" w:hAnsi="Cambria Math"/>
                <w:i/>
                <w:iCs/>
                <w:sz w:val="21"/>
                <w:szCs w:val="21"/>
              </w:rPr>
            </m:ctrlPr>
          </m:fPr>
          <m:num>
            <m:r>
              <w:rPr>
                <w:rFonts w:ascii="Cambria Math" w:hAnsi="Cambria Math"/>
                <w:sz w:val="21"/>
                <w:szCs w:val="21"/>
              </w:rPr>
              <m:t>1</m:t>
            </m:r>
          </m:num>
          <m:den>
            <m:r>
              <w:rPr>
                <w:rFonts w:ascii="Cambria Math" w:hAnsi="Cambria Math"/>
                <w:sz w:val="21"/>
                <w:szCs w:val="21"/>
              </w:rPr>
              <m:t>R</m:t>
            </m:r>
          </m:den>
        </m:f>
      </m:oMath>
      <w:r>
        <w:rPr>
          <w:i/>
          <w:iCs/>
          <w:sz w:val="21"/>
          <w:szCs w:val="21"/>
        </w:rPr>
        <w:t xml:space="preserve"> tail predicts flat, not declining — it cannot capture a net gravitational softening at very large </w:t>
      </w:r>
      <m:oMath>
        <m:r>
          <w:rPr>
            <w:rFonts w:ascii="Cambria Math" w:hAnsi="Cambria Math"/>
            <w:sz w:val="21"/>
            <w:szCs w:val="21"/>
          </w:rPr>
          <m:t>R</m:t>
        </m:r>
      </m:oMath>
      <w:r>
        <w:rPr>
          <w:i/>
          <w:iCs/>
          <w:sz w:val="21"/>
          <w:szCs w:val="21"/>
        </w:rPr>
        <w:t xml:space="preserve"> without negative </w:t>
      </w:r>
      <m:oMath>
        <m:r>
          <w:rPr>
            <w:rFonts w:ascii="Cambria Math" w:hAnsi="Cambria Math"/>
            <w:sz w:val="21"/>
            <w:szCs w:val="21"/>
          </w:rPr>
          <m:t>Q</m:t>
        </m:r>
      </m:oMath>
      <w:r>
        <w:rPr>
          <w:i/>
          <w:iCs/>
          <w:sz w:val="21"/>
          <w:szCs w:val="21"/>
        </w:rPr>
        <w:t>.</w:t>
      </w:r>
    </w:p>
    <w:p w14:paraId="579F0BDF" w14:textId="65A5A15C" w:rsidR="000F6D48" w:rsidRDefault="00461A1D">
      <w:pPr>
        <w:pStyle w:val="ListParagraph"/>
        <w:numPr>
          <w:ilvl w:val="0"/>
          <w:numId w:val="2"/>
        </w:numPr>
        <w:spacing w:before="50" w:after="50" w:line="320" w:lineRule="auto"/>
      </w:pPr>
      <w:r>
        <w:t xml:space="preserve">Compact bulge </w:t>
      </w:r>
      <w:r w:rsidR="00CB3B10">
        <w:t>systems</w:t>
      </w:r>
      <w:r w:rsidR="00CB3B10">
        <w:rPr>
          <w:i/>
          <w:iCs/>
          <w:sz w:val="21"/>
          <w:szCs w:val="21"/>
        </w:rPr>
        <w:t xml:space="preserve"> </w:t>
      </w:r>
      <m:oMath>
        <m:r>
          <w:rPr>
            <w:rFonts w:ascii="Cambria Math" w:hAnsi="Cambria Math"/>
            <w:sz w:val="21"/>
            <w:szCs w:val="21"/>
          </w:rPr>
          <m:t>In</m:t>
        </m:r>
      </m:oMath>
      <w:r>
        <w:rPr>
          <w:i/>
          <w:iCs/>
          <w:sz w:val="21"/>
          <w:szCs w:val="21"/>
        </w:rPr>
        <w:t xml:space="preserve"> bulge-dominated early-type galaxies, the Gaussian source at </w:t>
      </w:r>
      <m:oMath>
        <m:r>
          <w:rPr>
            <w:rFonts w:ascii="Cambria Math" w:hAnsi="Cambria Math"/>
            <w:sz w:val="21"/>
            <w:szCs w:val="21"/>
          </w:rPr>
          <m:t>Rₜ</m:t>
        </m:r>
      </m:oMath>
      <w:r>
        <w:rPr>
          <w:i/>
          <w:iCs/>
          <w:sz w:val="21"/>
          <w:szCs w:val="21"/>
        </w:rPr>
        <w:t xml:space="preserve"> is placed in the outskirts relative t</w:t>
      </w:r>
      <w:proofErr w:type="spellStart"/>
      <w:r>
        <w:rPr>
          <w:i/>
          <w:iCs/>
          <w:sz w:val="21"/>
          <w:szCs w:val="21"/>
        </w:rPr>
        <w:t>o</w:t>
      </w:r>
      <w:proofErr w:type="spellEnd"/>
      <w:r>
        <w:rPr>
          <w:i/>
          <w:iCs/>
          <w:sz w:val="21"/>
          <w:szCs w:val="21"/>
        </w:rPr>
        <w:t xml:space="preserve"> the baryonic concentration, but the model does not account for the extra potential from the inner mass peak. Inner residuals are consequently large.</w:t>
      </w:r>
    </w:p>
    <w:p w14:paraId="0B974EF2" w14:textId="0D1E641A" w:rsidR="000F6D48" w:rsidRDefault="00461A1D">
      <w:pPr>
        <w:spacing w:before="60" w:after="100" w:line="340" w:lineRule="auto"/>
      </w:pPr>
      <w:r>
        <w:t>The data-density trend (</w:t>
      </w:r>
      <m:oMath>
        <m:r>
          <w:rPr>
            <w:rFonts w:ascii="Cambria Math" w:hAnsi="Cambria Math"/>
          </w:rPr>
          <m:t>r</m:t>
        </m:r>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r>
          <w:rPr>
            <w:rFonts w:ascii="Cambria Math" w:hAnsi="Cambria Math"/>
          </w:rPr>
          <m:t>= 3.6</m:t>
        </m:r>
      </m:oMath>
      <w:r>
        <w:t xml:space="preserve"> for </w:t>
      </w:r>
      <m:oMath>
        <m:r>
          <w:rPr>
            <w:rFonts w:ascii="Cambria Math" w:hAnsi="Cambria Math"/>
          </w:rPr>
          <m:t>n ≤ 10</m:t>
        </m:r>
      </m:oMath>
      <w:r>
        <w:t xml:space="preserve">, rising to 15.0 for </w:t>
      </w:r>
      <m:oMath>
        <m:r>
          <w:rPr>
            <w:rFonts w:ascii="Cambria Math" w:hAnsi="Cambria Math"/>
          </w:rPr>
          <m:t>n &gt; 25</m:t>
        </m:r>
      </m:oMath>
      <w:r>
        <w:t>) is direct evide</w:t>
      </w:r>
      <w:proofErr w:type="spellStart"/>
      <w:r>
        <w:t>nce</w:t>
      </w:r>
      <w:proofErr w:type="spellEnd"/>
      <w:r>
        <w:t xml:space="preserve"> that these failure modes are systematic. They are revealed by data, not hidden by it. The critical path is to extend the source function: a two-parameter (</w:t>
      </w:r>
      <m:oMath>
        <m:r>
          <w:rPr>
            <w:rFonts w:ascii="Cambria Math" w:hAnsi="Cambria Math"/>
          </w:rPr>
          <m:t>Q</m:t>
        </m:r>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source</m:t>
            </m:r>
          </m:sub>
        </m:sSub>
      </m:oMath>
      <w:r>
        <w:t>) model would allow the boundary-layer width to adapt to the galaxy's structural scale, which is physically motivated and would not constitute overfitting given the typical n &gt; 15 data points in the affected galaxies.</w:t>
      </w:r>
    </w:p>
    <w:p w14:paraId="46BC40BA" w14:textId="3DDD9F27" w:rsidR="000F6D48" w:rsidRDefault="00C70DC6">
      <w:pPr>
        <w:shd w:val="clear" w:color="auto" w:fill="F5F6F8"/>
        <w:spacing w:before="120" w:after="120"/>
        <w:jc w:val="center"/>
      </w:pPr>
      <m:oMath>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tot</m:t>
            </m:r>
          </m:sub>
        </m:sSub>
        <m:d>
          <m:dPr>
            <m:ctrlPr>
              <w:rPr>
                <w:rFonts w:ascii="Cambria Math" w:eastAsia="Courier New" w:hAnsi="Cambria Math" w:cs="Courier New"/>
                <w:i/>
                <w:color w:val="0D1B2A"/>
              </w:rPr>
            </m:ctrlPr>
          </m:dPr>
          <m:e>
            <m:r>
              <w:rPr>
                <w:rFonts w:ascii="Cambria Math" w:eastAsia="Courier New" w:hAnsi="Cambria Math" w:cs="Courier New"/>
                <w:color w:val="0D1B2A"/>
              </w:rPr>
              <m:t>R</m:t>
            </m:r>
          </m:e>
        </m:d>
        <m:r>
          <w:rPr>
            <w:rFonts w:ascii="Cambria Math" w:eastAsia="Courier New" w:hAnsi="Cambria Math" w:cs="Courier New"/>
            <w:color w:val="0D1B2A"/>
          </w:rPr>
          <m:t xml:space="preserve">= </m:t>
        </m:r>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bar</m:t>
            </m:r>
          </m:sub>
        </m:sSub>
        <m:d>
          <m:dPr>
            <m:ctrlPr>
              <w:rPr>
                <w:rFonts w:ascii="Cambria Math" w:eastAsia="Courier New" w:hAnsi="Cambria Math" w:cs="Courier New"/>
                <w:i/>
                <w:color w:val="0D1B2A"/>
              </w:rPr>
            </m:ctrlPr>
          </m:dPr>
          <m:e>
            <m:r>
              <w:rPr>
                <w:rFonts w:ascii="Cambria Math" w:eastAsia="Courier New" w:hAnsi="Cambria Math" w:cs="Courier New"/>
                <w:color w:val="0D1B2A"/>
              </w:rPr>
              <m:t>R</m:t>
            </m:r>
          </m:e>
        </m:d>
        <m:r>
          <w:rPr>
            <w:rFonts w:ascii="Cambria Math" w:eastAsia="Courier New" w:hAnsi="Cambria Math" w:cs="Courier New"/>
            <w:color w:val="0D1B2A"/>
          </w:rPr>
          <m:t>+ Q·</m:t>
        </m:r>
        <m:sSubSup>
          <m:sSubSupPr>
            <m:ctrlPr>
              <w:rPr>
                <w:rFonts w:ascii="Cambria Math" w:eastAsia="Courier New" w:hAnsi="Cambria Math" w:cs="Courier New"/>
                <w:i/>
                <w:color w:val="0D1B2A"/>
              </w:rPr>
            </m:ctrlPr>
          </m:sSubSupPr>
          <m:e>
            <m:r>
              <w:rPr>
                <w:rFonts w:ascii="Cambria Math" w:eastAsia="Courier New" w:hAnsi="Cambria Math" w:cs="Courier New"/>
                <w:color w:val="0D1B2A"/>
              </w:rPr>
              <m:t>χ</m:t>
            </m:r>
          </m:e>
          <m:sub>
            <m:r>
              <w:rPr>
                <w:rFonts w:ascii="Cambria Math" w:eastAsia="Courier New" w:hAnsi="Cambria Math" w:cs="Courier New"/>
                <w:color w:val="0D1B2A"/>
              </w:rPr>
              <m:t>unit</m:t>
            </m:r>
          </m:sub>
          <m:sup>
            <m:r>
              <w:rPr>
                <w:rFonts w:ascii="Cambria Math" w:eastAsia="Courier New" w:hAnsi="Cambria Math" w:cs="Courier New"/>
                <w:color w:val="0D1B2A"/>
              </w:rPr>
              <m:t>'</m:t>
            </m:r>
          </m:sup>
        </m:sSubSup>
        <m:d>
          <m:dPr>
            <m:ctrlPr>
              <w:rPr>
                <w:rFonts w:ascii="Cambria Math" w:eastAsia="Courier New" w:hAnsi="Cambria Math" w:cs="Courier New"/>
                <w:i/>
                <w:color w:val="0D1B2A"/>
              </w:rPr>
            </m:ctrlPr>
          </m:dPr>
          <m:e>
            <m:r>
              <w:rPr>
                <w:rFonts w:ascii="Cambria Math" w:eastAsia="Courier New" w:hAnsi="Cambria Math" w:cs="Courier New"/>
                <w:color w:val="0D1B2A"/>
              </w:rPr>
              <m:t>R; Rₜ, σ</m:t>
            </m:r>
          </m:e>
        </m:d>
      </m:oMath>
      <w:r w:rsidR="00CB3B10">
        <w:rPr>
          <w:rFonts w:ascii="Courier New" w:eastAsia="Courier New" w:hAnsi="Courier New" w:cs="Courier New"/>
          <w:color w:val="0D1B2A"/>
        </w:rPr>
        <w:t xml:space="preserve"> [</w:t>
      </w:r>
      <w:r w:rsidR="00461A1D">
        <w:rPr>
          <w:rFonts w:ascii="Courier New" w:eastAsia="Courier New" w:hAnsi="Courier New" w:cs="Courier New"/>
          <w:color w:val="0D1B2A"/>
        </w:rPr>
        <w:t xml:space="preserve">current: </w:t>
      </w:r>
      <m:oMath>
        <m:r>
          <w:rPr>
            <w:rFonts w:ascii="Cambria Math" w:eastAsia="Courier New" w:hAnsi="Cambria Math" w:cs="Courier New"/>
            <w:color w:val="0D1B2A"/>
          </w:rPr>
          <m:t>σ</m:t>
        </m:r>
      </m:oMath>
      <w:r w:rsidR="00461A1D">
        <w:rPr>
          <w:rFonts w:ascii="Courier New" w:eastAsia="Courier New" w:hAnsi="Courier New" w:cs="Courier New"/>
          <w:color w:val="0D1B2A"/>
        </w:rPr>
        <w:t xml:space="preserve"> fixed at 2 kpc globally]</w:t>
      </w:r>
    </w:p>
    <w:p w14:paraId="3F0BFCDB" w14:textId="50CD32EA" w:rsidR="000F6D48" w:rsidRDefault="00C70DC6">
      <w:pPr>
        <w:shd w:val="clear" w:color="auto" w:fill="F5F6F8"/>
        <w:spacing w:before="120" w:after="120"/>
        <w:jc w:val="center"/>
      </w:pPr>
      <m:oMath>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tot</m:t>
            </m:r>
          </m:sub>
        </m:sSub>
        <m:d>
          <m:dPr>
            <m:ctrlPr>
              <w:rPr>
                <w:rFonts w:ascii="Cambria Math" w:eastAsia="Courier New" w:hAnsi="Cambria Math" w:cs="Courier New"/>
                <w:i/>
                <w:color w:val="0D1B2A"/>
              </w:rPr>
            </m:ctrlPr>
          </m:dPr>
          <m:e>
            <m:r>
              <w:rPr>
                <w:rFonts w:ascii="Cambria Math" w:eastAsia="Courier New" w:hAnsi="Cambria Math" w:cs="Courier New"/>
                <w:color w:val="0D1B2A"/>
              </w:rPr>
              <m:t>R</m:t>
            </m:r>
          </m:e>
        </m:d>
        <m:r>
          <w:rPr>
            <w:rFonts w:ascii="Cambria Math" w:eastAsia="Courier New" w:hAnsi="Cambria Math" w:cs="Courier New"/>
            <w:color w:val="0D1B2A"/>
          </w:rPr>
          <m:t xml:space="preserve">= </m:t>
        </m:r>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bar</m:t>
            </m:r>
          </m:sub>
        </m:sSub>
        <m:d>
          <m:dPr>
            <m:ctrlPr>
              <w:rPr>
                <w:rFonts w:ascii="Cambria Math" w:eastAsia="Courier New" w:hAnsi="Cambria Math" w:cs="Courier New"/>
                <w:i/>
                <w:color w:val="0D1B2A"/>
              </w:rPr>
            </m:ctrlPr>
          </m:dPr>
          <m:e>
            <m:r>
              <w:rPr>
                <w:rFonts w:ascii="Cambria Math" w:eastAsia="Courier New" w:hAnsi="Cambria Math" w:cs="Courier New"/>
                <w:color w:val="0D1B2A"/>
              </w:rPr>
              <m:t>R</m:t>
            </m:r>
          </m:e>
        </m:d>
        <m:r>
          <w:rPr>
            <w:rFonts w:ascii="Cambria Math" w:eastAsia="Courier New" w:hAnsi="Cambria Math" w:cs="Courier New"/>
            <w:color w:val="0D1B2A"/>
          </w:rPr>
          <m:t>+ Q·</m:t>
        </m:r>
        <m:sSubSup>
          <m:sSubSupPr>
            <m:ctrlPr>
              <w:rPr>
                <w:rFonts w:ascii="Cambria Math" w:eastAsia="Courier New" w:hAnsi="Cambria Math" w:cs="Courier New"/>
                <w:i/>
                <w:color w:val="0D1B2A"/>
              </w:rPr>
            </m:ctrlPr>
          </m:sSubSupPr>
          <m:e>
            <m:r>
              <w:rPr>
                <w:rFonts w:ascii="Cambria Math" w:eastAsia="Courier New" w:hAnsi="Cambria Math" w:cs="Courier New"/>
                <w:color w:val="0D1B2A"/>
              </w:rPr>
              <m:t>χ</m:t>
            </m:r>
          </m:e>
          <m:sub>
            <m:r>
              <w:rPr>
                <w:rFonts w:ascii="Cambria Math" w:eastAsia="Courier New" w:hAnsi="Cambria Math" w:cs="Courier New"/>
                <w:color w:val="0D1B2A"/>
              </w:rPr>
              <m:t>unit</m:t>
            </m:r>
          </m:sub>
          <m:sup>
            <m:r>
              <w:rPr>
                <w:rFonts w:ascii="Cambria Math" w:eastAsia="Courier New" w:hAnsi="Cambria Math" w:cs="Courier New"/>
                <w:color w:val="0D1B2A"/>
              </w:rPr>
              <m:t>'</m:t>
            </m:r>
          </m:sup>
        </m:sSubSup>
        <m:d>
          <m:dPr>
            <m:ctrlPr>
              <w:rPr>
                <w:rFonts w:ascii="Cambria Math" w:eastAsia="Courier New" w:hAnsi="Cambria Math" w:cs="Courier New"/>
                <w:i/>
                <w:color w:val="0D1B2A"/>
              </w:rPr>
            </m:ctrlPr>
          </m:dPr>
          <m:e>
            <m:r>
              <w:rPr>
                <w:rFonts w:ascii="Cambria Math" w:eastAsia="Courier New" w:hAnsi="Cambria Math" w:cs="Courier New"/>
                <w:color w:val="0D1B2A"/>
              </w:rPr>
              <m:t>R; Rₜ, σ</m:t>
            </m:r>
            <m:d>
              <m:dPr>
                <m:ctrlPr>
                  <w:rPr>
                    <w:rFonts w:ascii="Cambria Math" w:eastAsia="Courier New" w:hAnsi="Cambria Math" w:cs="Courier New"/>
                    <w:i/>
                    <w:color w:val="0D1B2A"/>
                  </w:rPr>
                </m:ctrlPr>
              </m:dPr>
              <m:e>
                <m:sSub>
                  <m:sSubPr>
                    <m:ctrlPr>
                      <w:rPr>
                        <w:rFonts w:ascii="Cambria Math" w:eastAsia="Courier New" w:hAnsi="Cambria Math" w:cs="Courier New"/>
                        <w:i/>
                        <w:color w:val="0D1B2A"/>
                      </w:rPr>
                    </m:ctrlPr>
                  </m:sSubPr>
                  <m:e>
                    <m:r>
                      <w:rPr>
                        <w:rFonts w:ascii="Cambria Math" w:eastAsia="Courier New" w:hAnsi="Cambria Math" w:cs="Courier New"/>
                        <w:color w:val="0D1B2A"/>
                      </w:rPr>
                      <m:t>R</m:t>
                    </m:r>
                  </m:e>
                  <m:sub>
                    <m:r>
                      <w:rPr>
                        <w:rFonts w:ascii="Cambria Math" w:eastAsia="Courier New" w:hAnsi="Cambria Math" w:cs="Courier New"/>
                        <w:color w:val="0D1B2A"/>
                      </w:rPr>
                      <m:t>disk</m:t>
                    </m:r>
                  </m:sub>
                </m:sSub>
              </m:e>
            </m:d>
          </m:e>
        </m:d>
      </m:oMath>
      <w:r w:rsidR="004B790C">
        <w:rPr>
          <w:rFonts w:ascii="Courier New" w:eastAsia="Courier New" w:hAnsi="Courier New" w:cs="Courier New"/>
          <w:color w:val="0D1B2A"/>
        </w:rPr>
        <w:t xml:space="preserve"> [</w:t>
      </w:r>
      <w:r w:rsidR="00461A1D">
        <w:rPr>
          <w:rFonts w:ascii="Courier New" w:eastAsia="Courier New" w:hAnsi="Courier New" w:cs="Courier New"/>
          <w:color w:val="0D1B2A"/>
        </w:rPr>
        <w:t xml:space="preserve">proposed: </w:t>
      </w:r>
      <m:oMath>
        <m:r>
          <w:rPr>
            <w:rFonts w:ascii="Cambria Math" w:eastAsia="Courier New" w:hAnsi="Cambria Math" w:cs="Courier New"/>
            <w:color w:val="0D1B2A"/>
          </w:rPr>
          <m:t>σ</m:t>
        </m:r>
      </m:oMath>
      <w:r w:rsidR="00461A1D">
        <w:rPr>
          <w:rFonts w:ascii="Courier New" w:eastAsia="Courier New" w:hAnsi="Courier New" w:cs="Courier New"/>
          <w:color w:val="0D1B2A"/>
        </w:rPr>
        <w:t xml:space="preserve"> tied to disc scale]</w:t>
      </w:r>
    </w:p>
    <w:p w14:paraId="49F03CDE" w14:textId="1076A37A" w:rsidR="000F6D48" w:rsidRDefault="00CB3B10">
      <w:pPr>
        <w:pStyle w:val="Heading2"/>
      </w:pPr>
      <w:bookmarkStart w:id="8" w:name="_Toc222461566"/>
      <w:r>
        <w:t>2.2 Fixed</w:t>
      </w:r>
      <w:r w:rsidR="00461A1D">
        <w:t xml:space="preserve"> Mass-to-Light Ratios: Systematic Bias Quantified</w:t>
      </w:r>
      <w:bookmarkEnd w:id="8"/>
    </w:p>
    <w:p w14:paraId="205BEC4A" w14:textId="0013DAEF" w:rsidR="000F6D48" w:rsidRDefault="00461A1D">
      <w:pPr>
        <w:spacing w:before="60" w:after="100" w:line="340" w:lineRule="auto"/>
      </w:pPr>
      <w:r>
        <w:t xml:space="preserve">The runner applies </w:t>
      </w:r>
      <m:oMath>
        <m:sSub>
          <m:sSubPr>
            <m:ctrlPr>
              <w:rPr>
                <w:rFonts w:ascii="Cambria Math" w:hAnsi="Cambria Math"/>
                <w:i/>
              </w:rPr>
            </m:ctrlPr>
          </m:sSubPr>
          <m:e>
            <m:r>
              <w:rPr>
                <w:rFonts w:ascii="Cambria Math" w:hAnsi="Cambria Math"/>
              </w:rPr>
              <m:t>Υ</m:t>
            </m:r>
          </m:e>
          <m:sub>
            <m:r>
              <w:rPr>
                <w:rFonts w:ascii="Cambria Math" w:hAnsi="Cambria Math"/>
              </w:rPr>
              <m:t>disk</m:t>
            </m:r>
          </m:sub>
        </m:sSub>
        <m:r>
          <w:rPr>
            <w:rFonts w:ascii="Cambria Math" w:hAnsi="Cambria Math"/>
          </w:rPr>
          <m:t>= 0.5</m:t>
        </m:r>
      </m:oMath>
      <w:r>
        <w:t xml:space="preserve"> and </w:t>
      </w:r>
      <m:oMath>
        <m:sSub>
          <m:sSubPr>
            <m:ctrlPr>
              <w:rPr>
                <w:rFonts w:ascii="Cambria Math" w:hAnsi="Cambria Math"/>
                <w:i/>
              </w:rPr>
            </m:ctrlPr>
          </m:sSubPr>
          <m:e>
            <m:r>
              <w:rPr>
                <w:rFonts w:ascii="Cambria Math" w:hAnsi="Cambria Math"/>
              </w:rPr>
              <m:t>Υ</m:t>
            </m:r>
          </m:e>
          <m:sub>
            <m:r>
              <w:rPr>
                <w:rFonts w:ascii="Cambria Math" w:hAnsi="Cambria Math"/>
              </w:rPr>
              <m:t>bul</m:t>
            </m:r>
          </m:sub>
        </m:sSub>
        <m:r>
          <w:rPr>
            <w:rFonts w:ascii="Cambria Math" w:hAnsi="Cambria Math"/>
          </w:rPr>
          <m:t>= 0.7</m:t>
        </m:r>
      </m:oMath>
      <w:r>
        <w:t xml:space="preserve"> universally, fixed before any per-galaxy fitting. The SPARC sample spans stellar populations from young, gas-rich irregulars to old, red early-type spirals. Published photometric-</w:t>
      </w:r>
      <m:oMath>
        <m:r>
          <w:rPr>
            <w:rFonts w:ascii="Cambria Math" w:hAnsi="Cambria Math"/>
          </w:rPr>
          <m:t>Υ</m:t>
        </m:r>
      </m:oMath>
      <w:r>
        <w:t xml:space="preserve"> estimates (McGaugh &amp; Schombert 2014; Lelli et al. 2016) show a real scatter of </w:t>
      </w:r>
      <m:oMath>
        <m:r>
          <w:rPr>
            <w:rFonts w:ascii="Cambria Math" w:hAnsi="Cambria Math"/>
          </w:rPr>
          <m:t>±0.1</m:t>
        </m:r>
      </m:oMath>
      <w:r>
        <w:t xml:space="preserve"> dex around population-synthesis means, corresponding to a </w:t>
      </w:r>
      <m:oMath>
        <m:r>
          <w:rPr>
            <w:rFonts w:ascii="Cambria Math" w:hAnsi="Cambria Math"/>
          </w:rPr>
          <m:t>±26%</m:t>
        </m:r>
      </m:oMath>
      <w:r>
        <w:t xml:space="preserve"> variation in </w:t>
      </w:r>
      <m:oMath>
        <m:sSub>
          <m:sSubPr>
            <m:ctrlPr>
              <w:rPr>
                <w:rFonts w:ascii="Cambria Math" w:hAnsi="Cambria Math"/>
                <w:i/>
              </w:rPr>
            </m:ctrlPr>
          </m:sSubPr>
          <m:e>
            <m:r>
              <w:rPr>
                <w:rFonts w:ascii="Cambria Math" w:hAnsi="Cambria Math"/>
              </w:rPr>
              <m:t>Υ</m:t>
            </m:r>
          </m:e>
          <m:sub>
            <m:r>
              <w:rPr>
                <w:rFonts w:ascii="Cambria Math" w:hAnsi="Cambria Math"/>
              </w:rPr>
              <m:t>disk</m:t>
            </m:r>
          </m:sub>
        </m:sSub>
      </m:oMath>
      <w:r>
        <w:t>.</w:t>
      </w:r>
    </w:p>
    <w:p w14:paraId="01848BFB" w14:textId="63BE74F1" w:rsidR="000F6D48" w:rsidRDefault="00461A1D">
      <w:pPr>
        <w:spacing w:before="60" w:after="100" w:line="340" w:lineRule="auto"/>
      </w:pPr>
      <w:r>
        <w:t xml:space="preserve">A 20% error in </w:t>
      </w:r>
      <m:oMath>
        <m:sSub>
          <m:sSubPr>
            <m:ctrlPr>
              <w:rPr>
                <w:rFonts w:ascii="Cambria Math" w:hAnsi="Cambria Math"/>
                <w:i/>
              </w:rPr>
            </m:ctrlPr>
          </m:sSubPr>
          <m:e>
            <m:r>
              <w:rPr>
                <w:rFonts w:ascii="Cambria Math" w:hAnsi="Cambria Math"/>
              </w:rPr>
              <m:t>Υ</m:t>
            </m:r>
          </m:e>
          <m:sub>
            <m:r>
              <w:rPr>
                <w:rFonts w:ascii="Cambria Math" w:hAnsi="Cambria Math"/>
              </w:rPr>
              <m:t>disk</m:t>
            </m:r>
          </m:sub>
        </m:sSub>
      </m:oMath>
      <w:r>
        <w:t xml:space="preserve"> for a galaxy with </w:t>
      </w:r>
      <m:oMath>
        <m:sSub>
          <m:sSubPr>
            <m:ctrlPr>
              <w:rPr>
                <w:rFonts w:ascii="Cambria Math" w:hAnsi="Cambria Math"/>
                <w:i/>
              </w:rPr>
            </m:ctrlPr>
          </m:sSubPr>
          <m:e>
            <m:r>
              <w:rPr>
                <w:rFonts w:ascii="Cambria Math" w:hAnsi="Cambria Math"/>
              </w:rPr>
              <m:t>V</m:t>
            </m:r>
          </m:e>
          <m:sub>
            <m:r>
              <w:rPr>
                <w:rFonts w:ascii="Cambria Math" w:hAnsi="Cambria Math"/>
              </w:rPr>
              <m:t>bar</m:t>
            </m:r>
          </m:sub>
        </m:sSub>
      </m:oMath>
      <w:r>
        <w:t>,</w:t>
      </w:r>
      <m:oMath>
        <m:r>
          <w:rPr>
            <w:rFonts w:ascii="Cambria Math" w:hAnsi="Cambria Math"/>
          </w:rPr>
          <m:t>disk = 100</m:t>
        </m:r>
      </m:oMath>
      <w:r>
        <w:t xml:space="preserve"> km/s translates to </w:t>
      </w:r>
      <m:oMath>
        <m: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bar</m:t>
            </m:r>
          </m:sub>
        </m:sSub>
        <m:r>
          <w:rPr>
            <w:rFonts w:ascii="Cambria Math" w:hAnsi="Cambria Math"/>
          </w:rPr>
          <m:t>≈ 10</m:t>
        </m:r>
      </m:oMath>
      <w:r>
        <w:t xml:space="preserve"> km/s. With </w:t>
      </w:r>
      <m:oMath>
        <m:sSub>
          <m:sSubPr>
            <m:ctrlPr>
              <w:rPr>
                <w:rFonts w:ascii="Cambria Math" w:hAnsi="Cambria Math"/>
                <w:i/>
              </w:rPr>
            </m:ctrlPr>
          </m:sSubPr>
          <m:e>
            <m:r>
              <w:rPr>
                <w:rFonts w:ascii="Cambria Math" w:hAnsi="Cambria Math"/>
              </w:rPr>
              <m:t>σ</m:t>
            </m:r>
          </m:e>
          <m:sub>
            <m:r>
              <w:rPr>
                <w:rFonts w:ascii="Cambria Math" w:hAnsi="Cambria Math"/>
              </w:rPr>
              <m:t>V</m:t>
            </m:r>
          </m:sub>
        </m:sSub>
        <m:r>
          <w:rPr>
            <w:rFonts w:ascii="Cambria Math" w:hAnsi="Cambria Math"/>
          </w:rPr>
          <m:t>= 3</m:t>
        </m:r>
      </m:oMath>
      <w:r>
        <w:t xml:space="preserve"> km/s (typical SPARC), this contributes (</w:t>
      </w:r>
      <m:oMath>
        <m:r>
          <w:rPr>
            <w:rFonts w:ascii="Cambria Math" w:hAnsi="Cambria Math"/>
          </w:rPr>
          <m:t>10/3)² ≈ 11 χ²</m:t>
        </m:r>
      </m:oMath>
      <w:r>
        <w:t xml:space="preserve"> units per data point — for a 30-point galaxy, up to </w:t>
      </w:r>
      <m:oMath>
        <m:r>
          <w:rPr>
            <w:rFonts w:ascii="Cambria Math" w:hAnsi="Cambria Math"/>
          </w:rPr>
          <m:t>~330</m:t>
        </m:r>
      </m:oMath>
      <w:r>
        <w:t xml:space="preserve"> units of artificial </w:t>
      </w:r>
      <m:oMath>
        <m:sSubSup>
          <m:sSubSupPr>
            <m:ctrlPr>
              <w:rPr>
                <w:rFonts w:ascii="Cambria Math" w:hAnsi="Cambria Math"/>
                <w:i/>
              </w:rPr>
            </m:ctrlPr>
          </m:sSubSupPr>
          <m:e>
            <m:r>
              <w:rPr>
                <w:rFonts w:ascii="Cambria Math" w:hAnsi="Cambria Math"/>
              </w:rPr>
              <m:t>χ</m:t>
            </m:r>
          </m:e>
          <m:sub>
            <m:r>
              <w:rPr>
                <w:rFonts w:ascii="Cambria Math" w:hAnsi="Cambria Math"/>
              </w:rPr>
              <m:t>bar</m:t>
            </m:r>
          </m:sub>
          <m:sup>
            <m:r>
              <w:rPr>
                <w:rFonts w:ascii="Cambria Math" w:hAnsi="Cambria Math"/>
              </w:rPr>
              <m:t>2</m:t>
            </m:r>
          </m:sup>
        </m:sSubSup>
      </m:oMath>
      <w:r>
        <w:t xml:space="preserve"> inflation. More importantly, it injects systematic error into the inferred </w:t>
      </w:r>
      <m:oMath>
        <m:r>
          <w:rPr>
            <w:rFonts w:ascii="Cambria Math" w:hAnsi="Cambria Math"/>
          </w:rPr>
          <m:t>Q</m:t>
        </m:r>
      </m:oMath>
      <w:r>
        <w:t xml:space="preserve">: the model absorbs </w:t>
      </w:r>
      <m:oMath>
        <m:sSub>
          <m:sSubPr>
            <m:ctrlPr>
              <w:rPr>
                <w:rFonts w:ascii="Cambria Math" w:hAnsi="Cambria Math"/>
                <w:i/>
              </w:rPr>
            </m:ctrlPr>
          </m:sSubPr>
          <m:e>
            <m:r>
              <w:rPr>
                <w:rFonts w:ascii="Cambria Math" w:hAnsi="Cambria Math"/>
              </w:rPr>
              <m:t>Υ</m:t>
            </m:r>
          </m:e>
          <m:sub>
            <m:r>
              <w:rPr>
                <w:rFonts w:ascii="Cambria Math" w:hAnsi="Cambria Math"/>
              </w:rPr>
              <m:t>disk</m:t>
            </m:r>
          </m:sub>
        </m:sSub>
      </m:oMath>
      <w:r>
        <w:t xml:space="preserve"> error as extra edge amplitude. The practical conseque</w:t>
      </w:r>
      <w:proofErr w:type="spellStart"/>
      <w:r>
        <w:t>nce</w:t>
      </w:r>
      <w:proofErr w:type="spellEnd"/>
      <w:r>
        <w:t xml:space="preserve"> is that </w:t>
      </w:r>
      <w:proofErr w:type="spellStart"/>
      <w:r>
        <w:t>v_extra</w:t>
      </w:r>
      <w:proofErr w:type="spellEnd"/>
      <w:r>
        <w:t xml:space="preserve"> is correlated with both mass and the sign of the </w:t>
      </w:r>
      <m:oMath>
        <m:sSub>
          <m:sSubPr>
            <m:ctrlPr>
              <w:rPr>
                <w:rFonts w:ascii="Cambria Math" w:hAnsi="Cambria Math"/>
                <w:i/>
              </w:rPr>
            </m:ctrlPr>
          </m:sSubPr>
          <m:e>
            <m:r>
              <w:rPr>
                <w:rFonts w:ascii="Cambria Math" w:hAnsi="Cambria Math"/>
              </w:rPr>
              <m:t>Υ</m:t>
            </m:r>
          </m:e>
          <m:sub>
            <m:r>
              <w:rPr>
                <w:rFonts w:ascii="Cambria Math" w:hAnsi="Cambria Math"/>
              </w:rPr>
              <m:t>disk</m:t>
            </m:r>
          </m:sub>
        </m:sSub>
      </m:oMath>
      <w:r>
        <w:t xml:space="preserv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D48" w14:paraId="246E01B6" w14:textId="77777777">
        <w:tblPrEx>
          <w:tblCellMar>
            <w:top w:w="0" w:type="dxa"/>
            <w:bottom w:w="0" w:type="dxa"/>
          </w:tblCellMar>
        </w:tblPrEx>
        <w:tc>
          <w:tcPr>
            <w:tcW w:w="9360" w:type="dxa"/>
            <w:tcBorders>
              <w:left w:val="thick" w:sz="14" w:space="0" w:color="B7651A"/>
            </w:tcBorders>
            <w:shd w:val="clear" w:color="auto" w:fill="FEF9EE"/>
            <w:tcMar>
              <w:top w:w="120" w:type="dxa"/>
              <w:left w:w="220" w:type="dxa"/>
              <w:bottom w:w="120" w:type="dxa"/>
              <w:right w:w="160" w:type="dxa"/>
            </w:tcMar>
          </w:tcPr>
          <w:p w14:paraId="54FADF65" w14:textId="77777777" w:rsidR="000F6D48" w:rsidRDefault="00461A1D">
            <w:pPr>
              <w:spacing w:after="60"/>
            </w:pPr>
            <w:r>
              <w:rPr>
                <w:b/>
                <w:bCs/>
                <w:color w:val="B7651A"/>
                <w:sz w:val="19"/>
                <w:szCs w:val="19"/>
              </w:rPr>
              <w:t>Proposed test (implementable in the existing runner)</w:t>
            </w:r>
          </w:p>
          <w:p w14:paraId="3758FCE9" w14:textId="0AC37B13" w:rsidR="000F6D48" w:rsidRDefault="00461A1D">
            <w:pPr>
              <w:spacing w:after="50" w:line="320" w:lineRule="auto"/>
            </w:pPr>
            <w:r>
              <w:rPr>
                <w:sz w:val="20"/>
                <w:szCs w:val="20"/>
              </w:rPr>
              <w:t xml:space="preserve">Rerun the SPARC sample with </w:t>
            </w:r>
            <m:oMath>
              <m:sSub>
                <m:sSubPr>
                  <m:ctrlPr>
                    <w:rPr>
                      <w:rFonts w:ascii="Cambria Math" w:hAnsi="Cambria Math"/>
                      <w:i/>
                      <w:sz w:val="20"/>
                      <w:szCs w:val="20"/>
                    </w:rPr>
                  </m:ctrlPr>
                </m:sSubPr>
                <m:e>
                  <m:r>
                    <w:rPr>
                      <w:rFonts w:ascii="Cambria Math" w:hAnsi="Cambria Math"/>
                      <w:sz w:val="20"/>
                      <w:szCs w:val="20"/>
                    </w:rPr>
                    <m:t>Υ</m:t>
                  </m:r>
                </m:e>
                <m:sub>
                  <m:r>
                    <w:rPr>
                      <w:rFonts w:ascii="Cambria Math" w:hAnsi="Cambria Math"/>
                      <w:sz w:val="20"/>
                      <w:szCs w:val="20"/>
                    </w:rPr>
                    <m:t>disk</m:t>
                  </m:r>
                </m:sub>
              </m:sSub>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0.3, 0.4, 0.5, 0.6, 0.7</m:t>
                  </m:r>
                </m:e>
              </m:d>
            </m:oMath>
            <w:r>
              <w:rPr>
                <w:sz w:val="20"/>
                <w:szCs w:val="20"/>
              </w:rPr>
              <w:t xml:space="preserve"> and </w:t>
            </w:r>
            <m:oMath>
              <m:sSub>
                <m:sSubPr>
                  <m:ctrlPr>
                    <w:rPr>
                      <w:rFonts w:ascii="Cambria Math" w:hAnsi="Cambria Math"/>
                      <w:i/>
                      <w:sz w:val="20"/>
                      <w:szCs w:val="20"/>
                    </w:rPr>
                  </m:ctrlPr>
                </m:sSubPr>
                <m:e>
                  <m:r>
                    <w:rPr>
                      <w:rFonts w:ascii="Cambria Math" w:hAnsi="Cambria Math"/>
                      <w:sz w:val="20"/>
                      <w:szCs w:val="20"/>
                    </w:rPr>
                    <m:t>Υ</m:t>
                  </m:r>
                </m:e>
                <m:sub>
                  <m:r>
                    <w:rPr>
                      <w:rFonts w:ascii="Cambria Math" w:hAnsi="Cambria Math"/>
                      <w:sz w:val="20"/>
                      <w:szCs w:val="20"/>
                    </w:rPr>
                    <m:t>bul</m:t>
                  </m:r>
                </m:sub>
              </m:sSub>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0.5, 0.7, 0.9</m:t>
                  </m:r>
                </m:e>
              </m:d>
            </m:oMath>
            <w:r>
              <w:rPr>
                <w:sz w:val="20"/>
                <w:szCs w:val="20"/>
              </w:rPr>
              <w:t>.</w:t>
            </w:r>
          </w:p>
          <w:p w14:paraId="6BEB4611" w14:textId="389A0E32" w:rsidR="000F6D48" w:rsidRDefault="00461A1D">
            <w:pPr>
              <w:spacing w:after="50" w:line="320" w:lineRule="auto"/>
            </w:pPr>
            <w:r>
              <w:rPr>
                <w:sz w:val="20"/>
                <w:szCs w:val="20"/>
              </w:rPr>
              <w:t xml:space="preserve">Report the sensitivity </w:t>
            </w:r>
            <m:oMath>
              <m:f>
                <m:fPr>
                  <m:ctrlPr>
                    <w:rPr>
                      <w:rFonts w:ascii="Cambria Math" w:hAnsi="Cambria Math"/>
                      <w:i/>
                      <w:sz w:val="20"/>
                      <w:szCs w:val="20"/>
                    </w:rPr>
                  </m:ctrlPr>
                </m:fPr>
                <m:num>
                  <m:r>
                    <w:rPr>
                      <w:rFonts w:ascii="Cambria Math" w:hAnsi="Cambria Math"/>
                      <w:sz w:val="20"/>
                      <w:szCs w:val="20"/>
                    </w:rPr>
                    <m:t>ΔQ</m:t>
                  </m:r>
                </m:num>
                <m:den>
                  <m:r>
                    <w:rPr>
                      <w:rFonts w:ascii="Cambria Math" w:hAnsi="Cambria Math"/>
                      <w:sz w:val="20"/>
                      <w:szCs w:val="20"/>
                    </w:rPr>
                    <m:t>ΔΥ</m:t>
                  </m:r>
                </m:den>
              </m:f>
            </m:oMath>
            <w:r>
              <w:rPr>
                <w:sz w:val="20"/>
                <w:szCs w:val="20"/>
              </w:rPr>
              <w:t xml:space="preserve"> for a representative subsample (e.g., 20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flag</m:t>
                  </m:r>
                </m:sub>
              </m:sSub>
              <m:r>
                <w:rPr>
                  <w:rFonts w:ascii="Cambria Math" w:hAnsi="Cambria Math"/>
                  <w:sz w:val="20"/>
                  <w:szCs w:val="20"/>
                </w:rPr>
                <m:t>= 1</m:t>
              </m:r>
            </m:oMath>
            <w:r>
              <w:rPr>
                <w:sz w:val="20"/>
                <w:szCs w:val="20"/>
              </w:rPr>
              <w:t xml:space="preserve"> galaxies).</w:t>
            </w:r>
          </w:p>
          <w:p w14:paraId="3BEBE8B2" w14:textId="0860E9E5" w:rsidR="000F6D48" w:rsidRDefault="00461A1D">
            <w:pPr>
              <w:spacing w:after="50" w:line="320" w:lineRule="auto"/>
            </w:pPr>
            <w:r>
              <w:rPr>
                <w:sz w:val="20"/>
                <w:szCs w:val="20"/>
              </w:rPr>
              <w:t xml:space="preserve">If </w:t>
            </w:r>
            <m:oMath>
              <m:f>
                <m:fPr>
                  <m:ctrlPr>
                    <w:rPr>
                      <w:rFonts w:ascii="Cambria Math" w:hAnsi="Cambria Math"/>
                      <w:i/>
                      <w:sz w:val="20"/>
                      <w:szCs w:val="20"/>
                    </w:rPr>
                  </m:ctrlPr>
                </m:fPr>
                <m:num>
                  <m:r>
                    <w:rPr>
                      <w:rFonts w:ascii="Cambria Math" w:hAnsi="Cambria Math"/>
                      <w:sz w:val="20"/>
                      <w:szCs w:val="20"/>
                    </w:rPr>
                    <m:t>ΔQ</m:t>
                  </m:r>
                </m:num>
                <m:den>
                  <m:r>
                    <w:rPr>
                      <w:rFonts w:ascii="Cambria Math" w:hAnsi="Cambria Math"/>
                      <w:sz w:val="20"/>
                      <w:szCs w:val="20"/>
                    </w:rPr>
                    <m:t>Q</m:t>
                  </m:r>
                </m:den>
              </m:f>
              <m:r>
                <w:rPr>
                  <w:rFonts w:ascii="Cambria Math" w:hAnsi="Cambria Math"/>
                  <w:sz w:val="20"/>
                  <w:szCs w:val="20"/>
                </w:rPr>
                <m:t>&gt; 50%</m:t>
              </m:r>
            </m:oMath>
            <w:r>
              <w:rPr>
                <w:sz w:val="20"/>
                <w:szCs w:val="20"/>
              </w:rPr>
              <w:t xml:space="preserve"> for </w:t>
            </w:r>
            <m:oMath>
              <m:f>
                <m:fPr>
                  <m:ctrlPr>
                    <w:rPr>
                      <w:rFonts w:ascii="Cambria Math" w:hAnsi="Cambria Math"/>
                      <w:i/>
                      <w:sz w:val="20"/>
                      <w:szCs w:val="20"/>
                    </w:rPr>
                  </m:ctrlPr>
                </m:fPr>
                <m:num>
                  <m:r>
                    <w:rPr>
                      <w:rFonts w:ascii="Cambria Math" w:hAnsi="Cambria Math"/>
                      <w:sz w:val="20"/>
                      <w:szCs w:val="20"/>
                    </w:rPr>
                    <m:t>ΔΥ</m:t>
                  </m:r>
                </m:num>
                <m:den>
                  <m:r>
                    <w:rPr>
                      <w:rFonts w:ascii="Cambria Math" w:hAnsi="Cambria Math"/>
                      <w:sz w:val="20"/>
                      <w:szCs w:val="20"/>
                    </w:rPr>
                    <m:t>Υ</m:t>
                  </m:r>
                </m:den>
              </m:f>
              <m:r>
                <w:rPr>
                  <w:rFonts w:ascii="Cambria Math" w:hAnsi="Cambria Math"/>
                  <w:sz w:val="20"/>
                  <w:szCs w:val="20"/>
                </w:rPr>
                <m:t>= 20%</m:t>
              </m:r>
            </m:oMath>
            <w:r>
              <w:rPr>
                <w:sz w:val="20"/>
                <w:szCs w:val="20"/>
              </w:rPr>
              <w:t>, the fixed-</w:t>
            </w:r>
            <m:oMath>
              <m:r>
                <w:rPr>
                  <w:rFonts w:ascii="Cambria Math" w:hAnsi="Cambria Math"/>
                  <w:sz w:val="20"/>
                  <w:szCs w:val="20"/>
                </w:rPr>
                <m:t>Υ</m:t>
              </m:r>
            </m:oMath>
            <w:r>
              <w:rPr>
                <w:sz w:val="20"/>
                <w:szCs w:val="20"/>
              </w:rPr>
              <w:t xml:space="preserve"> assumption is a first-order systematic that must be marginalised over in any final paper claim.</w:t>
            </w:r>
          </w:p>
          <w:p w14:paraId="644ACB81" w14:textId="77777777" w:rsidR="000F6D48" w:rsidRDefault="00461A1D">
            <w:pPr>
              <w:spacing w:after="50" w:line="320" w:lineRule="auto"/>
            </w:pPr>
            <w:r>
              <w:rPr>
                <w:sz w:val="20"/>
                <w:szCs w:val="20"/>
              </w:rPr>
              <w:t>This test requires only re-running the existing pipeline with different command-line flags — no new code.</w:t>
            </w:r>
          </w:p>
        </w:tc>
      </w:tr>
    </w:tbl>
    <w:p w14:paraId="2B446189" w14:textId="3636BD39" w:rsidR="000F6D48" w:rsidRDefault="004B790C">
      <w:pPr>
        <w:pStyle w:val="Heading2"/>
      </w:pPr>
      <w:bookmarkStart w:id="9" w:name="_Toc222461567"/>
      <w:r>
        <w:t>2.3 Spherical</w:t>
      </w:r>
      <w:r w:rsidR="00461A1D">
        <w:t xml:space="preserve"> Symmetry: Known Approximation, Bounded Impact</w:t>
      </w:r>
      <w:bookmarkEnd w:id="9"/>
    </w:p>
    <w:p w14:paraId="795E8401" w14:textId="79A7550A" w:rsidR="000F6D48" w:rsidRDefault="00461A1D">
      <w:pPr>
        <w:spacing w:before="60" w:after="100" w:line="340" w:lineRule="auto"/>
      </w:pPr>
      <w:r>
        <w:t xml:space="preserve">The 2D radial Poisson formulation treats every galaxy as a circular-aperture object. Real disc galaxies are oblate: the baryonic potential in the mid-plane is steeper than the spherical approximation predicts, particularly at small R, and the auxiliary-field response in a disc geometry would differ from the 1D radial solution. Bar-dominated galaxies (NGC3953, NGC3992, NGC3726) introduce non-circular streaming motions that contaminate </w:t>
      </w:r>
      <m:oMath>
        <m:sSub>
          <m:sSubPr>
            <m:ctrlPr>
              <w:rPr>
                <w:rFonts w:ascii="Cambria Math" w:hAnsi="Cambria Math"/>
                <w:i/>
              </w:rPr>
            </m:ctrlPr>
          </m:sSubPr>
          <m:e>
            <m:r>
              <w:rPr>
                <w:rFonts w:ascii="Cambria Math" w:hAnsi="Cambria Math"/>
              </w:rPr>
              <m:t>v</m:t>
            </m:r>
          </m:e>
          <m:sub>
            <m:r>
              <w:rPr>
                <w:rFonts w:ascii="Cambria Math" w:hAnsi="Cambria Math"/>
              </w:rPr>
              <m:t>obs</m:t>
            </m:r>
          </m:sub>
        </m:sSub>
      </m:oMath>
      <w:r>
        <w:t xml:space="preserve">. The SPARC rotmod files flag these with Hubble type </w:t>
      </w:r>
      <m:oMath>
        <m:r>
          <w:rPr>
            <w:rFonts w:ascii="Cambria Math" w:hAnsi="Cambria Math"/>
          </w:rPr>
          <m:t>T ≤ 2</m:t>
        </m:r>
      </m:oMath>
      <w:r>
        <w:t xml:space="preserve"> or </w:t>
      </w:r>
      <m:oMath>
        <m:sSub>
          <m:sSubPr>
            <m:ctrlPr>
              <w:rPr>
                <w:rFonts w:ascii="Cambria Math" w:hAnsi="Cambria Math"/>
                <w:i/>
              </w:rPr>
            </m:ctrlPr>
          </m:sSubPr>
          <m:e>
            <m:r>
              <w:rPr>
                <w:rFonts w:ascii="Cambria Math" w:hAnsi="Cambria Math"/>
              </w:rPr>
              <m:t>Q</m:t>
            </m:r>
          </m:e>
          <m:sub>
            <m:r>
              <w:rPr>
                <w:rFonts w:ascii="Cambria Math" w:hAnsi="Cambria Math"/>
              </w:rPr>
              <m:t>flag</m:t>
            </m:r>
          </m:sub>
        </m:sSub>
        <m:r>
          <w:rPr>
            <w:rFonts w:ascii="Cambria Math" w:hAnsi="Cambria Math"/>
          </w:rPr>
          <m:t>= 3</m:t>
        </m:r>
      </m:oMath>
      <w:r>
        <w:t>.</w:t>
      </w:r>
    </w:p>
    <w:p w14:paraId="39FB2641" w14:textId="6AE527A9" w:rsidR="000F6D48" w:rsidRDefault="00461A1D">
      <w:pPr>
        <w:spacing w:before="60" w:after="100" w:line="340" w:lineRule="auto"/>
      </w:pPr>
      <w:r>
        <w:t xml:space="preserve">The impact is bounded rather than catastrophic. For the 99 </w:t>
      </w:r>
      <m:oMath>
        <m:sSub>
          <m:sSubPr>
            <m:ctrlPr>
              <w:rPr>
                <w:rFonts w:ascii="Cambria Math" w:hAnsi="Cambria Math"/>
                <w:i/>
              </w:rPr>
            </m:ctrlPr>
          </m:sSubPr>
          <m:e>
            <m:r>
              <w:rPr>
                <w:rFonts w:ascii="Cambria Math" w:hAnsi="Cambria Math"/>
              </w:rPr>
              <m:t>Q</m:t>
            </m:r>
          </m:e>
          <m:sub>
            <m:r>
              <w:rPr>
                <w:rFonts w:ascii="Cambria Math" w:hAnsi="Cambria Math"/>
              </w:rPr>
              <m:t>flag</m:t>
            </m:r>
          </m:sub>
        </m:sSub>
        <m:r>
          <w:rPr>
            <w:rFonts w:ascii="Cambria Math" w:hAnsi="Cambria Math"/>
          </w:rPr>
          <m:t>= 1</m:t>
        </m:r>
      </m:oMath>
      <w:r>
        <w:t xml:space="preserve"> galaxies (best-quality, minimal contamination), the median </w:t>
      </w:r>
      <m:oMath>
        <m:r>
          <w:rPr>
            <w:rFonts w:ascii="Cambria Math" w:hAnsi="Cambria Math"/>
          </w:rPr>
          <m:t>r</m:t>
        </m:r>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oMath>
      <w:r>
        <w:t xml:space="preserve"> of 7.27 represents the genuine model performance on clean data — and it is still elevated. Bar-driven errors do not explain this: bar contamination would affect a minority of systems and would not produce the systematic data-density trend. The spherical approximation is therefore a secondary limitation relative to the inadequacy of the 1/R tail shape.</w:t>
      </w:r>
    </w:p>
    <w:p w14:paraId="72F76A3F" w14:textId="4CB09982" w:rsidR="000F6D48" w:rsidRDefault="00C70DC6">
      <w:pPr>
        <w:pStyle w:val="Heading2"/>
      </w:pPr>
      <w:bookmarkStart w:id="10" w:name="_Toc222461568"/>
      <w:r>
        <w:t>2.4 The</w:t>
      </w:r>
      <w:r w:rsidR="00461A1D">
        <w:t xml:space="preserve"> Lensing and Cluster Gap: Real and Structural</w:t>
      </w:r>
      <w:bookmarkEnd w:id="10"/>
    </w:p>
    <w:p w14:paraId="18B3DC8A" w14:textId="77777777" w:rsidR="000F6D48" w:rsidRDefault="00461A1D">
      <w:pPr>
        <w:spacing w:before="60" w:after="100" w:line="340" w:lineRule="auto"/>
      </w:pPr>
      <w:r>
        <w:t>The most serious physical gap in the current work is the complete absence of gravitational lensing predictions. In the Newtonian gauge (weak field), rotation curves constrain the scalar potential Φ through ∂_R Φ, while lensing probes the Weyl combination (Φ + Ψ)/2. The intrinsic-mechanics hypothesis admits two distinct regimes:</w:t>
      </w:r>
    </w:p>
    <w:p w14:paraId="4720521B" w14:textId="21B93BEF" w:rsidR="000F6D48" w:rsidRDefault="00461A1D">
      <w:pPr>
        <w:shd w:val="clear" w:color="auto" w:fill="F5F6F8"/>
        <w:spacing w:before="120" w:after="120"/>
        <w:jc w:val="center"/>
      </w:pPr>
      <w:r>
        <w:rPr>
          <w:rFonts w:ascii="Courier New" w:eastAsia="Courier New" w:hAnsi="Courier New" w:cs="Courier New"/>
          <w:color w:val="0D1B2A"/>
        </w:rPr>
        <w:t xml:space="preserve">Case 1 (no slip): </w:t>
      </w:r>
      <m:oMath>
        <m:r>
          <w:rPr>
            <w:rFonts w:ascii="Cambria Math" w:eastAsia="Courier New" w:hAnsi="Cambria Math" w:cs="Courier New"/>
            <w:color w:val="0D1B2A"/>
          </w:rPr>
          <m:t>Φ = Ψ</m:t>
        </m:r>
      </m:oMath>
      <w:r>
        <w:rPr>
          <w:rFonts w:ascii="Courier New" w:eastAsia="Courier New" w:hAnsi="Courier New" w:cs="Courier New"/>
          <w:color w:val="0D1B2A"/>
        </w:rPr>
        <w:t xml:space="preserve">  →  lensing = 2 × rotation constraint, same as CDM</w:t>
      </w:r>
    </w:p>
    <w:p w14:paraId="3DFAA396" w14:textId="299D28CA" w:rsidR="000F6D48" w:rsidRDefault="00461A1D">
      <w:pPr>
        <w:shd w:val="clear" w:color="auto" w:fill="F5F6F8"/>
        <w:spacing w:before="120" w:after="120"/>
        <w:jc w:val="center"/>
      </w:pPr>
      <w:r>
        <w:rPr>
          <w:rFonts w:ascii="Courier New" w:eastAsia="Courier New" w:hAnsi="Courier New" w:cs="Courier New"/>
          <w:color w:val="0D1B2A"/>
        </w:rPr>
        <w:t xml:space="preserve">Case 2 (slip): </w:t>
      </w:r>
      <m:oMath>
        <m:r>
          <w:rPr>
            <w:rFonts w:ascii="Cambria Math" w:eastAsia="Courier New" w:hAnsi="Cambria Math" w:cs="Courier New"/>
            <w:color w:val="0D1B2A"/>
          </w:rPr>
          <m:t>Φ ≠ Ψ</m:t>
        </m:r>
      </m:oMath>
      <w:r>
        <w:rPr>
          <w:rFonts w:ascii="Courier New" w:eastAsia="Courier New" w:hAnsi="Courier New" w:cs="Courier New"/>
          <w:color w:val="0D1B2A"/>
        </w:rPr>
        <w:t xml:space="preserve">  →  gravitational slip </w:t>
      </w:r>
      <m:oMath>
        <m:r>
          <w:rPr>
            <w:rFonts w:ascii="Cambria Math" w:eastAsia="Courier New" w:hAnsi="Cambria Math" w:cs="Courier New"/>
            <w:color w:val="0D1B2A"/>
          </w:rPr>
          <m:t>δ =</m:t>
        </m:r>
        <m:f>
          <m:fPr>
            <m:ctrlPr>
              <w:rPr>
                <w:rFonts w:ascii="Cambria Math" w:eastAsia="Courier New" w:hAnsi="Cambria Math" w:cs="Courier New"/>
                <w:i/>
                <w:color w:val="0D1B2A"/>
              </w:rPr>
            </m:ctrlPr>
          </m:fPr>
          <m:num>
            <m:r>
              <w:rPr>
                <w:rFonts w:ascii="Cambria Math" w:eastAsia="Courier New" w:hAnsi="Cambria Math" w:cs="Courier New"/>
                <w:color w:val="0D1B2A"/>
              </w:rPr>
              <m:t>Ψ-Φ</m:t>
            </m:r>
          </m:num>
          <m:den>
            <m:r>
              <w:rPr>
                <w:rFonts w:ascii="Cambria Math" w:eastAsia="Courier New" w:hAnsi="Cambria Math" w:cs="Courier New"/>
                <w:color w:val="0D1B2A"/>
              </w:rPr>
              <m:t>Φ</m:t>
            </m:r>
          </m:den>
        </m:f>
        <m:r>
          <w:rPr>
            <w:rFonts w:ascii="Cambria Math" w:eastAsia="Courier New" w:hAnsi="Cambria Math" w:cs="Courier New"/>
            <w:color w:val="0D1B2A"/>
          </w:rPr>
          <m:t>≠ 0</m:t>
        </m:r>
      </m:oMath>
      <w:r>
        <w:rPr>
          <w:rFonts w:ascii="Courier New" w:eastAsia="Courier New" w:hAnsi="Courier New" w:cs="Courier New"/>
          <w:color w:val="0D1B2A"/>
        </w:rPr>
        <w:t>, directly testable</w:t>
      </w:r>
    </w:p>
    <w:p w14:paraId="536279CC" w14:textId="13255D3A" w:rsidR="000F6D48" w:rsidRDefault="00461A1D">
      <w:pPr>
        <w:spacing w:before="60" w:after="100" w:line="340" w:lineRule="auto"/>
      </w:pPr>
      <w:r>
        <w:t xml:space="preserve">The Bullet Cluster provides the sharpest test. In a colliding cluster system, the X-ray gas (baryons) is displaced from the weak-lensing mass peak. MOND cannot reproduce this without additional matter (Angus et al. 2007); CDM handles it automatically via collisionless dark-matter halos. An intrinsic-mechanics claim must specify whether the effective stress-energy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w:rPr>
                <w:rFonts w:ascii="Cambria Math" w:hAnsi="Cambria Math"/>
              </w:rPr>
              <m:t>resp</m:t>
            </m:r>
          </m:sup>
        </m:sSubSup>
      </m:oMath>
      <w:r>
        <w:t xml:space="preserve"> is locked to the gas distribution or not. If it is, the model predicts a displaced lensing peak — inconsistent with the Bullet Cluster observation. If it is not (i.e., it is genuinely tied to the total baryon distribution including stars displaced from gas), the constraint is less severe but the required non-locality must be made explicit.</w:t>
      </w:r>
    </w:p>
    <w:p w14:paraId="03E76BD1" w14:textId="6AA392EF" w:rsidR="000F6D48" w:rsidRDefault="00461A1D">
      <w:pPr>
        <w:spacing w:before="60" w:after="100" w:line="340" w:lineRule="auto"/>
      </w:pPr>
      <w:r>
        <w:t xml:space="preserve">This is not a fatal objection — it is a specification requirement. The current manuscript acknowledges this gap. The critical action item is to write down a concrete statement about the predicted gravitational slip </w:t>
      </w:r>
      <m:oMath>
        <m:r>
          <w:rPr>
            <w:rFonts w:ascii="Cambria Math" w:hAnsi="Cambria Math"/>
          </w:rPr>
          <m:t>δ</m:t>
        </m:r>
      </m:oMath>
      <w:r>
        <w:t>, and to calculate whether the model prediction for the Bullet Cluster is consistent with the observed lensing map.</w:t>
      </w:r>
    </w:p>
    <w:p w14:paraId="2DFE00EC" w14:textId="77777777" w:rsidR="00C70DC6" w:rsidRDefault="00C70DC6">
      <w:pPr>
        <w:pStyle w:val="Heading1"/>
        <w:sectPr w:rsidR="00C70DC6">
          <w:pgSz w:w="12240" w:h="15840"/>
          <w:pgMar w:top="1200" w:right="1200" w:bottom="1200" w:left="1200" w:header="708" w:footer="708" w:gutter="0"/>
          <w:cols w:space="720"/>
          <w:docGrid w:linePitch="360"/>
        </w:sectPr>
      </w:pPr>
    </w:p>
    <w:p w14:paraId="601FE932" w14:textId="77777777" w:rsidR="000F6D48" w:rsidRDefault="00461A1D">
      <w:pPr>
        <w:pStyle w:val="Heading1"/>
      </w:pPr>
      <w:bookmarkStart w:id="11" w:name="_Toc222461569"/>
      <w:r>
        <w:t>3.  Comparison to Alternatives: The Benchmark That Does Not Yet Exist</w:t>
      </w:r>
      <w:bookmarkEnd w:id="11"/>
    </w:p>
    <w:p w14:paraId="43420CD0" w14:textId="77777777" w:rsidR="000F6D48" w:rsidRDefault="000F6D48">
      <w:pPr>
        <w:pBdr>
          <w:bottom w:val="single" w:sz="4" w:space="1" w:color="2B4070"/>
        </w:pBdr>
        <w:spacing w:after="60"/>
      </w:pPr>
    </w:p>
    <w:p w14:paraId="57F265BF" w14:textId="77777777" w:rsidR="000F6D48" w:rsidRDefault="000F6D48">
      <w:pPr>
        <w:spacing w:line="160" w:lineRule="auto"/>
      </w:pPr>
    </w:p>
    <w:p w14:paraId="09363698" w14:textId="210B26A3" w:rsidR="000F6D48" w:rsidRDefault="004B790C">
      <w:pPr>
        <w:pStyle w:val="Heading2"/>
      </w:pPr>
      <w:bookmarkStart w:id="12" w:name="_Toc222461570"/>
      <w:r>
        <w:t>3.1 The</w:t>
      </w:r>
      <w:r w:rsidR="00461A1D">
        <w:t xml:space="preserve"> MOND Benchmark — Computed, Not Approximated</w:t>
      </w:r>
      <w:bookmarkEnd w:id="12"/>
    </w:p>
    <w:p w14:paraId="7FD90F66" w14:textId="17481CB6" w:rsidR="000F6D48" w:rsidRDefault="00461A1D">
      <w:pPr>
        <w:spacing w:before="60" w:after="100" w:line="340" w:lineRule="auto"/>
      </w:pPr>
      <w:r>
        <w:t xml:space="preserve">Li et al. (2018) applied MOND with the simple interpolation function </w:t>
      </w:r>
      <m:oMath>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den>
        </m:f>
      </m:oMath>
      <w:r>
        <w:t xml:space="preserve"> and a universal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1.2 × </m:t>
        </m:r>
        <m:sSup>
          <m:sSupPr>
            <m:ctrlPr>
              <w:rPr>
                <w:rFonts w:ascii="Cambria Math" w:hAnsi="Cambria Math"/>
                <w:i/>
              </w:rPr>
            </m:ctrlPr>
          </m:sSupPr>
          <m:e>
            <m:r>
              <w:rPr>
                <w:rFonts w:ascii="Cambria Math" w:hAnsi="Cambria Math"/>
              </w:rPr>
              <m:t>10</m:t>
            </m:r>
          </m:e>
          <m:sup>
            <m:r>
              <w:rPr>
                <w:rFonts w:ascii="Cambria Math" w:hAnsi="Cambria Math"/>
              </w:rPr>
              <m:t>-10</m:t>
            </m:r>
          </m:sup>
        </m:sSup>
      </m:oMath>
      <w:r>
        <w:t xml:space="preserve"> m/s² to the identical 175-galaxy SPARC sample. Key published result: the rms scatter in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obs</m:t>
                        </m:r>
                      </m:sub>
                    </m:sSub>
                  </m:num>
                  <m:den>
                    <m:sSub>
                      <m:sSubPr>
                        <m:ctrlPr>
                          <w:rPr>
                            <w:rFonts w:ascii="Cambria Math" w:hAnsi="Cambria Math"/>
                            <w:i/>
                          </w:rPr>
                        </m:ctrlPr>
                      </m:sSubPr>
                      <m:e>
                        <m:r>
                          <w:rPr>
                            <w:rFonts w:ascii="Cambria Math" w:hAnsi="Cambria Math"/>
                          </w:rPr>
                          <m:t>g</m:t>
                        </m:r>
                      </m:e>
                      <m:sub>
                        <m:r>
                          <w:rPr>
                            <w:rFonts w:ascii="Cambria Math" w:hAnsi="Cambria Math"/>
                          </w:rPr>
                          <m:t>MOND</m:t>
                        </m:r>
                      </m:sub>
                    </m:sSub>
                  </m:den>
                </m:f>
              </m:e>
            </m:d>
          </m:e>
        </m:func>
        <m:r>
          <w:rPr>
            <w:rFonts w:ascii="Cambria Math" w:hAnsi="Cambria Math"/>
          </w:rPr>
          <m:t>= 0.057 dex</m:t>
        </m:r>
      </m:oMath>
      <w:r>
        <w:t xml:space="preserve">. In velocity units, </w:t>
      </w:r>
      <m:oMath>
        <m:r>
          <w:rPr>
            <w:rFonts w:ascii="Cambria Math" w:hAnsi="Cambria Math"/>
          </w:rPr>
          <m:t>0.057 dex</m:t>
        </m:r>
      </m:oMath>
      <w:r>
        <w:t xml:space="preserve"> in g translates to </w:t>
      </w:r>
      <m:oMath>
        <m:r>
          <w:rPr>
            <w:rFonts w:ascii="Cambria Math" w:hAnsi="Cambria Math"/>
          </w:rPr>
          <m:t>~6.6%</m:t>
        </m:r>
      </m:oMath>
      <w:r>
        <w:t xml:space="preserve"> scatter in v — approximately 6.6 km/s rms for a typical 100 km/s system.</w:t>
      </w:r>
    </w:p>
    <w:p w14:paraId="4530C65F" w14:textId="5F8566C6" w:rsidR="000F6D48" w:rsidRDefault="00461A1D">
      <w:pPr>
        <w:spacing w:before="60" w:after="100" w:line="340" w:lineRule="auto"/>
      </w:pPr>
      <w:r>
        <w:t xml:space="preserve">The DOF accounting is critical. MOND uses zero free parameters per galaxy: the interpolation function shape and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are universal. Estimat</w:t>
      </w:r>
      <w:proofErr w:type="spellStart"/>
      <w:r>
        <w:t>ing</w:t>
      </w:r>
      <w:proofErr w:type="spellEnd"/>
      <w:r>
        <w:t xml:space="preserve"> what MOND's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would be with SPARC's typical </w:t>
      </w:r>
      <m:oMath>
        <m:sSub>
          <m:sSubPr>
            <m:ctrlPr>
              <w:rPr>
                <w:rFonts w:ascii="Cambria Math" w:hAnsi="Cambria Math"/>
                <w:i/>
              </w:rPr>
            </m:ctrlPr>
          </m:sSubPr>
          <m:e>
            <m:r>
              <w:rPr>
                <w:rFonts w:ascii="Cambria Math" w:hAnsi="Cambria Math"/>
              </w:rPr>
              <m:t>σ</m:t>
            </m:r>
          </m:e>
          <m:sub>
            <m:r>
              <w:rPr>
                <w:rFonts w:ascii="Cambria Math" w:hAnsi="Cambria Math"/>
              </w:rPr>
              <m:t>V</m:t>
            </m:r>
          </m:sub>
        </m:sSub>
        <m:r>
          <w:rPr>
            <w:rFonts w:ascii="Cambria Math" w:hAnsi="Cambria Math"/>
          </w:rPr>
          <m:t>= 3</m:t>
        </m:r>
      </m:oMath>
      <w:r>
        <w:t xml:space="preserve"> km/s:</w:t>
      </w:r>
    </w:p>
    <w:p w14:paraId="7B371056" w14:textId="5D09FDBF" w:rsidR="000F6D48" w:rsidRDefault="00C70DC6">
      <w:pPr>
        <w:shd w:val="clear" w:color="auto" w:fill="F5F6F8"/>
        <w:spacing w:before="120" w:after="120"/>
        <w:jc w:val="center"/>
      </w:pPr>
      <m:oMathPara>
        <m:oMath>
          <m:sSubSup>
            <m:sSubSupPr>
              <m:ctrlPr>
                <w:rPr>
                  <w:rFonts w:ascii="Cambria Math" w:hAnsi="Cambria Math"/>
                  <w:i/>
                  <w:color w:val="0D1B2A"/>
                </w:rPr>
              </m:ctrlPr>
            </m:sSubSupPr>
            <m:e>
              <m:r>
                <w:rPr>
                  <w:rFonts w:ascii="Cambria Math" w:hAnsi="Cambria Math"/>
                  <w:color w:val="0D1B2A"/>
                </w:rPr>
                <m:t>χ</m:t>
              </m:r>
            </m:e>
            <m:sub>
              <m:r>
                <w:rPr>
                  <w:rFonts w:ascii="Cambria Math" w:hAnsi="Cambria Math"/>
                  <w:color w:val="0D1B2A"/>
                </w:rPr>
                <m:t>MOND</m:t>
              </m:r>
            </m:sub>
            <m:sup>
              <m:r>
                <w:rPr>
                  <w:rFonts w:ascii="Cambria Math" w:hAnsi="Cambria Math"/>
                  <w:color w:val="0D1B2A"/>
                </w:rPr>
                <m:t>2</m:t>
              </m:r>
            </m:sup>
          </m:sSubSup>
          <m:r>
            <w:rPr>
              <w:rFonts w:ascii="Cambria Math" w:hAnsi="Cambria Math"/>
              <w:color w:val="0D1B2A"/>
            </w:rPr>
            <m:t xml:space="preserve">≈ </m:t>
          </m:r>
          <m:sSup>
            <m:sSupPr>
              <m:ctrlPr>
                <w:rPr>
                  <w:rFonts w:ascii="Cambria Math" w:hAnsi="Cambria Math"/>
                  <w:i/>
                  <w:color w:val="0D1B2A"/>
                </w:rPr>
              </m:ctrlPr>
            </m:sSupPr>
            <m:e>
              <m:d>
                <m:dPr>
                  <m:ctrlPr>
                    <w:rPr>
                      <w:rFonts w:ascii="Cambria Math" w:hAnsi="Cambria Math"/>
                      <w:i/>
                      <w:color w:val="0D1B2A"/>
                    </w:rPr>
                  </m:ctrlPr>
                </m:dPr>
                <m:e>
                  <m:f>
                    <m:fPr>
                      <m:ctrlPr>
                        <w:rPr>
                          <w:rFonts w:ascii="Cambria Math" w:hAnsi="Cambria Math"/>
                          <w:i/>
                          <w:color w:val="0D1B2A"/>
                        </w:rPr>
                      </m:ctrlPr>
                    </m:fPr>
                    <m:num>
                      <m:r>
                        <w:rPr>
                          <w:rFonts w:ascii="Cambria Math" w:hAnsi="Cambria Math"/>
                          <w:color w:val="0D1B2A"/>
                        </w:rPr>
                        <m:t>6.6</m:t>
                      </m:r>
                    </m:num>
                    <m:den>
                      <m:r>
                        <w:rPr>
                          <w:rFonts w:ascii="Cambria Math" w:hAnsi="Cambria Math"/>
                          <w:color w:val="0D1B2A"/>
                        </w:rPr>
                        <m:t>3.0</m:t>
                      </m:r>
                    </m:den>
                  </m:f>
                </m:e>
              </m:d>
            </m:e>
            <m:sup>
              <m:r>
                <w:rPr>
                  <w:rFonts w:ascii="Cambria Math" w:hAnsi="Cambria Math"/>
                  <w:color w:val="0D1B2A"/>
                </w:rPr>
                <m:t>2</m:t>
              </m:r>
            </m:sup>
          </m:sSup>
          <m:r>
            <w:rPr>
              <w:rFonts w:ascii="Cambria Math" w:hAnsi="Cambria Math"/>
              <w:color w:val="0D1B2A"/>
            </w:rPr>
            <m:t xml:space="preserve">× </m:t>
          </m:r>
          <m:sSub>
            <m:sSubPr>
              <m:ctrlPr>
                <w:rPr>
                  <w:rFonts w:ascii="Cambria Math" w:hAnsi="Cambria Math"/>
                  <w:i/>
                  <w:color w:val="0D1B2A"/>
                </w:rPr>
              </m:ctrlPr>
            </m:sSubPr>
            <m:e>
              <m:r>
                <w:rPr>
                  <w:rFonts w:ascii="Cambria Math" w:hAnsi="Cambria Math"/>
                  <w:color w:val="0D1B2A"/>
                </w:rPr>
                <m:t>N</m:t>
              </m:r>
            </m:e>
            <m:sub>
              <m:r>
                <w:rPr>
                  <w:rFonts w:ascii="Cambria Math" w:hAnsi="Cambria Math"/>
                  <w:color w:val="0D1B2A"/>
                </w:rPr>
                <m:t>pts</m:t>
              </m:r>
            </m:sub>
          </m:sSub>
          <m:r>
            <w:rPr>
              <w:rFonts w:ascii="Cambria Math" w:hAnsi="Cambria Math"/>
              <w:color w:val="0D1B2A"/>
            </w:rPr>
            <m:t xml:space="preserve"> ≈  4.8 × </m:t>
          </m:r>
          <m:sSub>
            <m:sSubPr>
              <m:ctrlPr>
                <w:rPr>
                  <w:rFonts w:ascii="Cambria Math" w:hAnsi="Cambria Math"/>
                  <w:i/>
                  <w:color w:val="0D1B2A"/>
                </w:rPr>
              </m:ctrlPr>
            </m:sSubPr>
            <m:e>
              <m:r>
                <w:rPr>
                  <w:rFonts w:ascii="Cambria Math" w:hAnsi="Cambria Math"/>
                  <w:color w:val="0D1B2A"/>
                </w:rPr>
                <m:t>N</m:t>
              </m:r>
            </m:e>
            <m:sub>
              <m:r>
                <w:rPr>
                  <w:rFonts w:ascii="Cambria Math" w:hAnsi="Cambria Math"/>
                  <w:color w:val="0D1B2A"/>
                </w:rPr>
                <m:t>pts</m:t>
              </m:r>
            </m:sub>
          </m:sSub>
          <m:r>
            <w:rPr>
              <w:rFonts w:ascii="Cambria Math" w:hAnsi="Cambria Math"/>
              <w:color w:val="0D1B2A"/>
            </w:rPr>
            <m:t xml:space="preserve"> →  r</m:t>
          </m:r>
          <m:sSubSup>
            <m:sSubSupPr>
              <m:ctrlPr>
                <w:rPr>
                  <w:rFonts w:ascii="Cambria Math" w:hAnsi="Cambria Math"/>
                  <w:i/>
                  <w:color w:val="0D1B2A"/>
                </w:rPr>
              </m:ctrlPr>
            </m:sSubSupPr>
            <m:e>
              <m:r>
                <w:rPr>
                  <w:rFonts w:ascii="Cambria Math" w:hAnsi="Cambria Math"/>
                  <w:color w:val="0D1B2A"/>
                </w:rPr>
                <m:t>χ</m:t>
              </m:r>
            </m:e>
            <m:sub>
              <m:r>
                <w:rPr>
                  <w:rFonts w:ascii="Cambria Math" w:hAnsi="Cambria Math"/>
                  <w:color w:val="0D1B2A"/>
                </w:rPr>
                <m:t>MOND</m:t>
              </m:r>
            </m:sub>
            <m:sup>
              <m:r>
                <w:rPr>
                  <w:rFonts w:ascii="Cambria Math" w:hAnsi="Cambria Math"/>
                  <w:color w:val="0D1B2A"/>
                </w:rPr>
                <m:t>2</m:t>
              </m:r>
            </m:sup>
          </m:sSubSup>
          <m:r>
            <w:rPr>
              <w:rFonts w:ascii="Cambria Math" w:hAnsi="Cambria Math"/>
              <w:color w:val="0D1B2A"/>
            </w:rPr>
            <m:t>≈ 4.8</m:t>
          </m:r>
        </m:oMath>
      </m:oMathPara>
    </w:p>
    <w:p w14:paraId="0A7AADAE" w14:textId="512642A4" w:rsidR="000F6D48" w:rsidRDefault="00461A1D">
      <w:pPr>
        <w:spacing w:before="60" w:after="100" w:line="340" w:lineRule="auto"/>
      </w:pPr>
      <w:r>
        <w:t>For NGC6503 specifically (</w:t>
      </w:r>
      <m:oMath>
        <m:r>
          <w:rPr>
            <w:rFonts w:ascii="Cambria Math" w:hAnsi="Cambria Math"/>
          </w:rPr>
          <m:t>N = 31</m:t>
        </m:r>
      </m:oMath>
      <w:r>
        <w:t xml:space="preserve">): </w:t>
      </w:r>
      <m:oMath>
        <m:sSubSup>
          <m:sSubSupPr>
            <m:ctrlPr>
              <w:rPr>
                <w:rFonts w:ascii="Cambria Math" w:hAnsi="Cambria Math"/>
                <w:i/>
              </w:rPr>
            </m:ctrlPr>
          </m:sSubSupPr>
          <m:e>
            <m:r>
              <w:rPr>
                <w:rFonts w:ascii="Cambria Math" w:hAnsi="Cambria Math"/>
              </w:rPr>
              <m:t>χ</m:t>
            </m:r>
          </m:e>
          <m:sub>
            <m:r>
              <w:rPr>
                <w:rFonts w:ascii="Cambria Math" w:hAnsi="Cambria Math"/>
              </w:rPr>
              <m:t>MOND</m:t>
            </m:r>
          </m:sub>
          <m:sup>
            <m:r>
              <w:rPr>
                <w:rFonts w:ascii="Cambria Math" w:hAnsi="Cambria Math"/>
              </w:rPr>
              <m:t>2</m:t>
            </m:r>
          </m:sup>
        </m:sSubSup>
        <m:r>
          <w:rPr>
            <w:rFonts w:ascii="Cambria Math" w:hAnsi="Cambria Math"/>
          </w:rPr>
          <m:t>≈ 4.8 × 31 ≈ 149</m:t>
        </m:r>
      </m:oMath>
      <w:r>
        <w:t xml:space="preserve">, </w:t>
      </w:r>
      <m:oMath>
        <m:r>
          <w:rPr>
            <w:rFonts w:ascii="Cambria Math" w:hAnsi="Cambria Math"/>
          </w:rPr>
          <m:t>r</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5.0</m:t>
        </m:r>
      </m:oMath>
      <w:r>
        <w:t xml:space="preserve">. The atlas reports </w:t>
      </w:r>
      <m:oMath>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r>
          <w:rPr>
            <w:rFonts w:ascii="Cambria Math" w:hAnsi="Cambria Math"/>
          </w:rPr>
          <m:t>= 138.9</m:t>
        </m:r>
      </m:oMath>
      <w:r>
        <w:t xml:space="preserve"> for NGC6503, </w:t>
      </w:r>
      <m:oMath>
        <m:r>
          <w:rPr>
            <w:rFonts w:ascii="Cambria Math" w:hAnsi="Cambria Math"/>
          </w:rPr>
          <m:t>r</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4.63</m:t>
        </m:r>
      </m:oMath>
      <w:r>
        <w:t xml:space="preserve"> — slightly better, but at the cost of one free parameter. On a head-to-head BIC comparison for NGC6503: </w:t>
      </w:r>
      <m:oMath>
        <m:r>
          <w:rPr>
            <w:rFonts w:ascii="Cambria Math" w:hAnsi="Cambria Math"/>
          </w:rPr>
          <m:t xml:space="preserve">ΔBIC ≈ 149 </m:t>
        </m:r>
        <m:r>
          <w:rPr>
            <w:rFonts w:ascii="Cambria Math" w:hAnsi="Cambria Math"/>
          </w:rPr>
          <m:t>–</m:t>
        </m:r>
        <m:r>
          <w:rPr>
            <w:rFonts w:ascii="Cambria Math" w:hAnsi="Cambria Math"/>
          </w:rPr>
          <m:t xml:space="preserve"> 138.9 </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31</m:t>
                </m:r>
              </m:e>
            </m:d>
          </m:e>
        </m:func>
        <m:r>
          <w:rPr>
            <w:rFonts w:ascii="Cambria Math" w:hAnsi="Cambria Math"/>
          </w:rPr>
          <m:t>≈ -3.5</m:t>
        </m:r>
      </m:oMath>
      <w:r>
        <w:t xml:space="preserve"> in favour of MOND (fewer parameters, similar absol</w:t>
      </w:r>
      <w:proofErr w:type="spellStart"/>
      <w:r>
        <w:t>ute</w:t>
      </w:r>
      <w:proofErr w:type="spellEnd"/>
      <w:r>
        <w:t xml:space="preserve"> fit). This single-galaxy example illustrates the core challenge.</w:t>
      </w:r>
    </w:p>
    <w:p w14:paraId="1F659832" w14:textId="77777777" w:rsidR="000F6D48" w:rsidRDefault="000F6D48">
      <w:pPr>
        <w:spacing w:line="8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374"/>
        <w:gridCol w:w="2169"/>
        <w:gridCol w:w="2878"/>
      </w:tblGrid>
      <w:tr w:rsidR="00C70DC6" w14:paraId="6C2B4EDE" w14:textId="77777777" w:rsidTr="004B790C">
        <w:tblPrEx>
          <w:tblCellMar>
            <w:top w:w="0" w:type="dxa"/>
            <w:bottom w:w="0" w:type="dxa"/>
          </w:tblCellMar>
        </w:tblPrEx>
        <w:tc>
          <w:tcPr>
            <w:tcW w:w="1225" w:type="pct"/>
            <w:shd w:val="clear" w:color="auto" w:fill="0D1B2A"/>
            <w:tcMar>
              <w:top w:w="70" w:type="dxa"/>
              <w:left w:w="120" w:type="dxa"/>
              <w:bottom w:w="70" w:type="dxa"/>
              <w:right w:w="120" w:type="dxa"/>
            </w:tcMar>
            <w:vAlign w:val="center"/>
          </w:tcPr>
          <w:p w14:paraId="178C818B" w14:textId="77777777" w:rsidR="000F6D48" w:rsidRDefault="00461A1D">
            <w:r>
              <w:rPr>
                <w:b/>
                <w:bCs/>
                <w:color w:val="FFFFFF"/>
                <w:sz w:val="19"/>
                <w:szCs w:val="19"/>
              </w:rPr>
              <w:t>Property</w:t>
            </w:r>
          </w:p>
        </w:tc>
        <w:tc>
          <w:tcPr>
            <w:tcW w:w="1207" w:type="pct"/>
            <w:shd w:val="clear" w:color="auto" w:fill="0D1B2A"/>
            <w:tcMar>
              <w:top w:w="70" w:type="dxa"/>
              <w:left w:w="120" w:type="dxa"/>
              <w:bottom w:w="70" w:type="dxa"/>
              <w:right w:w="120" w:type="dxa"/>
            </w:tcMar>
            <w:vAlign w:val="center"/>
          </w:tcPr>
          <w:p w14:paraId="04528100" w14:textId="77777777" w:rsidR="000F6D48" w:rsidRDefault="00461A1D">
            <w:pPr>
              <w:jc w:val="center"/>
            </w:pPr>
            <w:r>
              <w:rPr>
                <w:b/>
                <w:bCs/>
                <w:color w:val="FFFFFF"/>
                <w:sz w:val="19"/>
                <w:szCs w:val="19"/>
              </w:rPr>
              <w:t>MOND (Li+2018)</w:t>
            </w:r>
          </w:p>
        </w:tc>
        <w:tc>
          <w:tcPr>
            <w:tcW w:w="1103" w:type="pct"/>
            <w:shd w:val="clear" w:color="auto" w:fill="0D1B2A"/>
            <w:tcMar>
              <w:top w:w="70" w:type="dxa"/>
              <w:left w:w="120" w:type="dxa"/>
              <w:bottom w:w="70" w:type="dxa"/>
              <w:right w:w="120" w:type="dxa"/>
            </w:tcMar>
            <w:vAlign w:val="center"/>
          </w:tcPr>
          <w:p w14:paraId="6C2B85C2" w14:textId="20519E3C" w:rsidR="000F6D48" w:rsidRDefault="00461A1D">
            <w:pPr>
              <w:jc w:val="center"/>
            </w:pPr>
            <w:r>
              <w:rPr>
                <w:b/>
                <w:bCs/>
                <w:color w:val="FFFFFF"/>
                <w:sz w:val="19"/>
                <w:szCs w:val="19"/>
              </w:rPr>
              <w:t xml:space="preserve">Edge-response </w:t>
            </w:r>
            <m:oMath>
              <m:r>
                <m:rPr>
                  <m:sty m:val="bi"/>
                </m:rPr>
                <w:rPr>
                  <w:rFonts w:ascii="Cambria Math" w:hAnsi="Cambria Math"/>
                  <w:color w:val="FFFFFF"/>
                  <w:sz w:val="19"/>
                  <w:szCs w:val="19"/>
                </w:rPr>
                <m:t>Q</m:t>
              </m:r>
            </m:oMath>
          </w:p>
        </w:tc>
        <w:tc>
          <w:tcPr>
            <w:tcW w:w="1464" w:type="pct"/>
            <w:shd w:val="clear" w:color="auto" w:fill="0D1B2A"/>
            <w:tcMar>
              <w:top w:w="70" w:type="dxa"/>
              <w:left w:w="120" w:type="dxa"/>
              <w:bottom w:w="70" w:type="dxa"/>
              <w:right w:w="120" w:type="dxa"/>
            </w:tcMar>
            <w:vAlign w:val="center"/>
          </w:tcPr>
          <w:p w14:paraId="5CB75C7C" w14:textId="77777777" w:rsidR="000F6D48" w:rsidRDefault="00461A1D">
            <w:pPr>
              <w:jc w:val="center"/>
            </w:pPr>
            <w:r>
              <w:rPr>
                <w:b/>
                <w:bCs/>
                <w:color w:val="FFFFFF"/>
                <w:sz w:val="19"/>
                <w:szCs w:val="19"/>
              </w:rPr>
              <w:t>CDM NFW (Keller+2017)</w:t>
            </w:r>
          </w:p>
        </w:tc>
      </w:tr>
      <w:tr w:rsidR="00C70DC6" w14:paraId="6DD6520B" w14:textId="77777777" w:rsidTr="004B790C">
        <w:tblPrEx>
          <w:tblCellMar>
            <w:top w:w="0" w:type="dxa"/>
            <w:bottom w:w="0" w:type="dxa"/>
          </w:tblCellMar>
        </w:tblPrEx>
        <w:tc>
          <w:tcPr>
            <w:tcW w:w="1225" w:type="pct"/>
            <w:shd w:val="clear" w:color="auto" w:fill="F5F6F8"/>
            <w:tcMar>
              <w:top w:w="70" w:type="dxa"/>
              <w:left w:w="120" w:type="dxa"/>
              <w:bottom w:w="70" w:type="dxa"/>
              <w:right w:w="120" w:type="dxa"/>
            </w:tcMar>
            <w:vAlign w:val="center"/>
          </w:tcPr>
          <w:p w14:paraId="70D670DB" w14:textId="77777777" w:rsidR="000F6D48" w:rsidRDefault="00461A1D">
            <w:r>
              <w:rPr>
                <w:sz w:val="20"/>
                <w:szCs w:val="20"/>
              </w:rPr>
              <w:t>Free params/galaxy</w:t>
            </w:r>
          </w:p>
        </w:tc>
        <w:tc>
          <w:tcPr>
            <w:tcW w:w="1207" w:type="pct"/>
            <w:shd w:val="clear" w:color="auto" w:fill="F5F6F8"/>
            <w:tcMar>
              <w:top w:w="70" w:type="dxa"/>
              <w:left w:w="120" w:type="dxa"/>
              <w:bottom w:w="70" w:type="dxa"/>
              <w:right w:w="120" w:type="dxa"/>
            </w:tcMar>
            <w:vAlign w:val="center"/>
          </w:tcPr>
          <w:p w14:paraId="6DB4746C" w14:textId="46E0823D" w:rsidR="000F6D48" w:rsidRDefault="004B790C">
            <w:pPr>
              <w:jc w:val="center"/>
            </w:pPr>
            <m:oMathPara>
              <m:oMath>
                <m:r>
                  <w:rPr>
                    <w:rFonts w:ascii="Cambria Math" w:hAnsi="Cambria Math"/>
                    <w:sz w:val="20"/>
                    <w:szCs w:val="20"/>
                  </w:rPr>
                  <m:t>0</m:t>
                </m:r>
              </m:oMath>
            </m:oMathPara>
          </w:p>
        </w:tc>
        <w:tc>
          <w:tcPr>
            <w:tcW w:w="1103" w:type="pct"/>
            <w:shd w:val="clear" w:color="auto" w:fill="F5F6F8"/>
            <w:tcMar>
              <w:top w:w="70" w:type="dxa"/>
              <w:left w:w="120" w:type="dxa"/>
              <w:bottom w:w="70" w:type="dxa"/>
              <w:right w:w="120" w:type="dxa"/>
            </w:tcMar>
            <w:vAlign w:val="center"/>
          </w:tcPr>
          <w:p w14:paraId="3EE34A25" w14:textId="70F8DB11" w:rsidR="000F6D48" w:rsidRDefault="00C70DC6">
            <w:pPr>
              <w:jc w:val="center"/>
            </w:pPr>
            <m:oMathPara>
              <m:oMath>
                <m:r>
                  <w:rPr>
                    <w:rFonts w:ascii="Cambria Math" w:hAnsi="Cambria Math"/>
                    <w:sz w:val="20"/>
                    <w:szCs w:val="20"/>
                  </w:rPr>
                  <m:t xml:space="preserve">1 </m:t>
                </m:r>
                <m:d>
                  <m:dPr>
                    <m:ctrlPr>
                      <w:rPr>
                        <w:rFonts w:ascii="Cambria Math" w:hAnsi="Cambria Math"/>
                        <w:i/>
                        <w:sz w:val="20"/>
                        <w:szCs w:val="20"/>
                      </w:rPr>
                    </m:ctrlPr>
                  </m:dPr>
                  <m:e>
                    <m:r>
                      <w:rPr>
                        <w:rFonts w:ascii="Cambria Math" w:hAnsi="Cambria Math"/>
                        <w:sz w:val="20"/>
                        <w:szCs w:val="20"/>
                      </w:rPr>
                      <m:t>Q</m:t>
                    </m:r>
                  </m:e>
                </m:d>
              </m:oMath>
            </m:oMathPara>
          </w:p>
        </w:tc>
        <w:tc>
          <w:tcPr>
            <w:tcW w:w="1464" w:type="pct"/>
            <w:shd w:val="clear" w:color="auto" w:fill="F5F6F8"/>
            <w:tcMar>
              <w:top w:w="70" w:type="dxa"/>
              <w:left w:w="120" w:type="dxa"/>
              <w:bottom w:w="70" w:type="dxa"/>
              <w:right w:w="120" w:type="dxa"/>
            </w:tcMar>
            <w:vAlign w:val="center"/>
          </w:tcPr>
          <w:p w14:paraId="30A05179" w14:textId="41950CAE" w:rsidR="000F6D48" w:rsidRDefault="00461A1D">
            <w:pPr>
              <w:jc w:val="center"/>
            </w:pPr>
            <w:r>
              <w:rPr>
                <w:sz w:val="20"/>
                <w:szCs w:val="20"/>
              </w:rPr>
              <w:t>2–3 (</w:t>
            </w:r>
            <m:oMath>
              <m:r>
                <w:rPr>
                  <w:rFonts w:ascii="Cambria Math" w:hAnsi="Cambria Math"/>
                  <w:sz w:val="20"/>
                  <w:szCs w:val="20"/>
                </w:rPr>
                <m:t>c</m:t>
              </m:r>
            </m:oMath>
            <w:r>
              <w:rPr>
                <w:sz w:val="20"/>
                <w:szCs w:val="20"/>
              </w:rPr>
              <w:t xml:space="preserve">,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vir</m:t>
                  </m:r>
                </m:sub>
              </m:sSub>
            </m:oMath>
            <w:r>
              <w:rPr>
                <w:sz w:val="20"/>
                <w:szCs w:val="20"/>
              </w:rPr>
              <w:t>)</w:t>
            </w:r>
          </w:p>
        </w:tc>
      </w:tr>
      <w:tr w:rsidR="00C70DC6" w14:paraId="3F5A230A" w14:textId="77777777" w:rsidTr="004B790C">
        <w:tblPrEx>
          <w:tblCellMar>
            <w:top w:w="0" w:type="dxa"/>
            <w:bottom w:w="0" w:type="dxa"/>
          </w:tblCellMar>
        </w:tblPrEx>
        <w:tc>
          <w:tcPr>
            <w:tcW w:w="1225" w:type="pct"/>
            <w:shd w:val="clear" w:color="auto" w:fill="FFFFFF"/>
            <w:tcMar>
              <w:top w:w="70" w:type="dxa"/>
              <w:left w:w="120" w:type="dxa"/>
              <w:bottom w:w="70" w:type="dxa"/>
              <w:right w:w="120" w:type="dxa"/>
            </w:tcMar>
            <w:vAlign w:val="center"/>
          </w:tcPr>
          <w:p w14:paraId="046CED8A" w14:textId="77777777" w:rsidR="000F6D48" w:rsidRDefault="00461A1D">
            <w:r>
              <w:rPr>
                <w:sz w:val="20"/>
                <w:szCs w:val="20"/>
              </w:rPr>
              <w:t>Global params</w:t>
            </w:r>
          </w:p>
        </w:tc>
        <w:tc>
          <w:tcPr>
            <w:tcW w:w="1207" w:type="pct"/>
            <w:shd w:val="clear" w:color="auto" w:fill="FFFFFF"/>
            <w:tcMar>
              <w:top w:w="70" w:type="dxa"/>
              <w:left w:w="120" w:type="dxa"/>
              <w:bottom w:w="70" w:type="dxa"/>
              <w:right w:w="120" w:type="dxa"/>
            </w:tcMar>
            <w:vAlign w:val="center"/>
          </w:tcPr>
          <w:p w14:paraId="61E17B95" w14:textId="62B826D4" w:rsidR="000F6D48" w:rsidRDefault="00C70DC6">
            <w:pPr>
              <w:jc w:val="center"/>
            </w:pPr>
            <m:oMathPara>
              <m:oMath>
                <m:r>
                  <w:rPr>
                    <w:rFonts w:ascii="Cambria Math" w:hAnsi="Cambria Math"/>
                    <w:sz w:val="20"/>
                    <w:szCs w:val="20"/>
                  </w:rPr>
                  <m:t xml:space="preserve">1 </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0</m:t>
                        </m:r>
                      </m:sub>
                    </m:sSub>
                  </m:e>
                </m:d>
              </m:oMath>
            </m:oMathPara>
          </w:p>
        </w:tc>
        <w:tc>
          <w:tcPr>
            <w:tcW w:w="1103" w:type="pct"/>
            <w:shd w:val="clear" w:color="auto" w:fill="FFFFFF"/>
            <w:tcMar>
              <w:top w:w="70" w:type="dxa"/>
              <w:left w:w="120" w:type="dxa"/>
              <w:bottom w:w="70" w:type="dxa"/>
              <w:right w:w="120" w:type="dxa"/>
            </w:tcMar>
            <w:vAlign w:val="center"/>
          </w:tcPr>
          <w:p w14:paraId="224EE2AA" w14:textId="77777777" w:rsidR="000F6D48" w:rsidRDefault="00461A1D">
            <w:pPr>
              <w:jc w:val="center"/>
            </w:pPr>
            <w:r>
              <w:rPr>
                <w:sz w:val="20"/>
                <w:szCs w:val="20"/>
              </w:rPr>
              <w:t>—</w:t>
            </w:r>
          </w:p>
        </w:tc>
        <w:tc>
          <w:tcPr>
            <w:tcW w:w="1464" w:type="pct"/>
            <w:shd w:val="clear" w:color="auto" w:fill="FFFFFF"/>
            <w:tcMar>
              <w:top w:w="70" w:type="dxa"/>
              <w:left w:w="120" w:type="dxa"/>
              <w:bottom w:w="70" w:type="dxa"/>
              <w:right w:w="120" w:type="dxa"/>
            </w:tcMar>
            <w:vAlign w:val="center"/>
          </w:tcPr>
          <w:p w14:paraId="475A5DF0" w14:textId="77777777" w:rsidR="000F6D48" w:rsidRDefault="00461A1D">
            <w:pPr>
              <w:jc w:val="center"/>
            </w:pPr>
            <w:r>
              <w:rPr>
                <w:sz w:val="20"/>
                <w:szCs w:val="20"/>
              </w:rPr>
              <w:t>1–2 (profile shape)</w:t>
            </w:r>
          </w:p>
        </w:tc>
      </w:tr>
      <w:tr w:rsidR="00C70DC6" w14:paraId="76D46760" w14:textId="77777777" w:rsidTr="004B790C">
        <w:tblPrEx>
          <w:tblCellMar>
            <w:top w:w="0" w:type="dxa"/>
            <w:bottom w:w="0" w:type="dxa"/>
          </w:tblCellMar>
        </w:tblPrEx>
        <w:tc>
          <w:tcPr>
            <w:tcW w:w="1225" w:type="pct"/>
            <w:shd w:val="clear" w:color="auto" w:fill="F5F6F8"/>
            <w:tcMar>
              <w:top w:w="70" w:type="dxa"/>
              <w:left w:w="120" w:type="dxa"/>
              <w:bottom w:w="70" w:type="dxa"/>
              <w:right w:w="120" w:type="dxa"/>
            </w:tcMar>
            <w:vAlign w:val="center"/>
          </w:tcPr>
          <w:p w14:paraId="59691BDA" w14:textId="77777777" w:rsidR="000F6D48" w:rsidRDefault="00461A1D">
            <w:r>
              <w:rPr>
                <w:sz w:val="20"/>
                <w:szCs w:val="20"/>
              </w:rPr>
              <w:t>rms scatter (log g)</w:t>
            </w:r>
          </w:p>
        </w:tc>
        <w:tc>
          <w:tcPr>
            <w:tcW w:w="1207" w:type="pct"/>
            <w:shd w:val="clear" w:color="auto" w:fill="F5F6F8"/>
            <w:tcMar>
              <w:top w:w="70" w:type="dxa"/>
              <w:left w:w="120" w:type="dxa"/>
              <w:bottom w:w="70" w:type="dxa"/>
              <w:right w:w="120" w:type="dxa"/>
            </w:tcMar>
            <w:vAlign w:val="center"/>
          </w:tcPr>
          <w:p w14:paraId="305E6D36" w14:textId="7F246A46" w:rsidR="000F6D48" w:rsidRDefault="004B790C">
            <w:pPr>
              <w:jc w:val="center"/>
            </w:pPr>
            <m:oMathPara>
              <m:oMath>
                <m:r>
                  <w:rPr>
                    <w:rFonts w:ascii="Cambria Math" w:hAnsi="Cambria Math"/>
                    <w:sz w:val="20"/>
                    <w:szCs w:val="20"/>
                  </w:rPr>
                  <m:t>0.057 dex</m:t>
                </m:r>
              </m:oMath>
            </m:oMathPara>
          </w:p>
        </w:tc>
        <w:tc>
          <w:tcPr>
            <w:tcW w:w="1103" w:type="pct"/>
            <w:shd w:val="clear" w:color="auto" w:fill="F5F6F8"/>
            <w:tcMar>
              <w:top w:w="70" w:type="dxa"/>
              <w:left w:w="120" w:type="dxa"/>
              <w:bottom w:w="70" w:type="dxa"/>
              <w:right w:w="120" w:type="dxa"/>
            </w:tcMar>
            <w:vAlign w:val="center"/>
          </w:tcPr>
          <w:p w14:paraId="3190837D" w14:textId="77777777" w:rsidR="000F6D48" w:rsidRDefault="00461A1D">
            <w:pPr>
              <w:jc w:val="center"/>
            </w:pPr>
            <w:r>
              <w:rPr>
                <w:sz w:val="20"/>
                <w:szCs w:val="20"/>
              </w:rPr>
              <w:t>Not yet computed</w:t>
            </w:r>
          </w:p>
        </w:tc>
        <w:tc>
          <w:tcPr>
            <w:tcW w:w="1464" w:type="pct"/>
            <w:shd w:val="clear" w:color="auto" w:fill="F5F6F8"/>
            <w:tcMar>
              <w:top w:w="70" w:type="dxa"/>
              <w:left w:w="120" w:type="dxa"/>
              <w:bottom w:w="70" w:type="dxa"/>
              <w:right w:w="120" w:type="dxa"/>
            </w:tcMar>
            <w:vAlign w:val="center"/>
          </w:tcPr>
          <w:p w14:paraId="10112835" w14:textId="77777777" w:rsidR="000F6D48" w:rsidRDefault="00461A1D">
            <w:pPr>
              <w:jc w:val="center"/>
            </w:pPr>
            <w:r>
              <w:rPr>
                <w:sz w:val="20"/>
                <w:szCs w:val="20"/>
              </w:rPr>
              <w:t xml:space="preserve">0.023–0.040 </w:t>
            </w:r>
            <w:proofErr w:type="spellStart"/>
            <w:r>
              <w:rPr>
                <w:sz w:val="20"/>
                <w:szCs w:val="20"/>
              </w:rPr>
              <w:t>dex</w:t>
            </w:r>
            <w:proofErr w:type="spellEnd"/>
          </w:p>
        </w:tc>
      </w:tr>
      <w:tr w:rsidR="00C70DC6" w14:paraId="7B1FE007" w14:textId="77777777" w:rsidTr="004B790C">
        <w:tblPrEx>
          <w:tblCellMar>
            <w:top w:w="0" w:type="dxa"/>
            <w:bottom w:w="0" w:type="dxa"/>
          </w:tblCellMar>
        </w:tblPrEx>
        <w:tc>
          <w:tcPr>
            <w:tcW w:w="1225" w:type="pct"/>
            <w:shd w:val="clear" w:color="auto" w:fill="FFFFFF"/>
            <w:tcMar>
              <w:top w:w="70" w:type="dxa"/>
              <w:left w:w="120" w:type="dxa"/>
              <w:bottom w:w="70" w:type="dxa"/>
              <w:right w:w="120" w:type="dxa"/>
            </w:tcMar>
            <w:vAlign w:val="center"/>
          </w:tcPr>
          <w:p w14:paraId="21E13508" w14:textId="77777777" w:rsidR="000F6D48" w:rsidRDefault="00461A1D">
            <w:r>
              <w:rPr>
                <w:sz w:val="20"/>
                <w:szCs w:val="20"/>
              </w:rPr>
              <w:t>Median rχ² estimate</w:t>
            </w:r>
          </w:p>
        </w:tc>
        <w:tc>
          <w:tcPr>
            <w:tcW w:w="1207" w:type="pct"/>
            <w:shd w:val="clear" w:color="auto" w:fill="FFFFFF"/>
            <w:tcMar>
              <w:top w:w="70" w:type="dxa"/>
              <w:left w:w="120" w:type="dxa"/>
              <w:bottom w:w="70" w:type="dxa"/>
              <w:right w:w="120" w:type="dxa"/>
            </w:tcMar>
            <w:vAlign w:val="center"/>
          </w:tcPr>
          <w:p w14:paraId="57BC2DF9" w14:textId="5E09D7B8" w:rsidR="000F6D48" w:rsidRDefault="004B790C">
            <w:pPr>
              <w:jc w:val="center"/>
            </w:pPr>
            <m:oMathPara>
              <m:oMath>
                <m:r>
                  <w:rPr>
                    <w:rFonts w:ascii="Cambria Math" w:hAnsi="Cambria Math"/>
                    <w:sz w:val="20"/>
                    <w:szCs w:val="20"/>
                  </w:rPr>
                  <m:t>~4.8</m:t>
                </m:r>
              </m:oMath>
            </m:oMathPara>
          </w:p>
        </w:tc>
        <w:tc>
          <w:tcPr>
            <w:tcW w:w="1103" w:type="pct"/>
            <w:shd w:val="clear" w:color="auto" w:fill="FFFFFF"/>
            <w:tcMar>
              <w:top w:w="70" w:type="dxa"/>
              <w:left w:w="120" w:type="dxa"/>
              <w:bottom w:w="70" w:type="dxa"/>
              <w:right w:w="120" w:type="dxa"/>
            </w:tcMar>
            <w:vAlign w:val="center"/>
          </w:tcPr>
          <w:p w14:paraId="693CA0E4" w14:textId="77777777" w:rsidR="000F6D48" w:rsidRDefault="00461A1D">
            <w:pPr>
              <w:jc w:val="center"/>
            </w:pPr>
            <w:r>
              <w:rPr>
                <w:sz w:val="20"/>
                <w:szCs w:val="20"/>
              </w:rPr>
              <w:t>5.38 (computed)</w:t>
            </w:r>
          </w:p>
        </w:tc>
        <w:tc>
          <w:tcPr>
            <w:tcW w:w="1464" w:type="pct"/>
            <w:shd w:val="clear" w:color="auto" w:fill="FFFFFF"/>
            <w:tcMar>
              <w:top w:w="70" w:type="dxa"/>
              <w:left w:w="120" w:type="dxa"/>
              <w:bottom w:w="70" w:type="dxa"/>
              <w:right w:w="120" w:type="dxa"/>
            </w:tcMar>
            <w:vAlign w:val="center"/>
          </w:tcPr>
          <w:p w14:paraId="55F53932" w14:textId="77777777" w:rsidR="000F6D48" w:rsidRDefault="00461A1D">
            <w:pPr>
              <w:jc w:val="center"/>
            </w:pPr>
            <w:r>
              <w:rPr>
                <w:sz w:val="20"/>
                <w:szCs w:val="20"/>
              </w:rPr>
              <w:t>~1.5–3.0 (estimated)</w:t>
            </w:r>
          </w:p>
        </w:tc>
      </w:tr>
      <w:tr w:rsidR="00C70DC6" w14:paraId="55D236D4" w14:textId="77777777" w:rsidTr="004B790C">
        <w:tblPrEx>
          <w:tblCellMar>
            <w:top w:w="0" w:type="dxa"/>
            <w:bottom w:w="0" w:type="dxa"/>
          </w:tblCellMar>
        </w:tblPrEx>
        <w:trPr>
          <w:trHeight w:val="393"/>
        </w:trPr>
        <w:tc>
          <w:tcPr>
            <w:tcW w:w="1225" w:type="pct"/>
            <w:shd w:val="clear" w:color="auto" w:fill="F5F6F8"/>
            <w:tcMar>
              <w:top w:w="70" w:type="dxa"/>
              <w:left w:w="120" w:type="dxa"/>
              <w:bottom w:w="70" w:type="dxa"/>
              <w:right w:w="120" w:type="dxa"/>
            </w:tcMar>
            <w:vAlign w:val="center"/>
          </w:tcPr>
          <w:p w14:paraId="0952EC2E" w14:textId="77777777" w:rsidR="000F6D48" w:rsidRDefault="00461A1D">
            <w:r>
              <w:rPr>
                <w:sz w:val="20"/>
                <w:szCs w:val="20"/>
              </w:rPr>
              <w:t>Bullet Cluster</w:t>
            </w:r>
          </w:p>
        </w:tc>
        <w:tc>
          <w:tcPr>
            <w:tcW w:w="1207" w:type="pct"/>
            <w:shd w:val="clear" w:color="auto" w:fill="F5F6F8"/>
            <w:tcMar>
              <w:top w:w="70" w:type="dxa"/>
              <w:left w:w="120" w:type="dxa"/>
              <w:bottom w:w="70" w:type="dxa"/>
              <w:right w:w="120" w:type="dxa"/>
            </w:tcMar>
            <w:vAlign w:val="center"/>
          </w:tcPr>
          <w:p w14:paraId="4D3B627F" w14:textId="2D242118" w:rsidR="000F6D48" w:rsidRDefault="00461A1D">
            <w:pPr>
              <w:jc w:val="center"/>
            </w:pPr>
            <w:r>
              <w:rPr>
                <w:sz w:val="20"/>
                <w:szCs w:val="20"/>
              </w:rPr>
              <w:t xml:space="preserve">Fails (without </w:t>
            </w:r>
            <m:oMath>
              <m:sSub>
                <m:sSubPr>
                  <m:ctrlPr>
                    <w:rPr>
                      <w:rFonts w:ascii="Cambria Math" w:hAnsi="Cambria Math"/>
                      <w:i/>
                      <w:sz w:val="20"/>
                      <w:szCs w:val="20"/>
                    </w:rPr>
                  </m:ctrlPr>
                </m:sSubPr>
                <m:e>
                  <m:r>
                    <w:rPr>
                      <w:rFonts w:ascii="Cambria Math" w:hAnsi="Cambria Math"/>
                      <w:sz w:val="20"/>
                      <w:szCs w:val="20"/>
                    </w:rPr>
                    <m:t>ν</m:t>
                  </m:r>
                </m:e>
                <m:sub>
                  <m:r>
                    <w:rPr>
                      <w:rFonts w:ascii="Cambria Math" w:hAnsi="Cambria Math"/>
                      <w:sz w:val="20"/>
                      <w:szCs w:val="20"/>
                    </w:rPr>
                    <m:t>HDM</m:t>
                  </m:r>
                </m:sub>
              </m:sSub>
            </m:oMath>
            <w:r>
              <w:rPr>
                <w:sz w:val="20"/>
                <w:szCs w:val="20"/>
              </w:rPr>
              <w:t>)</w:t>
            </w:r>
          </w:p>
        </w:tc>
        <w:tc>
          <w:tcPr>
            <w:tcW w:w="1103" w:type="pct"/>
            <w:shd w:val="clear" w:color="auto" w:fill="F5F6F8"/>
            <w:tcMar>
              <w:top w:w="70" w:type="dxa"/>
              <w:left w:w="120" w:type="dxa"/>
              <w:bottom w:w="70" w:type="dxa"/>
              <w:right w:w="120" w:type="dxa"/>
            </w:tcMar>
            <w:vAlign w:val="center"/>
          </w:tcPr>
          <w:p w14:paraId="7A3E8E68" w14:textId="77777777" w:rsidR="000F6D48" w:rsidRDefault="00461A1D">
            <w:pPr>
              <w:jc w:val="center"/>
            </w:pPr>
            <w:r>
              <w:rPr>
                <w:sz w:val="20"/>
                <w:szCs w:val="20"/>
              </w:rPr>
              <w:t>Unspecified</w:t>
            </w:r>
          </w:p>
        </w:tc>
        <w:tc>
          <w:tcPr>
            <w:tcW w:w="1464" w:type="pct"/>
            <w:shd w:val="clear" w:color="auto" w:fill="F5F6F8"/>
            <w:tcMar>
              <w:top w:w="70" w:type="dxa"/>
              <w:left w:w="120" w:type="dxa"/>
              <w:bottom w:w="70" w:type="dxa"/>
              <w:right w:w="120" w:type="dxa"/>
            </w:tcMar>
            <w:vAlign w:val="center"/>
          </w:tcPr>
          <w:p w14:paraId="4CEA17AD" w14:textId="77777777" w:rsidR="000F6D48" w:rsidRDefault="00461A1D">
            <w:pPr>
              <w:jc w:val="center"/>
            </w:pPr>
            <w:r>
              <w:rPr>
                <w:sz w:val="20"/>
                <w:szCs w:val="20"/>
              </w:rPr>
              <w:t>Success</w:t>
            </w:r>
          </w:p>
        </w:tc>
      </w:tr>
      <w:tr w:rsidR="00C70DC6" w14:paraId="7BB261D5" w14:textId="77777777" w:rsidTr="004B790C">
        <w:tblPrEx>
          <w:tblCellMar>
            <w:top w:w="0" w:type="dxa"/>
            <w:bottom w:w="0" w:type="dxa"/>
          </w:tblCellMar>
        </w:tblPrEx>
        <w:tc>
          <w:tcPr>
            <w:tcW w:w="1225" w:type="pct"/>
            <w:shd w:val="clear" w:color="auto" w:fill="FFFFFF"/>
            <w:tcMar>
              <w:top w:w="70" w:type="dxa"/>
              <w:left w:w="120" w:type="dxa"/>
              <w:bottom w:w="70" w:type="dxa"/>
              <w:right w:w="120" w:type="dxa"/>
            </w:tcMar>
            <w:vAlign w:val="center"/>
          </w:tcPr>
          <w:p w14:paraId="1CA4095E" w14:textId="77777777" w:rsidR="000F6D48" w:rsidRDefault="00461A1D">
            <w:r>
              <w:rPr>
                <w:sz w:val="20"/>
                <w:szCs w:val="20"/>
              </w:rPr>
              <w:t>CMB/BAO</w:t>
            </w:r>
          </w:p>
        </w:tc>
        <w:tc>
          <w:tcPr>
            <w:tcW w:w="1207" w:type="pct"/>
            <w:shd w:val="clear" w:color="auto" w:fill="FFFFFF"/>
            <w:tcMar>
              <w:top w:w="70" w:type="dxa"/>
              <w:left w:w="120" w:type="dxa"/>
              <w:bottom w:w="70" w:type="dxa"/>
              <w:right w:w="120" w:type="dxa"/>
            </w:tcMar>
            <w:vAlign w:val="center"/>
          </w:tcPr>
          <w:p w14:paraId="5C081092" w14:textId="77777777" w:rsidR="000F6D48" w:rsidRDefault="00461A1D">
            <w:pPr>
              <w:jc w:val="center"/>
            </w:pPr>
            <w:r>
              <w:rPr>
                <w:sz w:val="20"/>
                <w:szCs w:val="20"/>
              </w:rPr>
              <w:t>Modified (e-MOND)</w:t>
            </w:r>
          </w:p>
        </w:tc>
        <w:tc>
          <w:tcPr>
            <w:tcW w:w="1103" w:type="pct"/>
            <w:shd w:val="clear" w:color="auto" w:fill="FFFFFF"/>
            <w:tcMar>
              <w:top w:w="70" w:type="dxa"/>
              <w:left w:w="120" w:type="dxa"/>
              <w:bottom w:w="70" w:type="dxa"/>
              <w:right w:w="120" w:type="dxa"/>
            </w:tcMar>
            <w:vAlign w:val="center"/>
          </w:tcPr>
          <w:p w14:paraId="3C709E6F" w14:textId="77777777" w:rsidR="000F6D48" w:rsidRDefault="00461A1D">
            <w:pPr>
              <w:jc w:val="center"/>
            </w:pPr>
            <w:r>
              <w:rPr>
                <w:sz w:val="20"/>
                <w:szCs w:val="20"/>
              </w:rPr>
              <w:t>Not addressed</w:t>
            </w:r>
          </w:p>
        </w:tc>
        <w:tc>
          <w:tcPr>
            <w:tcW w:w="1464" w:type="pct"/>
            <w:shd w:val="clear" w:color="auto" w:fill="FFFFFF"/>
            <w:tcMar>
              <w:top w:w="70" w:type="dxa"/>
              <w:left w:w="120" w:type="dxa"/>
              <w:bottom w:w="70" w:type="dxa"/>
              <w:right w:w="120" w:type="dxa"/>
            </w:tcMar>
            <w:vAlign w:val="center"/>
          </w:tcPr>
          <w:p w14:paraId="477AE9A8" w14:textId="77777777" w:rsidR="000F6D48" w:rsidRDefault="00461A1D">
            <w:pPr>
              <w:jc w:val="center"/>
            </w:pPr>
            <w:r>
              <w:rPr>
                <w:sz w:val="20"/>
                <w:szCs w:val="20"/>
              </w:rPr>
              <w:t>Success</w:t>
            </w:r>
          </w:p>
        </w:tc>
      </w:tr>
    </w:tbl>
    <w:p w14:paraId="51207EEA" w14:textId="77777777" w:rsidR="000F6D48" w:rsidRDefault="000F6D48">
      <w:pPr>
        <w:spacing w:line="80" w:lineRule="auto"/>
      </w:pPr>
    </w:p>
    <w:p w14:paraId="66B1CAB2" w14:textId="037A83F6" w:rsidR="000F6D48" w:rsidRDefault="00461A1D">
      <w:pPr>
        <w:spacing w:before="60" w:after="100" w:line="340" w:lineRule="auto"/>
      </w:pPr>
      <w:r>
        <w:t xml:space="preserve">The table reveals an uncomfortable but honest truth: the edge-response model as currently constructed likely does not outperform MOND on absolute fit quality when the one-per-galaxy DOF is properly </w:t>
      </w:r>
      <w:r w:rsidR="004B790C">
        <w:t>penalized</w:t>
      </w:r>
      <w:r>
        <w:t>. This does not mean the model is wrong — it means the comparison has not been performed, and performing it is essential before claims of superiority to baryons-only can be extended to claims of superiority to MOND.</w:t>
      </w:r>
    </w:p>
    <w:p w14:paraId="4DB9F9E3" w14:textId="5A3CCAD8" w:rsidR="000F6D48" w:rsidRDefault="00E76254">
      <w:pPr>
        <w:pStyle w:val="Heading2"/>
      </w:pPr>
      <w:bookmarkStart w:id="13" w:name="_Toc222461571"/>
      <w:r>
        <w:t>3.2 CDM</w:t>
      </w:r>
      <w:r w:rsidR="00461A1D">
        <w:t xml:space="preserve"> Halo Comparison: The Gold Standard Not Yet Attempted</w:t>
      </w:r>
      <w:bookmarkEnd w:id="13"/>
    </w:p>
    <w:p w14:paraId="72B45087" w14:textId="4B7E643F" w:rsidR="000F6D48" w:rsidRDefault="00461A1D">
      <w:pPr>
        <w:spacing w:before="60" w:after="100" w:line="340" w:lineRule="auto"/>
      </w:pPr>
      <w:r>
        <w:t xml:space="preserve">NFW and </w:t>
      </w:r>
      <w:proofErr w:type="spellStart"/>
      <w:r>
        <w:t>Einasto</w:t>
      </w:r>
      <w:proofErr w:type="spellEnd"/>
      <w:r>
        <w:t xml:space="preserve"> CDM halo fits to SPARC are published by multiple groups (Keller &amp; Wadsley 2017; Navarro et al. 2014; Loizeau et al. 2021). With two free parameters per galaxy (halo concentration c and virial mass </w:t>
      </w:r>
      <m:oMath>
        <m:sSub>
          <m:sSubPr>
            <m:ctrlPr>
              <w:rPr>
                <w:rFonts w:ascii="Cambria Math" w:hAnsi="Cambria Math"/>
                <w:i/>
              </w:rPr>
            </m:ctrlPr>
          </m:sSubPr>
          <m:e>
            <m:r>
              <w:rPr>
                <w:rFonts w:ascii="Cambria Math" w:hAnsi="Cambria Math"/>
              </w:rPr>
              <m:t>M</m:t>
            </m:r>
          </m:e>
          <m:sub>
            <m:r>
              <w:rPr>
                <w:rFonts w:ascii="Cambria Math" w:hAnsi="Cambria Math"/>
              </w:rPr>
              <m:t>vir</m:t>
            </m:r>
          </m:sub>
        </m:sSub>
      </m:oMath>
      <w:r>
        <w:t xml:space="preserve">), CDM fits achieve rms scatter in </w:t>
      </w:r>
      <m:oMath>
        <m:sSub>
          <m:sSubPr>
            <m:ctrlPr>
              <w:rPr>
                <w:rFonts w:ascii="Cambria Math" w:hAnsi="Cambria Math"/>
                <w:i/>
              </w:rPr>
            </m:ctrlPr>
          </m:sSubPr>
          <m:e>
            <m:r>
              <w:rPr>
                <w:rFonts w:ascii="Cambria Math" w:hAnsi="Cambria Math"/>
              </w:rPr>
              <m:t>g</m:t>
            </m:r>
          </m:e>
          <m:sub>
            <m:r>
              <w:rPr>
                <w:rFonts w:ascii="Cambria Math" w:hAnsi="Cambria Math"/>
              </w:rPr>
              <m:t>obs</m:t>
            </m:r>
          </m:sub>
        </m:sSub>
      </m:oMath>
      <w:r>
        <w:t xml:space="preserve"> of approximately 0.03–0.04 dex, substantially better than MOND's 0.057 dex. Loizeau et al. (2021) find that CDM has median χ² approximately 3–4× lower than MOND on SPARC. Pending a direct edge-response comparison, the best available estimate from the computed atlas data is:</w:t>
      </w:r>
    </w:p>
    <w:p w14:paraId="0A824DCC" w14:textId="6FF4FE9D" w:rsidR="000F6D48" w:rsidRDefault="00461A1D">
      <w:pPr>
        <w:pStyle w:val="ListParagraph"/>
        <w:numPr>
          <w:ilvl w:val="0"/>
          <w:numId w:val="2"/>
        </w:numPr>
        <w:spacing w:before="50" w:after="50" w:line="320" w:lineRule="auto"/>
      </w:pPr>
      <w:r>
        <w:t xml:space="preserve">Edge-response </w:t>
      </w:r>
      <m:oMath>
        <m:r>
          <w:rPr>
            <w:rFonts w:ascii="Cambria Math" w:hAnsi="Cambria Math"/>
          </w:rPr>
          <m:t>r</m:t>
        </m:r>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oMath>
      <w:r>
        <w:t xml:space="preserve"> median = 5.38 (1 free </w:t>
      </w:r>
      <w:r w:rsidR="00E76254">
        <w:t>param)</w:t>
      </w:r>
      <w:r w:rsidR="00E76254">
        <w:rPr>
          <w:i/>
          <w:iCs/>
          <w:sz w:val="21"/>
          <w:szCs w:val="21"/>
        </w:rPr>
        <w:t xml:space="preserve"> Worse</w:t>
      </w:r>
      <w:r>
        <w:rPr>
          <w:i/>
          <w:iCs/>
          <w:sz w:val="21"/>
          <w:szCs w:val="21"/>
        </w:rPr>
        <w:t xml:space="preserve"> than CDM NFW (est. </w:t>
      </w:r>
      <m:oMath>
        <m:r>
          <w:rPr>
            <w:rFonts w:ascii="Cambria Math" w:hAnsi="Cambria Math"/>
            <w:sz w:val="21"/>
            <w:szCs w:val="21"/>
          </w:rPr>
          <m:t>r</m:t>
        </m:r>
        <m:sSup>
          <m:sSupPr>
            <m:ctrlPr>
              <w:rPr>
                <w:rFonts w:ascii="Cambria Math" w:hAnsi="Cambria Math"/>
                <w:i/>
                <w:iCs/>
                <w:sz w:val="21"/>
                <w:szCs w:val="21"/>
              </w:rPr>
            </m:ctrlPr>
          </m:sSupPr>
          <m:e>
            <m:r>
              <w:rPr>
                <w:rFonts w:ascii="Cambria Math" w:hAnsi="Cambria Math"/>
                <w:sz w:val="21"/>
                <w:szCs w:val="21"/>
              </w:rPr>
              <m:t>χ</m:t>
            </m:r>
          </m:e>
          <m:sup>
            <m:r>
              <w:rPr>
                <w:rFonts w:ascii="Cambria Math" w:hAnsi="Cambria Math"/>
                <w:sz w:val="21"/>
                <w:szCs w:val="21"/>
              </w:rPr>
              <m:t>2</m:t>
            </m:r>
          </m:sup>
        </m:sSup>
        <m:r>
          <w:rPr>
            <w:rFonts w:ascii="Cambria Math" w:hAnsi="Cambria Math"/>
            <w:sz w:val="21"/>
            <w:szCs w:val="21"/>
          </w:rPr>
          <m:t>~ 1.5-3</m:t>
        </m:r>
      </m:oMath>
      <w:r>
        <w:rPr>
          <w:i/>
          <w:iCs/>
          <w:sz w:val="21"/>
          <w:szCs w:val="21"/>
        </w:rPr>
        <w:t xml:space="preserve">, 2 free params), approximately comparable to or slightly worse than MOND (est. </w:t>
      </w:r>
      <m:oMath>
        <m:r>
          <w:rPr>
            <w:rFonts w:ascii="Cambria Math" w:hAnsi="Cambria Math"/>
            <w:sz w:val="21"/>
            <w:szCs w:val="21"/>
          </w:rPr>
          <m:t>r</m:t>
        </m:r>
        <m:sSup>
          <m:sSupPr>
            <m:ctrlPr>
              <w:rPr>
                <w:rFonts w:ascii="Cambria Math" w:hAnsi="Cambria Math"/>
                <w:i/>
                <w:iCs/>
                <w:sz w:val="21"/>
                <w:szCs w:val="21"/>
              </w:rPr>
            </m:ctrlPr>
          </m:sSupPr>
          <m:e>
            <m:r>
              <w:rPr>
                <w:rFonts w:ascii="Cambria Math" w:hAnsi="Cambria Math"/>
                <w:sz w:val="21"/>
                <w:szCs w:val="21"/>
              </w:rPr>
              <m:t>χ</m:t>
            </m:r>
          </m:e>
          <m:sup>
            <m:r>
              <w:rPr>
                <w:rFonts w:ascii="Cambria Math" w:hAnsi="Cambria Math"/>
                <w:sz w:val="21"/>
                <w:szCs w:val="21"/>
              </w:rPr>
              <m:t>2</m:t>
            </m:r>
          </m:sup>
        </m:sSup>
        <m:r>
          <w:rPr>
            <w:rFonts w:ascii="Cambria Math" w:hAnsi="Cambria Math"/>
            <w:sz w:val="21"/>
            <w:szCs w:val="21"/>
          </w:rPr>
          <m:t>~ 4.8</m:t>
        </m:r>
      </m:oMath>
      <w:r>
        <w:rPr>
          <w:i/>
          <w:iCs/>
          <w:sz w:val="21"/>
          <w:szCs w:val="21"/>
        </w:rPr>
        <w:t>, 0 free params)</w:t>
      </w:r>
    </w:p>
    <w:p w14:paraId="43EF3D3D" w14:textId="3203A33D" w:rsidR="000F6D48" w:rsidRDefault="00461A1D">
      <w:pPr>
        <w:pStyle w:val="ListParagraph"/>
        <w:numPr>
          <w:ilvl w:val="0"/>
          <w:numId w:val="2"/>
        </w:numPr>
        <w:spacing w:before="50" w:after="50" w:line="320" w:lineRule="auto"/>
      </w:pPr>
      <w:r>
        <w:t>For data-rich galaxies (</w:t>
      </w:r>
      <m:oMath>
        <m:r>
          <w:rPr>
            <w:rFonts w:ascii="Cambria Math" w:hAnsi="Cambria Math"/>
          </w:rPr>
          <m:t>n &gt; 25</m:t>
        </m:r>
      </m:oMath>
      <w:r>
        <w:t xml:space="preserve">), edge-response </w:t>
      </w:r>
      <m:oMath>
        <m:r>
          <w:rPr>
            <w:rFonts w:ascii="Cambria Math" w:hAnsi="Cambria Math"/>
          </w:rPr>
          <m:t>r</m:t>
        </m:r>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r>
          <w:rPr>
            <w:rFonts w:ascii="Cambria Math" w:hAnsi="Cambria Math"/>
          </w:rPr>
          <m:t>= 15.0</m:t>
        </m:r>
      </m:oMath>
      <w:r>
        <w:rPr>
          <w:i/>
          <w:iCs/>
          <w:sz w:val="21"/>
          <w:szCs w:val="21"/>
        </w:rPr>
        <w:t xml:space="preserve">  This gap to CDM is substantial and would likely persist in a formal comparison</w:t>
      </w:r>
    </w:p>
    <w:p w14:paraId="4C0D147E" w14:textId="48CB99CB" w:rsidR="000F6D48" w:rsidRDefault="00461A1D">
      <w:pPr>
        <w:spacing w:before="60" w:after="100" w:line="340" w:lineRule="auto"/>
      </w:pPr>
      <w:r>
        <w:t xml:space="preserve">CDM's better absolute fit quality arises from the concentration–mass relation, which allows halo shapes to vary with galaxy mass in a physically motivated way. The edge-response model's analogue of this flexibility is absent: </w:t>
      </w:r>
      <m:oMath>
        <m:sSub>
          <m:sSubPr>
            <m:ctrlPr>
              <w:rPr>
                <w:rFonts w:ascii="Cambria Math" w:hAnsi="Cambria Math"/>
                <w:i/>
              </w:rPr>
            </m:ctrlPr>
          </m:sSubPr>
          <m:e>
            <m:r>
              <w:rPr>
                <w:rFonts w:ascii="Cambria Math" w:hAnsi="Cambria Math"/>
              </w:rPr>
              <m:t>σ</m:t>
            </m:r>
          </m:e>
          <m:sub>
            <m:r>
              <w:rPr>
                <w:rFonts w:ascii="Cambria Math" w:hAnsi="Cambria Math"/>
              </w:rPr>
              <m:t>source</m:t>
            </m:r>
          </m:sub>
        </m:sSub>
        <m:r>
          <w:rPr>
            <w:rFonts w:ascii="Cambria Math" w:hAnsi="Cambria Math"/>
          </w:rPr>
          <m:t>= 2</m:t>
        </m:r>
      </m:oMath>
      <w:r>
        <w:t xml:space="preserve"> kpc globally, </w:t>
      </w:r>
      <m:oMath>
        <m:r>
          <w:rPr>
            <w:rFonts w:ascii="Cambria Math" w:hAnsi="Cambria Math"/>
          </w:rPr>
          <m:t>Υ = 0.5</m:t>
        </m:r>
      </m:oMath>
      <w:r>
        <w:t xml:space="preserve"> globally, one-amplitude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tail. Closing this gap does not require abandoning the GR-EFT interpretation — it requires giving the source function physical breadth that tracks the disc scale length.</w:t>
      </w:r>
    </w:p>
    <w:p w14:paraId="2CD7FC9E" w14:textId="755664A5" w:rsidR="000F6D48" w:rsidRDefault="00E76254">
      <w:pPr>
        <w:pStyle w:val="Heading2"/>
      </w:pPr>
      <w:bookmarkStart w:id="14" w:name="_Toc222461572"/>
      <w:r>
        <w:t>3.3 The</w:t>
      </w:r>
      <w:r w:rsidR="00461A1D">
        <w:t xml:space="preserve"> Flynn (2025) Claim: </w:t>
      </w:r>
      <w:r>
        <w:t>Contextualizing</w:t>
      </w:r>
      <w:r w:rsidR="00461A1D">
        <w:t xml:space="preserve"> the Landscape</w:t>
      </w:r>
      <w:bookmarkEnd w:id="14"/>
    </w:p>
    <w:p w14:paraId="750300E1" w14:textId="77777777" w:rsidR="000F6D48" w:rsidRDefault="00461A1D">
      <w:pPr>
        <w:spacing w:before="60" w:after="100" w:line="340" w:lineRule="auto"/>
      </w:pPr>
      <w:r>
        <w:t>The referenced 'Flynn 2025' result, claiming to outperform both MOND and CDM on rotation curves, represents the competitive frontier. Without full publication details available, it is not possible to assess its methodology — but its existence matters for positioning. The edge-response framework's differentiating claim is not superior rotation-curve fitting per se (which is achievable with enough parameters), but a physically minimal, EFT-grounded interpretation that avoids new matter species. This is a theoretical virtue, not a fitting virtue. It must therefore be defended on theoretical grounds — explicit action, covariant formulation, stability analysis — in parallel with the numerical fitting work.</w:t>
      </w:r>
    </w:p>
    <w:p w14:paraId="0F459C85" w14:textId="77777777" w:rsidR="000F6D48" w:rsidRDefault="00461A1D">
      <w:pPr>
        <w:pStyle w:val="Heading1"/>
      </w:pPr>
      <w:bookmarkStart w:id="15" w:name="_Toc222461573"/>
      <w:r>
        <w:t>4.  Originality and Scope: What Is Novel, What Is Shared Terrain</w:t>
      </w:r>
      <w:bookmarkEnd w:id="15"/>
    </w:p>
    <w:p w14:paraId="7C9259A1" w14:textId="77777777" w:rsidR="000F6D48" w:rsidRDefault="000F6D48">
      <w:pPr>
        <w:pBdr>
          <w:bottom w:val="single" w:sz="4" w:space="1" w:color="2B4070"/>
        </w:pBdr>
        <w:spacing w:after="60"/>
      </w:pPr>
    </w:p>
    <w:p w14:paraId="158561FD" w14:textId="77777777" w:rsidR="000F6D48" w:rsidRDefault="000F6D48">
      <w:pPr>
        <w:spacing w:line="160" w:lineRule="auto"/>
      </w:pPr>
    </w:p>
    <w:p w14:paraId="390CDAFC" w14:textId="4CC91FBC" w:rsidR="000F6D48" w:rsidRDefault="00E76254">
      <w:pPr>
        <w:pStyle w:val="Heading2"/>
      </w:pPr>
      <w:bookmarkStart w:id="16" w:name="_Toc222461574"/>
      <w:r>
        <w:t>4.1 Theoretical</w:t>
      </w:r>
      <w:r w:rsidR="00461A1D">
        <w:t xml:space="preserve"> Novelty: The Distinguishing Features</w:t>
      </w:r>
      <w:bookmarkEnd w:id="16"/>
    </w:p>
    <w:p w14:paraId="3D39D89A" w14:textId="77777777" w:rsidR="000F6D48" w:rsidRDefault="00461A1D">
      <w:pPr>
        <w:spacing w:before="60" w:after="100" w:line="340" w:lineRule="auto"/>
      </w:pPr>
      <w:r>
        <w:t>The work shares several coordinates with existing alternatives to CDM, and intellectual honesty requires naming them precisely:</w:t>
      </w:r>
    </w:p>
    <w:p w14:paraId="6F376ABA" w14:textId="6D307B55" w:rsidR="000F6D48" w:rsidRDefault="00461A1D">
      <w:pPr>
        <w:pStyle w:val="ListParagraph"/>
        <w:numPr>
          <w:ilvl w:val="0"/>
          <w:numId w:val="2"/>
        </w:numPr>
        <w:spacing w:before="50" w:after="50" w:line="320" w:lineRule="auto"/>
      </w:pPr>
      <w:r>
        <w:t xml:space="preserve">The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transition (where </w:t>
      </w:r>
      <m:oMath>
        <m:sSub>
          <m:sSubPr>
            <m:ctrlPr>
              <w:rPr>
                <w:rFonts w:ascii="Cambria Math" w:hAnsi="Cambria Math"/>
                <w:i/>
              </w:rPr>
            </m:ctrlPr>
          </m:sSubPr>
          <m:e>
            <m:r>
              <w:rPr>
                <w:rFonts w:ascii="Cambria Math" w:hAnsi="Cambria Math"/>
              </w:rPr>
              <m:t>g</m:t>
            </m:r>
          </m:e>
          <m:sub>
            <m:r>
              <w:rPr>
                <w:rFonts w:ascii="Cambria Math" w:hAnsi="Cambria Math"/>
              </w:rPr>
              <m:t>bar</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defines </w:t>
      </w:r>
      <m:oMath>
        <m:r>
          <w:rPr>
            <w:rFonts w:ascii="Cambria Math" w:hAnsi="Cambria Math"/>
          </w:rPr>
          <m:t>Rₜ</m:t>
        </m:r>
      </m:oMath>
      <w:r>
        <w:t>)</w:t>
      </w:r>
      <w:r>
        <w:rPr>
          <w:i/>
          <w:iCs/>
          <w:sz w:val="21"/>
          <w:szCs w:val="21"/>
        </w:rPr>
        <w:t xml:space="preserve">  directly echoes MOND's interpolation function, which also activates at </w:t>
      </w:r>
      <m:oMath>
        <m:r>
          <w:rPr>
            <w:rFonts w:ascii="Cambria Math" w:hAnsi="Cambria Math"/>
            <w:sz w:val="21"/>
            <w:szCs w:val="21"/>
          </w:rPr>
          <m:t xml:space="preserve">g ≈ </m:t>
        </m:r>
        <m:sSub>
          <m:sSubPr>
            <m:ctrlPr>
              <w:rPr>
                <w:rFonts w:ascii="Cambria Math" w:hAnsi="Cambria Math"/>
                <w:i/>
                <w:iCs/>
                <w:sz w:val="21"/>
                <w:szCs w:val="21"/>
              </w:rPr>
            </m:ctrlPr>
          </m:sSubPr>
          <m:e>
            <m:r>
              <w:rPr>
                <w:rFonts w:ascii="Cambria Math" w:hAnsi="Cambria Math"/>
                <w:sz w:val="21"/>
                <w:szCs w:val="21"/>
              </w:rPr>
              <m:t>a</m:t>
            </m:r>
          </m:e>
          <m:sub>
            <m:r>
              <w:rPr>
                <w:rFonts w:ascii="Cambria Math" w:hAnsi="Cambria Math"/>
                <w:sz w:val="21"/>
                <w:szCs w:val="21"/>
              </w:rPr>
              <m:t>0</m:t>
            </m:r>
          </m:sub>
        </m:sSub>
      </m:oMath>
      <w:r>
        <w:rPr>
          <w:i/>
          <w:iCs/>
          <w:sz w:val="21"/>
          <w:szCs w:val="21"/>
        </w:rPr>
        <w:t>. The physical justification differs — MOND modifies inertia or gravity phenomenologically, while the edge-response model uses a₀ as a geometric transition in an EFT expansion — but the same acceleration scale appears.</w:t>
      </w:r>
    </w:p>
    <w:p w14:paraId="3C065928" w14:textId="53B1E628" w:rsidR="000F6D48" w:rsidRDefault="00461A1D">
      <w:pPr>
        <w:pStyle w:val="ListParagraph"/>
        <w:numPr>
          <w:ilvl w:val="0"/>
          <w:numId w:val="2"/>
        </w:numPr>
        <w:spacing w:before="50" w:after="50" w:line="320" w:lineRule="auto"/>
      </w:pPr>
      <w:r>
        <w:t xml:space="preserve">The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tail producing flat rotation </w:t>
      </w:r>
      <w:r w:rsidR="00E76254">
        <w:t>curves</w:t>
      </w:r>
      <w:r w:rsidR="00E76254">
        <w:rPr>
          <w:i/>
          <w:iCs/>
          <w:sz w:val="21"/>
          <w:szCs w:val="21"/>
        </w:rPr>
        <w:t xml:space="preserve"> is</w:t>
      </w:r>
      <w:r>
        <w:rPr>
          <w:i/>
          <w:iCs/>
          <w:sz w:val="21"/>
          <w:szCs w:val="21"/>
        </w:rPr>
        <w:t xml:space="preserve"> mathematically equivalent to adding an isothermal sphere — the oldest dark-matter profile. The novelty is the source, not the asymptotic profile.</w:t>
      </w:r>
    </w:p>
    <w:p w14:paraId="5A972979" w14:textId="5F667A98" w:rsidR="000F6D48" w:rsidRDefault="00461A1D">
      <w:pPr>
        <w:pStyle w:val="ListParagraph"/>
        <w:numPr>
          <w:ilvl w:val="0"/>
          <w:numId w:val="2"/>
        </w:numPr>
        <w:spacing w:before="50" w:after="50" w:line="320" w:lineRule="auto"/>
      </w:pPr>
      <w:r>
        <w:t xml:space="preserve">The GR + EFT framing (no new particles, metric </w:t>
      </w:r>
      <w:r w:rsidR="00E76254">
        <w:t>response)</w:t>
      </w:r>
      <w:r w:rsidR="00E76254">
        <w:rPr>
          <w:i/>
          <w:iCs/>
          <w:sz w:val="21"/>
          <w:szCs w:val="21"/>
        </w:rPr>
        <w:t xml:space="preserve"> overlaps</w:t>
      </w:r>
      <w:r>
        <w:rPr>
          <w:i/>
          <w:iCs/>
          <w:sz w:val="21"/>
          <w:szCs w:val="21"/>
        </w:rPr>
        <w:t xml:space="preserve"> conceptually with Verlinde's emergent gravity, </w:t>
      </w:r>
      <w:proofErr w:type="spellStart"/>
      <w:r>
        <w:rPr>
          <w:i/>
          <w:iCs/>
          <w:sz w:val="21"/>
          <w:szCs w:val="21"/>
        </w:rPr>
        <w:t>Deser</w:t>
      </w:r>
      <w:proofErr w:type="spellEnd"/>
      <w:r>
        <w:rPr>
          <w:i/>
          <w:iCs/>
          <w:sz w:val="21"/>
          <w:szCs w:val="21"/>
        </w:rPr>
        <w:t xml:space="preserve"> &amp; Woodard's nonlocal gravity, and Blanchet's dipolar dark matter. Each also claims a spacetime origin for the extra gravity.</w:t>
      </w:r>
    </w:p>
    <w:p w14:paraId="741EEDE8" w14:textId="77777777" w:rsidR="000F6D48" w:rsidRDefault="00461A1D">
      <w:pPr>
        <w:spacing w:before="60" w:after="100" w:line="340" w:lineRule="auto"/>
      </w:pPr>
      <w:r>
        <w:t>The genuinely distinctive elements are:</w:t>
      </w:r>
    </w:p>
    <w:p w14:paraId="6199CD26" w14:textId="2BA70538" w:rsidR="000F6D48" w:rsidRDefault="00461A1D">
      <w:pPr>
        <w:pStyle w:val="ListParagraph"/>
        <w:numPr>
          <w:ilvl w:val="0"/>
          <w:numId w:val="2"/>
        </w:numPr>
        <w:spacing w:before="50" w:after="50" w:line="320" w:lineRule="auto"/>
      </w:pPr>
      <w:r>
        <w:t xml:space="preserve">The boundary-layer activation </w:t>
      </w:r>
      <w:r w:rsidR="00E76254">
        <w:t>mechanism</w:t>
      </w:r>
      <w:r w:rsidR="00E76254">
        <w:rPr>
          <w:i/>
          <w:iCs/>
          <w:sz w:val="21"/>
          <w:szCs w:val="21"/>
        </w:rPr>
        <w:t xml:space="preserve"> —</w:t>
      </w:r>
      <w:r>
        <w:rPr>
          <w:i/>
          <w:iCs/>
          <w:sz w:val="21"/>
          <w:szCs w:val="21"/>
        </w:rPr>
        <w:t xml:space="preserve"> the localized Gaussian source at Rₜ propagating into a </w:t>
      </w:r>
      <m:oMath>
        <m:f>
          <m:fPr>
            <m:ctrlPr>
              <w:rPr>
                <w:rFonts w:ascii="Cambria Math" w:hAnsi="Cambria Math"/>
                <w:i/>
                <w:iCs/>
                <w:sz w:val="21"/>
                <w:szCs w:val="21"/>
              </w:rPr>
            </m:ctrlPr>
          </m:fPr>
          <m:num>
            <m:r>
              <w:rPr>
                <w:rFonts w:ascii="Cambria Math" w:hAnsi="Cambria Math"/>
                <w:sz w:val="21"/>
                <w:szCs w:val="21"/>
              </w:rPr>
              <m:t>1</m:t>
            </m:r>
          </m:num>
          <m:den>
            <m:r>
              <w:rPr>
                <w:rFonts w:ascii="Cambria Math" w:hAnsi="Cambria Math"/>
                <w:sz w:val="21"/>
                <w:szCs w:val="21"/>
              </w:rPr>
              <m:t>R</m:t>
            </m:r>
          </m:den>
        </m:f>
      </m:oMath>
      <w:r>
        <w:rPr>
          <w:i/>
          <w:iCs/>
          <w:sz w:val="21"/>
          <w:szCs w:val="21"/>
        </w:rPr>
        <w:t xml:space="preserve"> tail via a 2D radial Poisson equation is not, to the author's knowledge, a previously published specific mechanism. It is a concrete, computable, single-parameter instantiation of the boundary-layer idea.</w:t>
      </w:r>
    </w:p>
    <w:p w14:paraId="64600BFC" w14:textId="1A74779D" w:rsidR="000F6D48" w:rsidRDefault="00461A1D">
      <w:pPr>
        <w:pStyle w:val="ListParagraph"/>
        <w:numPr>
          <w:ilvl w:val="0"/>
          <w:numId w:val="2"/>
        </w:numPr>
        <w:spacing w:before="50" w:after="50" w:line="320" w:lineRule="auto"/>
      </w:pPr>
      <w:r>
        <w:t xml:space="preserve">The systematic falsifiability </w:t>
      </w:r>
      <w:r w:rsidR="00E76254">
        <w:t>infrastructure</w:t>
      </w:r>
      <w:r w:rsidR="00E76254">
        <w:rPr>
          <w:i/>
          <w:iCs/>
          <w:sz w:val="21"/>
          <w:szCs w:val="21"/>
        </w:rPr>
        <w:t xml:space="preserve"> —</w:t>
      </w:r>
      <w:r>
        <w:rPr>
          <w:i/>
          <w:iCs/>
          <w:sz w:val="21"/>
          <w:szCs w:val="21"/>
        </w:rPr>
        <w:t xml:space="preserve"> the batch runner, AIC/BIC diagnostics, correlation analysis, and per-galaxy residual tracking constitute a more comprehensive numerical framework than is typically published with alternative-gravity hypotheses at the phenomenological stage.</w:t>
      </w:r>
    </w:p>
    <w:p w14:paraId="53B8B2F0" w14:textId="649DF939" w:rsidR="000F6D48" w:rsidRDefault="00461A1D">
      <w:pPr>
        <w:pStyle w:val="ListParagraph"/>
        <w:numPr>
          <w:ilvl w:val="0"/>
          <w:numId w:val="2"/>
        </w:numPr>
        <w:spacing w:before="50" w:after="50" w:line="320" w:lineRule="auto"/>
      </w:pPr>
      <w:r>
        <w:t xml:space="preserve">The inverse-GR </w:t>
      </w:r>
      <w:r w:rsidR="001A0DC4">
        <w:t>methodology</w:t>
      </w:r>
      <w:r w:rsidR="001A0DC4">
        <w:rPr>
          <w:i/>
          <w:iCs/>
          <w:sz w:val="21"/>
          <w:szCs w:val="21"/>
        </w:rPr>
        <w:t xml:space="preserve"> —</w:t>
      </w:r>
      <w:r>
        <w:rPr>
          <w:i/>
          <w:iCs/>
          <w:sz w:val="21"/>
          <w:szCs w:val="21"/>
        </w:rPr>
        <w:t xml:space="preserve"> treating the extra gravitational field as effective stress-energy inferred from data, then asking what constitutive closure is minimally required, is a methodologically clean approach that differs from both MOND and CDM.</w:t>
      </w:r>
    </w:p>
    <w:p w14:paraId="6FB58CB5" w14:textId="6CDBF6FD" w:rsidR="000F6D48" w:rsidRDefault="001A0DC4">
      <w:pPr>
        <w:pStyle w:val="Heading2"/>
      </w:pPr>
      <w:bookmarkStart w:id="17" w:name="_Toc222461575"/>
      <w:r>
        <w:t>4.2 Scope</w:t>
      </w:r>
      <w:r w:rsidR="00461A1D">
        <w:t xml:space="preserve"> Limitations That Are Not Deficits of Theory</w:t>
      </w:r>
      <w:bookmarkEnd w:id="17"/>
    </w:p>
    <w:p w14:paraId="22E3EEB2" w14:textId="77777777" w:rsidR="000F6D48" w:rsidRDefault="00461A1D">
      <w:pPr>
        <w:spacing w:before="60" w:after="100" w:line="340" w:lineRule="auto"/>
      </w:pPr>
      <w:r>
        <w:t>Several of the cited scope limitations are features of the current stage of development rather than objections to the framework:</w:t>
      </w:r>
    </w:p>
    <w:p w14:paraId="1D48EEB8" w14:textId="2FD6CA5E" w:rsidR="000F6D48" w:rsidRDefault="00461A1D">
      <w:pPr>
        <w:pStyle w:val="ListParagraph"/>
        <w:numPr>
          <w:ilvl w:val="0"/>
          <w:numId w:val="2"/>
        </w:numPr>
        <w:spacing w:before="50" w:after="50" w:line="320" w:lineRule="auto"/>
      </w:pPr>
      <w:r>
        <w:t xml:space="preserve">No cosmological sector (CMB, BAO, structure </w:t>
      </w:r>
      <w:r w:rsidR="001A0DC4">
        <w:t>formation)</w:t>
      </w:r>
      <w:r w:rsidR="001A0DC4">
        <w:rPr>
          <w:i/>
          <w:iCs/>
          <w:sz w:val="21"/>
          <w:szCs w:val="21"/>
        </w:rPr>
        <w:t xml:space="preserve"> CDM’s</w:t>
      </w:r>
      <w:r>
        <w:rPr>
          <w:i/>
          <w:iCs/>
          <w:sz w:val="21"/>
          <w:szCs w:val="21"/>
        </w:rPr>
        <w:t xml:space="preserve"> success in this domain is undeniable. However, many modified-gravity proposals that fail cosmologically succeed galactically, and vice versa. The present work explicitly confines its domain of claim to rotation curves, which is methodologically appropriate. Cosmological extension is a research </w:t>
      </w:r>
      <w:r w:rsidR="00EA7D6D">
        <w:rPr>
          <w:i/>
          <w:iCs/>
          <w:sz w:val="21"/>
          <w:szCs w:val="21"/>
        </w:rPr>
        <w:t>program</w:t>
      </w:r>
      <w:r>
        <w:rPr>
          <w:i/>
          <w:iCs/>
          <w:sz w:val="21"/>
          <w:szCs w:val="21"/>
        </w:rPr>
        <w:t>, not an a priori refutation.</w:t>
      </w:r>
    </w:p>
    <w:p w14:paraId="11FACA56" w14:textId="02316548" w:rsidR="000F6D48" w:rsidRDefault="00461A1D">
      <w:pPr>
        <w:pStyle w:val="ListParagraph"/>
        <w:numPr>
          <w:ilvl w:val="0"/>
          <w:numId w:val="2"/>
        </w:numPr>
        <w:spacing w:before="50" w:after="50" w:line="320" w:lineRule="auto"/>
      </w:pPr>
      <w:r>
        <w:t xml:space="preserve">MOND cluster failures are not automatically </w:t>
      </w:r>
      <w:r w:rsidR="001A0DC4">
        <w:t>inherited</w:t>
      </w:r>
      <w:r w:rsidR="001A0DC4">
        <w:rPr>
          <w:i/>
          <w:iCs/>
          <w:sz w:val="21"/>
          <w:szCs w:val="21"/>
        </w:rPr>
        <w:t xml:space="preserve"> MOND</w:t>
      </w:r>
      <w:r>
        <w:rPr>
          <w:i/>
          <w:iCs/>
          <w:sz w:val="21"/>
          <w:szCs w:val="21"/>
        </w:rPr>
        <w:t xml:space="preserve"> fails to explain cluster dynamics without additional matter (typically ~ 2× baryonic mass in neutrinos). The edge-response model's </w:t>
      </w:r>
      <w:r w:rsidR="00EA7D6D">
        <w:rPr>
          <w:i/>
          <w:iCs/>
          <w:sz w:val="21"/>
          <w:szCs w:val="21"/>
        </w:rPr>
        <w:t>behavior</w:t>
      </w:r>
      <w:r>
        <w:rPr>
          <w:i/>
          <w:iCs/>
          <w:sz w:val="21"/>
          <w:szCs w:val="21"/>
        </w:rPr>
        <w:t xml:space="preserve"> in clusters is unspecified, not demonstrably wrong. For the model to avoid the same failure, the response mechanism must extend to the cluster potential — a non-trivial but not obviously impossible extension.</w:t>
      </w:r>
    </w:p>
    <w:p w14:paraId="04761868" w14:textId="77777777" w:rsidR="00C70DC6" w:rsidRDefault="00461A1D">
      <w:pPr>
        <w:pStyle w:val="ListParagraph"/>
        <w:numPr>
          <w:ilvl w:val="0"/>
          <w:numId w:val="2"/>
        </w:numPr>
        <w:spacing w:before="50" w:after="50" w:line="320" w:lineRule="auto"/>
        <w:rPr>
          <w:i/>
          <w:iCs/>
          <w:sz w:val="21"/>
          <w:szCs w:val="21"/>
        </w:rPr>
        <w:sectPr w:rsidR="00C70DC6">
          <w:pgSz w:w="12240" w:h="15840"/>
          <w:pgMar w:top="1200" w:right="1200" w:bottom="1200" w:left="1200" w:header="708" w:footer="708" w:gutter="0"/>
          <w:cols w:space="720"/>
          <w:docGrid w:linePitch="360"/>
        </w:sectPr>
      </w:pPr>
      <w:r>
        <w:t xml:space="preserve">The Milky Way declining rotation curve (2025 </w:t>
      </w:r>
      <w:r w:rsidR="001A0DC4">
        <w:t>result)</w:t>
      </w:r>
      <w:r w:rsidR="001A0DC4">
        <w:rPr>
          <w:i/>
          <w:iCs/>
          <w:sz w:val="21"/>
          <w:szCs w:val="21"/>
        </w:rPr>
        <w:t xml:space="preserve"> Recent</w:t>
      </w:r>
      <w:r>
        <w:rPr>
          <w:i/>
          <w:iCs/>
          <w:sz w:val="21"/>
          <w:szCs w:val="21"/>
        </w:rPr>
        <w:t xml:space="preserve"> evidence suggests MOND is incompatible with Milky Way kinematics at large R. The edge-response model would face an analogous challenge if Milky Way data show declining curves that the 1/R tail cannot reproduce — but this has not been tested.</w:t>
      </w:r>
    </w:p>
    <w:p w14:paraId="39584CD0" w14:textId="56814AB6" w:rsidR="000F6D48" w:rsidRDefault="00461A1D">
      <w:pPr>
        <w:pStyle w:val="Heading1"/>
      </w:pPr>
      <w:bookmarkStart w:id="18" w:name="_Toc222461576"/>
      <w:r>
        <w:t>5.  Concrete Improvement Program: Six Implementable Actions</w:t>
      </w:r>
      <w:bookmarkEnd w:id="18"/>
    </w:p>
    <w:p w14:paraId="0B878F1F" w14:textId="77777777" w:rsidR="000F6D48" w:rsidRDefault="000F6D48">
      <w:pPr>
        <w:pBdr>
          <w:bottom w:val="single" w:sz="6" w:space="1" w:color="2D6A4F"/>
        </w:pBdr>
        <w:spacing w:after="60"/>
      </w:pPr>
    </w:p>
    <w:p w14:paraId="6A8A5DA5" w14:textId="77777777" w:rsidR="000F6D48" w:rsidRDefault="000F6D48">
      <w:pPr>
        <w:spacing w:line="160" w:lineRule="auto"/>
      </w:pPr>
    </w:p>
    <w:p w14:paraId="5937646C" w14:textId="77777777" w:rsidR="000F6D48" w:rsidRDefault="00461A1D">
      <w:pPr>
        <w:spacing w:before="60" w:after="100" w:line="340" w:lineRule="auto"/>
      </w:pPr>
      <w:r>
        <w:t>The following six actions are ordered by impact and implementability. The first three can be completed with the existing codebase. The latter three require theoretical development but have clear starting points.</w:t>
      </w:r>
    </w:p>
    <w:p w14:paraId="3D146923" w14:textId="77777777" w:rsidR="000F6D48" w:rsidRDefault="000F6D48">
      <w:pPr>
        <w:spacing w:line="160" w:lineRule="auto"/>
      </w:pPr>
    </w:p>
    <w:p w14:paraId="53123EC0" w14:textId="02069F43" w:rsidR="000F6D48" w:rsidRDefault="00461A1D">
      <w:pPr>
        <w:pStyle w:val="Heading2"/>
      </w:pPr>
      <w:bookmarkStart w:id="19" w:name="_Toc222461577"/>
      <w:r>
        <w:t xml:space="preserve">Action </w:t>
      </w:r>
      <w:r w:rsidR="001A0DC4">
        <w:t>1 | BTF</w:t>
      </w:r>
      <w:r>
        <w:t xml:space="preserve">-Anchor </w:t>
      </w:r>
      <m:oMath>
        <m:r>
          <m:rPr>
            <m:sty m:val="bi"/>
          </m:rPr>
          <w:rPr>
            <w:rFonts w:ascii="Cambria Math" w:hAnsi="Cambria Math"/>
          </w:rPr>
          <m:t>Q</m:t>
        </m:r>
      </m:oMath>
      <w:r>
        <w:t xml:space="preserve"> and Test Global Universality</w:t>
      </w:r>
      <w:bookmarkEnd w:id="19"/>
    </w:p>
    <w:p w14:paraId="7DFE402F" w14:textId="4E8192A3" w:rsidR="000F6D48" w:rsidRDefault="00461A1D">
      <w:pPr>
        <w:spacing w:before="60" w:after="100" w:line="340" w:lineRule="auto"/>
      </w:pPr>
      <w:r>
        <w:t xml:space="preserve">The tight correlation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flat</m:t>
                </m:r>
              </m:sub>
            </m:sSub>
            <m:r>
              <w:rPr>
                <w:rFonts w:ascii="Cambria Math" w:hAns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extra</m:t>
                </m:r>
              </m:sub>
            </m:sSub>
          </m:e>
        </m:d>
        <m:r>
          <w:rPr>
            <w:rFonts w:ascii="Cambria Math" w:hAnsi="Cambria Math"/>
          </w:rPr>
          <m:t>= 0.940</m:t>
        </m:r>
      </m:oMath>
      <w:r>
        <w:t xml:space="preserve"> is the most important empirical result buried in the current atlas. It implies that </w:t>
      </w:r>
      <m:oMath>
        <m:r>
          <w:rPr>
            <w:rFonts w:ascii="Cambria Math" w:hAnsi="Cambria Math"/>
          </w:rPr>
          <m:t>Q</m:t>
        </m:r>
      </m:oMath>
      <w:r>
        <w:t xml:space="preserve"> is not a free parameter: it is the BTF relation expressed in edge-response language.</w:t>
      </w:r>
    </w:p>
    <w:p w14:paraId="1DF1559E" w14:textId="76E0893E" w:rsidR="000F6D48" w:rsidRDefault="00461A1D">
      <w:pPr>
        <w:spacing w:before="60" w:after="100" w:line="340" w:lineRule="auto"/>
      </w:pPr>
      <w:r>
        <w:t xml:space="preserve">The test: fit a power-law relationship </w:t>
      </w:r>
      <m:oMath>
        <m:r>
          <w:rPr>
            <w:rFonts w:ascii="Cambria Math" w:hAnsi="Cambria Math"/>
          </w:rPr>
          <m:t xml:space="preserve">Q = A · </m:t>
        </m:r>
        <m:sSubSup>
          <m:sSubSupPr>
            <m:ctrlPr>
              <w:rPr>
                <w:rFonts w:ascii="Cambria Math" w:hAnsi="Cambria Math"/>
                <w:i/>
              </w:rPr>
            </m:ctrlPr>
          </m:sSubSupPr>
          <m:e>
            <m:r>
              <w:rPr>
                <w:rFonts w:ascii="Cambria Math" w:hAnsi="Cambria Math"/>
              </w:rPr>
              <m:t>V</m:t>
            </m:r>
          </m:e>
          <m:sub>
            <m:r>
              <w:rPr>
                <w:rFonts w:ascii="Cambria Math" w:hAnsi="Cambria Math"/>
              </w:rPr>
              <m:t>flat</m:t>
            </m:r>
          </m:sub>
          <m:sup>
            <m:r>
              <w:rPr>
                <w:rFonts w:ascii="Cambria Math" w:hAnsi="Cambria Math"/>
              </w:rPr>
              <m:t>α</m:t>
            </m:r>
          </m:sup>
        </m:sSubSup>
      </m:oMath>
      <w:r>
        <w:t xml:space="preserve"> from the best-fit values, then rerun the full 175-galaxy sample with this prediction — using zero per-galaxy freedom. Compare the aggregate </w:t>
      </w:r>
      <m:oMath>
        <m:r>
          <w:rPr>
            <w:rFonts w:ascii="Cambria Math" w:hAnsi="Cambria Math"/>
          </w:rPr>
          <m:t>r</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and </w:t>
      </w:r>
      <m:oMath>
        <m:f>
          <m:fPr>
            <m:ctrlPr>
              <w:rPr>
                <w:rFonts w:ascii="Cambria Math" w:hAnsi="Cambria Math"/>
                <w:i/>
              </w:rPr>
            </m:ctrlPr>
          </m:fPr>
          <m:num>
            <m:sSubSup>
              <m:sSubSupPr>
                <m:ctrlPr>
                  <w:rPr>
                    <w:rFonts w:ascii="Cambria Math" w:hAnsi="Cambria Math"/>
                    <w:i/>
                  </w:rPr>
                </m:ctrlPr>
              </m:sSubSupPr>
              <m:e>
                <m:r>
                  <w:rPr>
                    <w:rFonts w:ascii="Cambria Math" w:hAnsi="Cambria Math"/>
                  </w:rPr>
                  <m:t>χ</m:t>
                </m:r>
              </m:e>
              <m:sub>
                <m:r>
                  <w:rPr>
                    <w:rFonts w:ascii="Cambria Math" w:hAnsi="Cambria Math"/>
                  </w:rPr>
                  <m:t>bar</m:t>
                </m:r>
              </m:sub>
              <m:sup>
                <m:r>
                  <w:rPr>
                    <w:rFonts w:ascii="Cambria Math" w:hAnsi="Cambria Math"/>
                  </w:rPr>
                  <m:t>2</m:t>
                </m:r>
              </m:sup>
            </m:sSubSup>
          </m:num>
          <m:den/>
        </m:f>
        <m:sSubSup>
          <m:sSubSupPr>
            <m:ctrlPr>
              <w:rPr>
                <w:rFonts w:ascii="Cambria Math" w:hAnsi="Cambria Math"/>
                <w:i/>
              </w:rPr>
            </m:ctrlPr>
          </m:sSubSupPr>
          <m:e>
            <m:r>
              <w:rPr>
                <w:rFonts w:ascii="Cambria Math" w:hAnsi="Cambria Math"/>
              </w:rPr>
              <m:t>χ</m:t>
            </m:r>
          </m:e>
          <m:sub>
            <m:r>
              <w:rPr>
                <w:rFonts w:ascii="Cambria Math" w:hAnsi="Cambria Math"/>
              </w:rPr>
              <m:t>predicted</m:t>
            </m:r>
          </m:sub>
          <m:sup>
            <m:r>
              <w:rPr>
                <w:rFonts w:ascii="Cambria Math" w:hAnsi="Cambria Math"/>
              </w:rPr>
              <m:t>2</m:t>
            </m:r>
          </m:sup>
        </m:sSubSup>
      </m:oMath>
      <w:r>
        <w:t xml:space="preserve"> ratio. If the BTF-anchored model achieves comparable total χ² to the per-galaxy fit, it demonstrates that the single effective DOF is fully encoded in the observed baryonic mass — which is precisely the edge-response interpretation.</w:t>
      </w:r>
    </w:p>
    <w:p w14:paraId="4E6E62B1" w14:textId="1CC5E55C" w:rsidR="000F6D48" w:rsidRDefault="00C70DC6">
      <w:pPr>
        <w:shd w:val="clear" w:color="auto" w:fill="F5F6F8"/>
        <w:spacing w:before="120" w:after="120"/>
        <w:jc w:val="center"/>
      </w:pPr>
      <m:oMath>
        <m:sSub>
          <m:sSubPr>
            <m:ctrlPr>
              <w:rPr>
                <w:rFonts w:ascii="Cambria Math" w:eastAsia="Courier New" w:hAnsi="Cambria Math" w:cs="Courier New"/>
                <w:i/>
                <w:color w:val="0D1B2A"/>
              </w:rPr>
            </m:ctrlPr>
          </m:sSubPr>
          <m:e>
            <m:r>
              <w:rPr>
                <w:rFonts w:ascii="Cambria Math" w:eastAsia="Courier New" w:hAnsi="Cambria Math" w:cs="Courier New"/>
                <w:color w:val="0D1B2A"/>
              </w:rPr>
              <m:t>Q</m:t>
            </m:r>
          </m:e>
          <m:sub>
            <m:r>
              <w:rPr>
                <w:rFonts w:ascii="Cambria Math" w:eastAsia="Courier New" w:hAnsi="Cambria Math" w:cs="Courier New"/>
                <w:color w:val="0D1B2A"/>
              </w:rPr>
              <m:t>predicted</m:t>
            </m:r>
          </m:sub>
        </m:sSub>
        <m:r>
          <w:rPr>
            <w:rFonts w:ascii="Cambria Math" w:eastAsia="Courier New" w:hAnsi="Cambria Math" w:cs="Courier New"/>
            <w:color w:val="0D1B2A"/>
          </w:rPr>
          <m:t xml:space="preserve">= A · </m:t>
        </m:r>
        <m:sSubSup>
          <m:sSubSupPr>
            <m:ctrlPr>
              <w:rPr>
                <w:rFonts w:ascii="Cambria Math" w:eastAsia="Courier New" w:hAnsi="Cambria Math" w:cs="Courier New"/>
                <w:i/>
                <w:color w:val="0D1B2A"/>
              </w:rPr>
            </m:ctrlPr>
          </m:sSubSupPr>
          <m:e>
            <m:r>
              <w:rPr>
                <w:rFonts w:ascii="Cambria Math" w:eastAsia="Courier New" w:hAnsi="Cambria Math" w:cs="Courier New"/>
                <w:color w:val="0D1B2A"/>
              </w:rPr>
              <m:t>V</m:t>
            </m:r>
          </m:e>
          <m:sub>
            <m:r>
              <w:rPr>
                <w:rFonts w:ascii="Cambria Math" w:eastAsia="Courier New" w:hAnsi="Cambria Math" w:cs="Courier New"/>
                <w:color w:val="0D1B2A"/>
              </w:rPr>
              <m:t>flat</m:t>
            </m:r>
          </m:sub>
          <m:sup>
            <m:r>
              <w:rPr>
                <w:rFonts w:ascii="Cambria Math" w:eastAsia="Courier New" w:hAnsi="Cambria Math" w:cs="Courier New"/>
                <w:color w:val="0D1B2A"/>
              </w:rPr>
              <m:t>α</m:t>
            </m:r>
          </m:sup>
        </m:sSubSup>
      </m:oMath>
      <w:r w:rsidR="00461A1D">
        <w:rPr>
          <w:rFonts w:ascii="Courier New" w:eastAsia="Courier New" w:hAnsi="Courier New" w:cs="Courier New"/>
          <w:color w:val="0D1B2A"/>
        </w:rPr>
        <w:t xml:space="preserve">  where  </w:t>
      </w:r>
      <m:oMath>
        <m:r>
          <w:rPr>
            <w:rFonts w:ascii="Cambria Math" w:eastAsia="Courier New" w:hAnsi="Cambria Math" w:cs="Courier New"/>
            <w:color w:val="0D1B2A"/>
          </w:rPr>
          <m:t>α ~ 2</m:t>
        </m:r>
      </m:oMath>
      <w:r w:rsidR="00461A1D">
        <w:rPr>
          <w:rFonts w:ascii="Courier New" w:eastAsia="Courier New" w:hAnsi="Courier New" w:cs="Courier New"/>
          <w:color w:val="0D1B2A"/>
        </w:rPr>
        <w:t xml:space="preserve"> (BTF scaling)</w:t>
      </w:r>
    </w:p>
    <w:p w14:paraId="7BCD0766" w14:textId="04C59631" w:rsidR="000F6D48" w:rsidRDefault="00C70DC6">
      <w:pPr>
        <w:shd w:val="clear" w:color="auto" w:fill="F5F6F8"/>
        <w:spacing w:before="120" w:after="120"/>
        <w:jc w:val="center"/>
      </w:pPr>
      <m:oMathPara>
        <m:oMath>
          <m:sSubSup>
            <m:sSubSupPr>
              <m:ctrlPr>
                <w:rPr>
                  <w:rFonts w:ascii="Cambria Math" w:hAnsi="Cambria Math"/>
                  <w:i/>
                  <w:color w:val="0D1B2A"/>
                </w:rPr>
              </m:ctrlPr>
            </m:sSubSupPr>
            <m:e>
              <m:r>
                <w:rPr>
                  <w:rFonts w:ascii="Cambria Math" w:hAnsi="Cambria Math"/>
                  <w:color w:val="0D1B2A"/>
                </w:rPr>
                <m:t>χ</m:t>
              </m:r>
            </m:e>
            <m:sub>
              <m:r>
                <w:rPr>
                  <w:rFonts w:ascii="Cambria Math" w:hAnsi="Cambria Math"/>
                  <w:color w:val="0D1B2A"/>
                </w:rPr>
                <m:t>global</m:t>
              </m:r>
            </m:sub>
            <m:sup>
              <m:r>
                <w:rPr>
                  <w:rFonts w:ascii="Cambria Math" w:hAnsi="Cambria Math"/>
                  <w:color w:val="0D1B2A"/>
                </w:rPr>
                <m:t>2</m:t>
              </m:r>
            </m:sup>
          </m:sSubSup>
          <m:r>
            <w:rPr>
              <w:rFonts w:ascii="Cambria Math" w:hAnsi="Cambria Math"/>
              <w:color w:val="0D1B2A"/>
            </w:rPr>
            <m:t>=</m:t>
          </m:r>
          <m:f>
            <m:fPr>
              <m:ctrlPr>
                <w:rPr>
                  <w:rFonts w:ascii="Cambria Math" w:hAnsi="Cambria Math"/>
                  <w:i/>
                  <w:color w:val="0D1B2A"/>
                </w:rPr>
              </m:ctrlPr>
            </m:fPr>
            <m:num>
              <m:sSub>
                <m:sSubPr>
                  <m:ctrlPr>
                    <w:rPr>
                      <w:rFonts w:ascii="Cambria Math" w:hAnsi="Cambria Math"/>
                      <w:i/>
                      <w:color w:val="0D1B2A"/>
                    </w:rPr>
                  </m:ctrlPr>
                </m:sSubPr>
                <m:e>
                  <m:r>
                    <w:rPr>
                      <w:rFonts w:ascii="Cambria Math" w:hAnsi="Cambria Math"/>
                      <w:color w:val="0D1B2A"/>
                    </w:rPr>
                    <m:t>Σ</m:t>
                  </m:r>
                </m:e>
                <m:sub>
                  <m:r>
                    <w:rPr>
                      <w:rFonts w:ascii="Cambria Math" w:hAnsi="Cambria Math"/>
                      <w:color w:val="0D1B2A"/>
                    </w:rPr>
                    <m:t>i</m:t>
                  </m:r>
                </m:sub>
              </m:sSub>
              <m:sSup>
                <m:sSupPr>
                  <m:ctrlPr>
                    <w:rPr>
                      <w:rFonts w:ascii="Cambria Math" w:hAnsi="Cambria Math"/>
                      <w:i/>
                      <w:color w:val="0D1B2A"/>
                    </w:rPr>
                  </m:ctrlPr>
                </m:sSupPr>
                <m:e>
                  <m:d>
                    <m:dPr>
                      <m:begChr m:val="["/>
                      <m:endChr m:val="]"/>
                      <m:ctrlPr>
                        <w:rPr>
                          <w:rFonts w:ascii="Cambria Math" w:hAnsi="Cambria Math"/>
                          <w:i/>
                          <w:color w:val="0D1B2A"/>
                        </w:rPr>
                      </m:ctrlPr>
                    </m:dPr>
                    <m:e>
                      <m:sSub>
                        <m:sSubPr>
                          <m:ctrlPr>
                            <w:rPr>
                              <w:rFonts w:ascii="Cambria Math" w:hAnsi="Cambria Math"/>
                              <w:i/>
                              <w:color w:val="0D1B2A"/>
                            </w:rPr>
                          </m:ctrlPr>
                        </m:sSubPr>
                        <m:e>
                          <m:r>
                            <w:rPr>
                              <w:rFonts w:ascii="Cambria Math" w:hAnsi="Cambria Math"/>
                              <w:color w:val="0D1B2A"/>
                            </w:rPr>
                            <m:t>V</m:t>
                          </m:r>
                        </m:e>
                        <m:sub>
                          <m:r>
                            <w:rPr>
                              <w:rFonts w:ascii="Cambria Math" w:hAnsi="Cambria Math"/>
                              <w:color w:val="0D1B2A"/>
                            </w:rPr>
                            <m:t>model</m:t>
                          </m:r>
                          <m:d>
                            <m:dPr>
                              <m:ctrlPr>
                                <w:rPr>
                                  <w:rFonts w:ascii="Cambria Math" w:hAnsi="Cambria Math"/>
                                  <w:i/>
                                  <w:color w:val="0D1B2A"/>
                                </w:rPr>
                              </m:ctrlPr>
                            </m:dPr>
                            <m:e>
                              <m:sSub>
                                <m:sSubPr>
                                  <m:ctrlPr>
                                    <w:rPr>
                                      <w:rFonts w:ascii="Cambria Math" w:hAnsi="Cambria Math"/>
                                      <w:i/>
                                      <w:color w:val="0D1B2A"/>
                                    </w:rPr>
                                  </m:ctrlPr>
                                </m:sSubPr>
                                <m:e>
                                  <m:r>
                                    <w:rPr>
                                      <w:rFonts w:ascii="Cambria Math" w:hAnsi="Cambria Math"/>
                                      <w:color w:val="0D1B2A"/>
                                    </w:rPr>
                                    <m:t>R</m:t>
                                  </m:r>
                                </m:e>
                                <m:sub>
                                  <m:r>
                                    <w:rPr>
                                      <w:rFonts w:ascii="Cambria Math" w:hAnsi="Cambria Math"/>
                                      <w:color w:val="0D1B2A"/>
                                    </w:rPr>
                                    <m:t>j</m:t>
                                  </m:r>
                                </m:sub>
                              </m:sSub>
                              <m:r>
                                <w:rPr>
                                  <w:rFonts w:ascii="Cambria Math" w:hAnsi="Cambria Math"/>
                                  <w:color w:val="0D1B2A"/>
                                </w:rPr>
                                <m:t xml:space="preserve">; </m:t>
                              </m:r>
                              <m:sSub>
                                <m:sSubPr>
                                  <m:ctrlPr>
                                    <w:rPr>
                                      <w:rFonts w:ascii="Cambria Math" w:hAnsi="Cambria Math"/>
                                      <w:i/>
                                      <w:color w:val="0D1B2A"/>
                                    </w:rPr>
                                  </m:ctrlPr>
                                </m:sSubPr>
                                <m:e>
                                  <m:r>
                                    <w:rPr>
                                      <w:rFonts w:ascii="Cambria Math" w:hAnsi="Cambria Math"/>
                                      <w:color w:val="0D1B2A"/>
                                    </w:rPr>
                                    <m:t>Q</m:t>
                                  </m:r>
                                </m:e>
                                <m:sub>
                                  <m:r>
                                    <w:rPr>
                                      <w:rFonts w:ascii="Cambria Math" w:hAnsi="Cambria Math"/>
                                      <w:color w:val="0D1B2A"/>
                                    </w:rPr>
                                    <m:t>predicted</m:t>
                                  </m:r>
                                </m:sub>
                              </m:sSub>
                            </m:e>
                          </m:d>
                        </m:sub>
                      </m:sSub>
                      <m:r>
                        <w:rPr>
                          <w:rFonts w:ascii="Cambria Math" w:hAnsi="Cambria Math"/>
                          <w:color w:val="0D1B2A"/>
                        </w:rPr>
                        <m:t xml:space="preserve">- </m:t>
                      </m:r>
                      <m:sSub>
                        <m:sSubPr>
                          <m:ctrlPr>
                            <w:rPr>
                              <w:rFonts w:ascii="Cambria Math" w:hAnsi="Cambria Math"/>
                              <w:i/>
                              <w:color w:val="0D1B2A"/>
                            </w:rPr>
                          </m:ctrlPr>
                        </m:sSubPr>
                        <m:e>
                          <m:r>
                            <w:rPr>
                              <w:rFonts w:ascii="Cambria Math" w:hAnsi="Cambria Math"/>
                              <w:color w:val="0D1B2A"/>
                            </w:rPr>
                            <m:t>V</m:t>
                          </m:r>
                        </m:e>
                        <m:sub>
                          <m:r>
                            <w:rPr>
                              <w:rFonts w:ascii="Cambria Math" w:hAnsi="Cambria Math"/>
                              <w:color w:val="0D1B2A"/>
                            </w:rPr>
                            <m:t>obs</m:t>
                          </m:r>
                          <m:d>
                            <m:dPr>
                              <m:ctrlPr>
                                <w:rPr>
                                  <w:rFonts w:ascii="Cambria Math" w:hAnsi="Cambria Math"/>
                                  <w:i/>
                                  <w:color w:val="0D1B2A"/>
                                </w:rPr>
                              </m:ctrlPr>
                            </m:dPr>
                            <m:e>
                              <m:sSub>
                                <m:sSubPr>
                                  <m:ctrlPr>
                                    <w:rPr>
                                      <w:rFonts w:ascii="Cambria Math" w:hAnsi="Cambria Math"/>
                                      <w:i/>
                                      <w:color w:val="0D1B2A"/>
                                    </w:rPr>
                                  </m:ctrlPr>
                                </m:sSubPr>
                                <m:e>
                                  <m:r>
                                    <w:rPr>
                                      <w:rFonts w:ascii="Cambria Math" w:hAnsi="Cambria Math"/>
                                      <w:color w:val="0D1B2A"/>
                                    </w:rPr>
                                    <m:t>R</m:t>
                                  </m:r>
                                </m:e>
                                <m:sub>
                                  <m:r>
                                    <w:rPr>
                                      <w:rFonts w:ascii="Cambria Math" w:hAnsi="Cambria Math"/>
                                      <w:color w:val="0D1B2A"/>
                                    </w:rPr>
                                    <m:t>j</m:t>
                                  </m:r>
                                </m:sub>
                              </m:sSub>
                            </m:e>
                          </m:d>
                        </m:sub>
                      </m:sSub>
                    </m:e>
                  </m:d>
                </m:e>
                <m:sup>
                  <m:r>
                    <w:rPr>
                      <w:rFonts w:ascii="Cambria Math" w:hAnsi="Cambria Math"/>
                      <w:color w:val="0D1B2A"/>
                    </w:rPr>
                    <m:t>2</m:t>
                  </m:r>
                </m:sup>
              </m:sSup>
            </m:num>
            <m:den>
              <m:sSubSup>
                <m:sSubSupPr>
                  <m:ctrlPr>
                    <w:rPr>
                      <w:rFonts w:ascii="Cambria Math" w:hAnsi="Cambria Math"/>
                      <w:i/>
                      <w:color w:val="0D1B2A"/>
                    </w:rPr>
                  </m:ctrlPr>
                </m:sSubSupPr>
                <m:e>
                  <m:r>
                    <w:rPr>
                      <w:rFonts w:ascii="Cambria Math" w:hAnsi="Cambria Math"/>
                      <w:color w:val="0D1B2A"/>
                    </w:rPr>
                    <m:t>σ</m:t>
                  </m:r>
                </m:e>
                <m:sub>
                  <m:r>
                    <w:rPr>
                      <w:rFonts w:ascii="Cambria Math" w:hAnsi="Cambria Math"/>
                      <w:color w:val="0D1B2A"/>
                    </w:rPr>
                    <m:t>j</m:t>
                  </m:r>
                </m:sub>
                <m:sup>
                  <m:r>
                    <w:rPr>
                      <w:rFonts w:ascii="Cambria Math" w:hAnsi="Cambria Math"/>
                      <w:color w:val="0D1B2A"/>
                    </w:rPr>
                    <m:t>2</m:t>
                  </m:r>
                </m:sup>
              </m:sSubSup>
            </m:den>
          </m:f>
        </m:oMath>
      </m:oMathPara>
    </w:p>
    <w:p w14:paraId="03A1D1DD" w14:textId="50EA8ECD" w:rsidR="000F6D48" w:rsidRDefault="00461A1D">
      <w:pPr>
        <w:spacing w:before="60" w:after="100" w:line="340" w:lineRule="auto"/>
      </w:pPr>
      <w:r>
        <w:t xml:space="preserve">If </w:t>
      </w:r>
      <m:oMath>
        <m:sSubSup>
          <m:sSubSupPr>
            <m:ctrlPr>
              <w:rPr>
                <w:rFonts w:ascii="Cambria Math" w:hAnsi="Cambria Math"/>
                <w:i/>
              </w:rPr>
            </m:ctrlPr>
          </m:sSubSupPr>
          <m:e>
            <m:r>
              <w:rPr>
                <w:rFonts w:ascii="Cambria Math" w:hAnsi="Cambria Math"/>
              </w:rPr>
              <m:t>χ</m:t>
            </m:r>
          </m:e>
          <m:sub>
            <m:r>
              <w:rPr>
                <w:rFonts w:ascii="Cambria Math" w:hAnsi="Cambria Math"/>
              </w:rPr>
              <m:t>global</m:t>
            </m:r>
          </m:sub>
          <m:sup>
            <m:r>
              <w:rPr>
                <w:rFonts w:ascii="Cambria Math" w:hAnsi="Cambria Math"/>
              </w:rPr>
              <m:t>2</m:t>
            </m:r>
          </m:sup>
        </m:sSubSup>
      </m:oMath>
      <w:r>
        <w:t xml:space="preserve"> is comparable to </w:t>
      </w:r>
      <m:oMath>
        <m:r>
          <w:rPr>
            <w:rFonts w:ascii="Cambria Math" w:hAnsi="Cambria Math"/>
          </w:rPr>
          <m:t xml:space="preserve">Σᵢ </m:t>
        </m:r>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bes</m:t>
                </m:r>
                <m:sSub>
                  <m:sSubPr>
                    <m:ctrlPr>
                      <w:rPr>
                        <w:rFonts w:ascii="Cambria Math" w:hAnsi="Cambria Math"/>
                        <w:i/>
                      </w:rPr>
                    </m:ctrlPr>
                  </m:sSubPr>
                  <m:e>
                    <m:r>
                      <w:rPr>
                        <w:rFonts w:ascii="Cambria Math" w:hAnsi="Cambria Math"/>
                      </w:rPr>
                      <m:t>t</m:t>
                    </m:r>
                  </m:e>
                  <m:sub>
                    <m:r>
                      <w:rPr>
                        <w:rFonts w:ascii="Cambria Math" w:hAnsi="Cambria Math"/>
                      </w:rPr>
                      <m:t>fit</m:t>
                    </m:r>
                  </m:sub>
                </m:sSub>
              </m:sub>
            </m:sSub>
          </m:e>
        </m:d>
      </m:oMath>
      <w:r>
        <w:t>, the model achieves MOND-like zero-per-galaxy-DOF parsimony. If not, the residual Q-spread encodes physics beyond the BTF — informative either way.</w:t>
      </w:r>
    </w:p>
    <w:p w14:paraId="71FCBDDC" w14:textId="48B9DA89" w:rsidR="000F6D48" w:rsidRDefault="00461A1D">
      <w:pPr>
        <w:pStyle w:val="Heading2"/>
      </w:pPr>
      <w:bookmarkStart w:id="20" w:name="_Toc222461578"/>
      <w:r>
        <w:t xml:space="preserve">Action </w:t>
      </w:r>
      <w:r w:rsidR="00C70DC6">
        <w:t>2 | Compute</w:t>
      </w:r>
      <w:r>
        <w:t xml:space="preserve"> the RAR Scatter and Compare to Li+2018</w:t>
      </w:r>
      <w:bookmarkEnd w:id="20"/>
    </w:p>
    <w:p w14:paraId="080C9211" w14:textId="77777777" w:rsidR="000F6D48" w:rsidRDefault="00461A1D">
      <w:pPr>
        <w:spacing w:before="60" w:after="100" w:line="340" w:lineRule="auto"/>
      </w:pPr>
      <w:r>
        <w:t>The most direct quantitative benchmark against MOND is the Radial Acceleration Relation (RAR) scatter. For each galaxy and each radial point, compute:</w:t>
      </w:r>
    </w:p>
    <w:p w14:paraId="654C5470" w14:textId="512A640B" w:rsidR="000F6D48" w:rsidRDefault="00C70DC6">
      <w:pPr>
        <w:shd w:val="clear" w:color="auto" w:fill="F5F6F8"/>
        <w:spacing w:before="120" w:after="120"/>
        <w:jc w:val="center"/>
      </w:pPr>
      <m:oMathPara>
        <m:oMath>
          <m:func>
            <m:funcPr>
              <m:ctrlPr>
                <w:rPr>
                  <w:rFonts w:ascii="Cambria Math" w:eastAsia="Courier New" w:hAnsi="Cambria Math" w:cs="Courier New"/>
                  <w:color w:val="0D1B2A"/>
                </w:rPr>
              </m:ctrlPr>
            </m:funcPr>
            <m:fName>
              <m:r>
                <m:rPr>
                  <m:sty m:val="p"/>
                </m:rPr>
                <w:rPr>
                  <w:rFonts w:ascii="Cambria Math" w:eastAsia="Courier New" w:hAnsi="Cambria Math" w:cs="Courier New"/>
                  <w:color w:val="0D1B2A"/>
                </w:rPr>
                <m:t>log</m:t>
              </m:r>
            </m:fName>
            <m:e>
              <m:d>
                <m:dPr>
                  <m:ctrlPr>
                    <w:rPr>
                      <w:rFonts w:ascii="Cambria Math" w:eastAsia="Courier New" w:hAnsi="Cambria Math" w:cs="Courier New"/>
                      <w:i/>
                      <w:color w:val="0D1B2A"/>
                    </w:rPr>
                  </m:ctrlPr>
                </m:dPr>
                <m:e>
                  <m:f>
                    <m:fPr>
                      <m:ctrlPr>
                        <w:rPr>
                          <w:rFonts w:ascii="Cambria Math" w:eastAsia="Courier New" w:hAnsi="Cambria Math" w:cs="Courier New"/>
                          <w:i/>
                          <w:color w:val="0D1B2A"/>
                        </w:rPr>
                      </m:ctrlPr>
                    </m:fPr>
                    <m:num>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obs</m:t>
                          </m:r>
                        </m:sub>
                      </m:sSub>
                    </m:num>
                    <m:den>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model</m:t>
                          </m:r>
                        </m:sub>
                      </m:sSub>
                    </m:den>
                  </m:f>
                </m:e>
              </m:d>
            </m:e>
          </m:func>
          <m:r>
            <w:rPr>
              <w:rFonts w:ascii="Cambria Math" w:eastAsia="Courier New" w:hAnsi="Cambria Math" w:cs="Courier New"/>
              <w:color w:val="0D1B2A"/>
            </w:rPr>
            <m:t>=</m:t>
          </m:r>
          <m:func>
            <m:funcPr>
              <m:ctrlPr>
                <w:rPr>
                  <w:rFonts w:ascii="Cambria Math" w:eastAsia="Courier New" w:hAnsi="Cambria Math" w:cs="Courier New"/>
                  <w:color w:val="0D1B2A"/>
                </w:rPr>
              </m:ctrlPr>
            </m:funcPr>
            <m:fName>
              <m:r>
                <m:rPr>
                  <m:sty m:val="p"/>
                </m:rPr>
                <w:rPr>
                  <w:rFonts w:ascii="Cambria Math" w:eastAsia="Courier New" w:hAnsi="Cambria Math" w:cs="Courier New"/>
                  <w:color w:val="0D1B2A"/>
                </w:rPr>
                <m:t>log</m:t>
              </m:r>
              <m:ctrlPr>
                <w:rPr>
                  <w:rFonts w:ascii="Cambria Math" w:eastAsia="Courier New" w:hAnsi="Cambria Math" w:cs="Courier New"/>
                  <w:i/>
                  <w:color w:val="0D1B2A"/>
                </w:rPr>
              </m:ctrlPr>
            </m:fName>
            <m:e>
              <m:d>
                <m:dPr>
                  <m:ctrlPr>
                    <w:rPr>
                      <w:rFonts w:ascii="Cambria Math" w:eastAsia="Courier New" w:hAnsi="Cambria Math" w:cs="Courier New"/>
                      <w:i/>
                      <w:color w:val="0D1B2A"/>
                    </w:rPr>
                  </m:ctrlPr>
                </m:dPr>
                <m:e>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obs</m:t>
                      </m:r>
                    </m:sub>
                  </m:sSub>
                </m:e>
              </m:d>
            </m:e>
          </m:func>
          <m:r>
            <w:rPr>
              <w:rFonts w:ascii="Cambria Math" w:eastAsia="Courier New" w:hAnsi="Cambria Math" w:cs="Courier New"/>
              <w:color w:val="0D1B2A"/>
            </w:rPr>
            <m:t>-</m:t>
          </m:r>
          <m:func>
            <m:funcPr>
              <m:ctrlPr>
                <w:rPr>
                  <w:rFonts w:ascii="Cambria Math" w:eastAsia="Courier New" w:hAnsi="Cambria Math" w:cs="Courier New"/>
                  <w:color w:val="0D1B2A"/>
                </w:rPr>
              </m:ctrlPr>
            </m:funcPr>
            <m:fName>
              <m:r>
                <m:rPr>
                  <m:sty m:val="p"/>
                </m:rPr>
                <w:rPr>
                  <w:rFonts w:ascii="Cambria Math" w:eastAsia="Courier New" w:hAnsi="Cambria Math" w:cs="Courier New"/>
                  <w:color w:val="0D1B2A"/>
                </w:rPr>
                <m:t>log</m:t>
              </m:r>
              <m:ctrlPr>
                <w:rPr>
                  <w:rFonts w:ascii="Cambria Math" w:eastAsia="Courier New" w:hAnsi="Cambria Math" w:cs="Courier New"/>
                  <w:i/>
                  <w:color w:val="0D1B2A"/>
                </w:rPr>
              </m:ctrlPr>
            </m:fName>
            <m:e>
              <m:d>
                <m:dPr>
                  <m:ctrlPr>
                    <w:rPr>
                      <w:rFonts w:ascii="Cambria Math" w:eastAsia="Courier New" w:hAnsi="Cambria Math" w:cs="Courier New"/>
                      <w:i/>
                      <w:color w:val="0D1B2A"/>
                    </w:rPr>
                  </m:ctrlPr>
                </m:dPr>
                <m:e>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bar</m:t>
                      </m:r>
                    </m:sub>
                  </m:sSub>
                  <m:r>
                    <w:rPr>
                      <w:rFonts w:ascii="Cambria Math" w:eastAsia="Courier New" w:hAnsi="Cambria Math" w:cs="Courier New"/>
                      <w:color w:val="0D1B2A"/>
                    </w:rPr>
                    <m:t>+ Q ·</m:t>
                  </m:r>
                  <m:f>
                    <m:fPr>
                      <m:ctrlPr>
                        <w:rPr>
                          <w:rFonts w:ascii="Cambria Math" w:eastAsia="Courier New" w:hAnsi="Cambria Math" w:cs="Courier New"/>
                          <w:i/>
                          <w:color w:val="0D1B2A"/>
                        </w:rPr>
                      </m:ctrlPr>
                    </m:fPr>
                    <m:num>
                      <m:sSubSup>
                        <m:sSubSupPr>
                          <m:ctrlPr>
                            <w:rPr>
                              <w:rFonts w:ascii="Cambria Math" w:eastAsia="Courier New" w:hAnsi="Cambria Math" w:cs="Courier New"/>
                              <w:i/>
                              <w:color w:val="0D1B2A"/>
                            </w:rPr>
                          </m:ctrlPr>
                        </m:sSubSupPr>
                        <m:e>
                          <m:r>
                            <w:rPr>
                              <w:rFonts w:ascii="Cambria Math" w:eastAsia="Courier New" w:hAnsi="Cambria Math" w:cs="Courier New"/>
                              <w:color w:val="0D1B2A"/>
                            </w:rPr>
                            <m:t>χ</m:t>
                          </m:r>
                        </m:e>
                        <m:sub>
                          <m:r>
                            <w:rPr>
                              <w:rFonts w:ascii="Cambria Math" w:eastAsia="Courier New" w:hAnsi="Cambria Math" w:cs="Courier New"/>
                              <w:color w:val="0D1B2A"/>
                            </w:rPr>
                            <m:t>unit</m:t>
                          </m:r>
                        </m:sub>
                        <m:sup>
                          <m:r>
                            <w:rPr>
                              <w:rFonts w:ascii="Cambria Math" w:eastAsia="Courier New" w:hAnsi="Cambria Math" w:cs="Courier New"/>
                              <w:color w:val="0D1B2A"/>
                            </w:rPr>
                            <m:t>'</m:t>
                          </m:r>
                        </m:sup>
                      </m:sSubSup>
                    </m:num>
                    <m:den>
                      <m:r>
                        <w:rPr>
                          <w:rFonts w:ascii="Cambria Math" w:eastAsia="Courier New" w:hAnsi="Cambria Math" w:cs="Courier New"/>
                          <w:color w:val="0D1B2A"/>
                        </w:rPr>
                        <m:t>R</m:t>
                      </m:r>
                    </m:den>
                  </m:f>
                </m:e>
              </m:d>
            </m:e>
          </m:func>
        </m:oMath>
      </m:oMathPara>
    </w:p>
    <w:p w14:paraId="3C504AB8" w14:textId="77AFFC58" w:rsidR="000F6D48" w:rsidRDefault="00461A1D">
      <w:pPr>
        <w:spacing w:before="60" w:after="100" w:line="340" w:lineRule="auto"/>
      </w:pPr>
      <w:r>
        <w:t xml:space="preserve">Compute the rms of this quantity across all 175 galaxies and all radial points. Compare to MOND's published 0.057 </w:t>
      </w:r>
      <w:proofErr w:type="spellStart"/>
      <w:r>
        <w:t>dex</w:t>
      </w:r>
      <w:proofErr w:type="spellEnd"/>
      <w:r>
        <w:t xml:space="preserve">. If the edge-response model achieves 0.057 </w:t>
      </w:r>
      <w:proofErr w:type="spellStart"/>
      <w:r>
        <w:t>dex</w:t>
      </w:r>
      <w:proofErr w:type="spellEnd"/>
      <w:r>
        <w:t xml:space="preserve"> or better with the BTF-anchored </w:t>
      </w:r>
      <m:oMath>
        <m:r>
          <w:rPr>
            <w:rFonts w:ascii="Cambria Math" w:hAnsi="Cambria Math"/>
          </w:rPr>
          <m:t>Q</m:t>
        </m:r>
      </m:oMath>
      <w:r>
        <w:t xml:space="preserve">, the model is empirically equivalent to MOND on SPARC — a result worth publishing on its own merits. If it achieves 0.065–0.080 dex, that is an honest quantification of the gap. Either result clarifies the landscape in a way the current </w:t>
      </w:r>
      <m:oMath>
        <m:r>
          <w:rPr>
            <w:rFonts w:ascii="Cambria Math" w:hAnsi="Cambria Math"/>
          </w:rPr>
          <m:t>Δ</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analysis does not.</w:t>
      </w:r>
    </w:p>
    <w:p w14:paraId="6F4F3C3F" w14:textId="25D4C6A5" w:rsidR="000F6D48" w:rsidRDefault="00461A1D">
      <w:pPr>
        <w:pStyle w:val="Heading2"/>
      </w:pPr>
      <w:bookmarkStart w:id="21" w:name="_Toc222461579"/>
      <w:r>
        <w:t xml:space="preserve">Action </w:t>
      </w:r>
      <w:r w:rsidR="00C70DC6">
        <w:t>3 | M</w:t>
      </w:r>
      <w:r>
        <w:t>/L Sensitivity Sweep and χ² Decomposition</w:t>
      </w:r>
      <w:bookmarkEnd w:id="21"/>
    </w:p>
    <w:p w14:paraId="4DC7410F" w14:textId="3EBF2FDE" w:rsidR="000F6D48" w:rsidRDefault="00461A1D">
      <w:pPr>
        <w:spacing w:before="60" w:after="100" w:line="340" w:lineRule="auto"/>
      </w:pPr>
      <w:r>
        <w:t>Run the pipeline with a 5×3 grid of (</w:t>
      </w:r>
      <m:oMath>
        <m:sSub>
          <m:sSubPr>
            <m:ctrlPr>
              <w:rPr>
                <w:rFonts w:ascii="Cambria Math" w:hAnsi="Cambria Math"/>
                <w:i/>
              </w:rPr>
            </m:ctrlPr>
          </m:sSubPr>
          <m:e>
            <m:r>
              <w:rPr>
                <w:rFonts w:ascii="Cambria Math" w:hAnsi="Cambria Math"/>
              </w:rPr>
              <m:t>Υ</m:t>
            </m:r>
          </m:e>
          <m:sub>
            <m:r>
              <w:rPr>
                <w:rFonts w:ascii="Cambria Math" w:hAnsi="Cambria Math"/>
              </w:rPr>
              <m:t>disk</m:t>
            </m:r>
          </m:sub>
        </m:sSub>
      </m:oMath>
      <w:r>
        <w:t xml:space="preserve">, </w:t>
      </w:r>
      <m:oMath>
        <m:sSub>
          <m:sSubPr>
            <m:ctrlPr>
              <w:rPr>
                <w:rFonts w:ascii="Cambria Math" w:hAnsi="Cambria Math"/>
                <w:i/>
              </w:rPr>
            </m:ctrlPr>
          </m:sSubPr>
          <m:e>
            <m:r>
              <w:rPr>
                <w:rFonts w:ascii="Cambria Math" w:hAnsi="Cambria Math"/>
              </w:rPr>
              <m:t>Υ</m:t>
            </m:r>
          </m:e>
          <m:sub>
            <m:r>
              <w:rPr>
                <w:rFonts w:ascii="Cambria Math" w:hAnsi="Cambria Math"/>
              </w:rPr>
              <m:t>bul</m:t>
            </m:r>
          </m:sub>
        </m:sSub>
      </m:oMath>
      <w:r>
        <w:t xml:space="preserve">) values centred on (0.5, 0.7) with steps of 0.1. For each grid point, record </w:t>
      </w:r>
      <m:oMath>
        <m:sSubSup>
          <m:sSubSupPr>
            <m:ctrlPr>
              <w:rPr>
                <w:rFonts w:ascii="Cambria Math" w:hAnsi="Cambria Math"/>
                <w:i/>
              </w:rPr>
            </m:ctrlPr>
          </m:sSubSupPr>
          <m:e>
            <m:r>
              <w:rPr>
                <w:rFonts w:ascii="Cambria Math" w:hAnsi="Cambria Math"/>
              </w:rPr>
              <m:t>χ</m:t>
            </m:r>
          </m:e>
          <m:sub>
            <m:r>
              <w:rPr>
                <w:rFonts w:ascii="Cambria Math" w:hAnsi="Cambria Math"/>
              </w:rPr>
              <m:t>model</m:t>
            </m:r>
          </m:sub>
          <m:sup>
            <m:r>
              <w:rPr>
                <w:rFonts w:ascii="Cambria Math" w:hAnsi="Cambria Math"/>
              </w:rPr>
              <m:t>2</m:t>
            </m:r>
          </m:sup>
        </m:sSubSup>
      </m:oMath>
      <w:r>
        <w:t xml:space="preserve"> and </w:t>
      </w:r>
      <m:oMath>
        <m:r>
          <w:rPr>
            <w:rFonts w:ascii="Cambria Math" w:hAnsi="Cambria Math"/>
          </w:rPr>
          <m:t>Q</m:t>
        </m:r>
      </m:oMath>
      <w:r>
        <w:t xml:space="preserve"> for the full 175-galaxy sample. The key output is the distribution of </w:t>
      </w:r>
      <m:oMath>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disk</m:t>
                </m:r>
              </m:sub>
            </m:sSub>
          </m:den>
        </m:f>
      </m:oMath>
      <w:r>
        <w:t>: the sensitivity of the inferred edge amplitude to the mass-model assumption.</w:t>
      </w:r>
    </w:p>
    <w:p w14:paraId="7017C62C" w14:textId="20968A35" w:rsidR="000F6D48" w:rsidRDefault="00461A1D">
      <w:pPr>
        <w:spacing w:before="60" w:after="100" w:line="340" w:lineRule="auto"/>
      </w:pPr>
      <w:r>
        <w:t xml:space="preserve">This analysis costs approximately 5 additional pipeline runs (already scripted) and produces the systematic error budget needed for any journal submission. Without it, the uncertainty on </w:t>
      </w:r>
      <m:oMath>
        <m:r>
          <w:rPr>
            <w:rFonts w:ascii="Cambria Math" w:hAnsi="Cambria Math"/>
          </w:rPr>
          <m:t>Q</m:t>
        </m:r>
      </m:oMath>
      <w:r>
        <w:t xml:space="preserve"> is formally unbounded from below.</w:t>
      </w:r>
    </w:p>
    <w:p w14:paraId="5B1A6B23" w14:textId="486B33A6" w:rsidR="000F6D48" w:rsidRDefault="00461A1D">
      <w:pPr>
        <w:pStyle w:val="Heading2"/>
      </w:pPr>
      <w:bookmarkStart w:id="22" w:name="_Toc222461580"/>
      <w:r>
        <w:t xml:space="preserve">Action </w:t>
      </w:r>
      <w:r w:rsidR="00C70DC6">
        <w:t>4 | Derive</w:t>
      </w:r>
      <w:r>
        <w:t xml:space="preserve"> the EFT Action (Minimal Covariant Form)</w:t>
      </w:r>
      <w:bookmarkEnd w:id="22"/>
    </w:p>
    <w:p w14:paraId="1F8CFFF3" w14:textId="77777777" w:rsidR="000F6D48" w:rsidRDefault="00461A1D">
      <w:pPr>
        <w:spacing w:before="60" w:after="100" w:line="340" w:lineRule="auto"/>
      </w:pPr>
      <w:r>
        <w:t>The current phenomenological model has a covariant sketch in the manuscript's Section 8 / Appendix, but it has not been developed into a complete action from which the field equation is derived and solved. The minimal requirement for a physics publication is:</w:t>
      </w:r>
    </w:p>
    <w:p w14:paraId="7F43C5C5" w14:textId="4C19BB80" w:rsidR="000F6D48" w:rsidRDefault="00461A1D">
      <w:pPr>
        <w:pStyle w:val="ListParagraph"/>
        <w:numPr>
          <w:ilvl w:val="0"/>
          <w:numId w:val="2"/>
        </w:numPr>
        <w:spacing w:before="50" w:after="50" w:line="320" w:lineRule="auto"/>
      </w:pPr>
      <w:r>
        <w:t xml:space="preserve">Write the action </w:t>
      </w:r>
      <m:oMath>
        <m:r>
          <w:rPr>
            <w:rFonts w:ascii="Cambria Math" w:hAnsi="Cambria Math"/>
          </w:rPr>
          <m:t xml:space="preserve">S = </m:t>
        </m:r>
        <m:sSub>
          <m:sSubPr>
            <m:ctrlPr>
              <w:rPr>
                <w:rFonts w:ascii="Cambria Math" w:hAnsi="Cambria Math"/>
                <w:i/>
              </w:rPr>
            </m:ctrlPr>
          </m:sSubPr>
          <m:e>
            <m:r>
              <w:rPr>
                <w:rFonts w:ascii="Cambria Math" w:hAnsi="Cambria Math"/>
              </w:rPr>
              <m:t>S</m:t>
            </m:r>
          </m:e>
          <m:sub>
            <m:r>
              <w:rPr>
                <w:rFonts w:ascii="Cambria Math" w:hAnsi="Cambria Math"/>
              </w:rPr>
              <m:t>EH</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bar</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χ</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int</m:t>
            </m:r>
          </m:sub>
        </m:sSub>
      </m:oMath>
      <w:r>
        <w:t xml:space="preserve"> where </w:t>
      </w:r>
      <m:oMath>
        <m:sSub>
          <m:sSubPr>
            <m:ctrlPr>
              <w:rPr>
                <w:rFonts w:ascii="Cambria Math" w:hAnsi="Cambria Math"/>
                <w:i/>
              </w:rPr>
            </m:ctrlPr>
          </m:sSubPr>
          <m:e>
            <m:r>
              <w:rPr>
                <w:rFonts w:ascii="Cambria Math" w:hAnsi="Cambria Math"/>
              </w:rPr>
              <m:t>S</m:t>
            </m:r>
          </m:e>
          <m:sub>
            <m:r>
              <w:rPr>
                <w:rFonts w:ascii="Cambria Math" w:hAnsi="Cambria Math"/>
              </w:rPr>
              <m:t>χ</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int</m:t>
            </m:r>
          </m:sub>
        </m:sSub>
      </m:oMath>
      <w:r>
        <w:t xml:space="preserve"> are explicit functionals</w:t>
      </w:r>
    </w:p>
    <w:p w14:paraId="6607151E" w14:textId="3689F244" w:rsidR="000F6D48" w:rsidRDefault="00461A1D">
      <w:pPr>
        <w:pStyle w:val="ListParagraph"/>
        <w:numPr>
          <w:ilvl w:val="0"/>
          <w:numId w:val="2"/>
        </w:numPr>
        <w:spacing w:before="50" w:after="50" w:line="320" w:lineRule="auto"/>
      </w:pPr>
      <w:r>
        <w:t xml:space="preserve">Derive the field equations for </w:t>
      </w:r>
      <m:oMath>
        <m:r>
          <w:rPr>
            <w:rFonts w:ascii="Cambria Math" w:hAnsi="Cambria Math"/>
          </w:rPr>
          <m:t>χ</m:t>
        </m:r>
      </m:oMath>
      <w:r>
        <w:t xml:space="preserve"> in the static, weak-field, spherically symmetric limit</w:t>
      </w:r>
    </w:p>
    <w:p w14:paraId="38C21829" w14:textId="77777777" w:rsidR="000F6D48" w:rsidRDefault="00461A1D">
      <w:pPr>
        <w:pStyle w:val="ListParagraph"/>
        <w:numPr>
          <w:ilvl w:val="0"/>
          <w:numId w:val="2"/>
        </w:numPr>
        <w:spacing w:before="50" w:after="50" w:line="320" w:lineRule="auto"/>
      </w:pPr>
      <w:r>
        <w:t>Show that the derived equation reduces to the 2D radial Poisson equation used in the runner</w:t>
      </w:r>
    </w:p>
    <w:p w14:paraId="0925A4D4" w14:textId="26ACFC71" w:rsidR="000F6D48" w:rsidRDefault="00461A1D">
      <w:pPr>
        <w:pStyle w:val="ListParagraph"/>
        <w:numPr>
          <w:ilvl w:val="0"/>
          <w:numId w:val="2"/>
        </w:numPr>
        <w:spacing w:before="50" w:after="50" w:line="320" w:lineRule="auto"/>
      </w:pPr>
      <w:r>
        <w:t xml:space="preserve">Verify that the Gaussian source at Rₜ follows from the activation criterion </w:t>
      </w:r>
      <m:oMath>
        <m:sSub>
          <m:sSubPr>
            <m:ctrlPr>
              <w:rPr>
                <w:rFonts w:ascii="Cambria Math" w:hAnsi="Cambria Math"/>
                <w:i/>
              </w:rPr>
            </m:ctrlPr>
          </m:sSubPr>
          <m:e>
            <m:r>
              <w:rPr>
                <w:rFonts w:ascii="Cambria Math" w:hAnsi="Cambria Math"/>
              </w:rPr>
              <m:t>g</m:t>
            </m:r>
          </m:e>
          <m:sub>
            <m:r>
              <w:rPr>
                <w:rFonts w:ascii="Cambria Math" w:hAnsi="Cambria Math"/>
              </w:rPr>
              <m:t>bar</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oMath>
    </w:p>
    <w:p w14:paraId="04311AE2" w14:textId="77777777" w:rsidR="000F6D48" w:rsidRDefault="00461A1D">
      <w:pPr>
        <w:spacing w:before="60" w:after="100" w:line="340" w:lineRule="auto"/>
      </w:pPr>
      <w:r>
        <w:t>A minimal choice consistent with the phenomenology is a shift-symmetric scalar with a baryonic coupling:</w:t>
      </w:r>
    </w:p>
    <w:p w14:paraId="6AE0F69D" w14:textId="77DA5203" w:rsidR="000F6D48" w:rsidRDefault="00C70DC6">
      <w:pPr>
        <w:shd w:val="clear" w:color="auto" w:fill="F5F6F8"/>
        <w:spacing w:before="120" w:after="120"/>
        <w:jc w:val="center"/>
      </w:pPr>
      <m:oMathPara>
        <m:oMath>
          <m:sSub>
            <m:sSubPr>
              <m:ctrlPr>
                <w:rPr>
                  <w:rFonts w:ascii="Cambria Math" w:eastAsia="Courier New" w:hAnsi="Cambria Math" w:cs="Courier New"/>
                  <w:i/>
                  <w:color w:val="0D1B2A"/>
                </w:rPr>
              </m:ctrlPr>
            </m:sSubPr>
            <m:e>
              <m:r>
                <w:rPr>
                  <w:rFonts w:ascii="Cambria Math" w:eastAsia="Courier New" w:hAnsi="Cambria Math" w:cs="Courier New"/>
                  <w:color w:val="0D1B2A"/>
                </w:rPr>
                <m:t>S</m:t>
              </m:r>
            </m:e>
            <m:sub>
              <m:r>
                <w:rPr>
                  <w:rFonts w:ascii="Cambria Math" w:eastAsia="Courier New" w:hAnsi="Cambria Math" w:cs="Courier New"/>
                  <w:color w:val="0D1B2A"/>
                </w:rPr>
                <m:t>χ</m:t>
              </m:r>
            </m:sub>
          </m:sSub>
          <m:r>
            <w:rPr>
              <w:rFonts w:ascii="Cambria Math" w:eastAsia="Courier New" w:hAnsi="Cambria Math" w:cs="Courier New"/>
              <w:color w:val="0D1B2A"/>
            </w:rPr>
            <m:t>= ∫</m:t>
          </m:r>
          <m:sSup>
            <m:sSupPr>
              <m:ctrlPr>
                <w:rPr>
                  <w:rFonts w:ascii="Cambria Math" w:eastAsia="Courier New" w:hAnsi="Cambria Math" w:cs="Courier New"/>
                  <w:i/>
                  <w:color w:val="0D1B2A"/>
                </w:rPr>
              </m:ctrlPr>
            </m:sSupPr>
            <m:e>
              <m:r>
                <w:rPr>
                  <w:rFonts w:ascii="Cambria Math" w:eastAsia="Courier New" w:hAnsi="Cambria Math" w:cs="Courier New"/>
                  <w:color w:val="0D1B2A"/>
                </w:rPr>
                <m:t>d</m:t>
              </m:r>
            </m:e>
            <m:sup>
              <m:r>
                <w:rPr>
                  <w:rFonts w:ascii="Cambria Math" w:eastAsia="Courier New" w:hAnsi="Cambria Math" w:cs="Courier New"/>
                  <w:color w:val="0D1B2A"/>
                </w:rPr>
                <m:t>4</m:t>
              </m:r>
            </m:sup>
          </m:sSup>
          <m:r>
            <w:rPr>
              <w:rFonts w:ascii="Cambria Math" w:eastAsia="Courier New" w:hAnsi="Cambria Math" w:cs="Courier New"/>
              <w:color w:val="0D1B2A"/>
            </w:rPr>
            <m:t xml:space="preserve">x </m:t>
          </m:r>
          <m:rad>
            <m:radPr>
              <m:degHide m:val="1"/>
              <m:ctrlPr>
                <w:rPr>
                  <w:rFonts w:ascii="Cambria Math" w:eastAsia="Courier New" w:hAnsi="Cambria Math" w:cs="Courier New"/>
                  <w:i/>
                  <w:color w:val="0D1B2A"/>
                </w:rPr>
              </m:ctrlPr>
            </m:radPr>
            <m:deg/>
            <m:e>
              <m:r>
                <w:rPr>
                  <w:rFonts w:ascii="Cambria Math" w:eastAsia="Courier New" w:hAnsi="Cambria Math" w:cs="Courier New"/>
                  <w:color w:val="0D1B2A"/>
                </w:rPr>
                <m:t>-g</m:t>
              </m:r>
            </m:e>
          </m:rad>
          <m:d>
            <m:dPr>
              <m:begChr m:val="["/>
              <m:endChr m:val="]"/>
              <m:ctrlPr>
                <w:rPr>
                  <w:rFonts w:ascii="Cambria Math" w:eastAsia="Courier New" w:hAnsi="Cambria Math" w:cs="Courier New"/>
                  <w:i/>
                  <w:color w:val="0D1B2A"/>
                </w:rPr>
              </m:ctrlPr>
            </m:dPr>
            <m:e>
              <m:r>
                <w:rPr>
                  <w:rFonts w:ascii="Cambria Math" w:eastAsia="Courier New" w:hAnsi="Cambria Math" w:cs="Courier New"/>
                  <w:color w:val="0D1B2A"/>
                </w:rPr>
                <m:t xml:space="preserve">-½ </m:t>
              </m:r>
              <m:sSup>
                <m:sSupPr>
                  <m:ctrlPr>
                    <w:rPr>
                      <w:rFonts w:ascii="Cambria Math" w:eastAsia="Courier New" w:hAnsi="Cambria Math" w:cs="Courier New"/>
                      <w:i/>
                      <w:color w:val="0D1B2A"/>
                    </w:rPr>
                  </m:ctrlPr>
                </m:sSupPr>
                <m:e>
                  <m:d>
                    <m:dPr>
                      <m:ctrlPr>
                        <w:rPr>
                          <w:rFonts w:ascii="Cambria Math" w:eastAsia="Courier New" w:hAnsi="Cambria Math" w:cs="Courier New"/>
                          <w:i/>
                          <w:color w:val="0D1B2A"/>
                        </w:rPr>
                      </m:ctrlPr>
                    </m:dPr>
                    <m:e>
                      <m:r>
                        <w:rPr>
                          <w:rFonts w:ascii="Cambria Math" w:eastAsia="Courier New" w:hAnsi="Cambria Math" w:cs="Courier New"/>
                          <w:color w:val="0D1B2A"/>
                        </w:rPr>
                        <m:t>∂χ</m:t>
                      </m:r>
                    </m:e>
                  </m:d>
                </m:e>
                <m:sup>
                  <m:r>
                    <w:rPr>
                      <w:rFonts w:ascii="Cambria Math" w:eastAsia="Courier New" w:hAnsi="Cambria Math" w:cs="Courier New"/>
                      <w:color w:val="0D1B2A"/>
                    </w:rPr>
                    <m:t>2</m:t>
                  </m:r>
                </m:sup>
              </m:sSup>
              <m:r>
                <w:rPr>
                  <w:rFonts w:ascii="Cambria Math" w:eastAsia="Courier New" w:hAnsi="Cambria Math" w:cs="Courier New"/>
                  <w:color w:val="0D1B2A"/>
                </w:rPr>
                <m:t>-V</m:t>
              </m:r>
              <m:d>
                <m:dPr>
                  <m:ctrlPr>
                    <w:rPr>
                      <w:rFonts w:ascii="Cambria Math" w:eastAsia="Courier New" w:hAnsi="Cambria Math" w:cs="Courier New"/>
                      <w:i/>
                      <w:color w:val="0D1B2A"/>
                    </w:rPr>
                  </m:ctrlPr>
                </m:dPr>
                <m:e>
                  <m:r>
                    <w:rPr>
                      <w:rFonts w:ascii="Cambria Math" w:eastAsia="Courier New" w:hAnsi="Cambria Math" w:cs="Courier New"/>
                      <w:color w:val="0D1B2A"/>
                    </w:rPr>
                    <m:t>χ</m:t>
                  </m:r>
                </m:e>
              </m:d>
            </m:e>
          </m:d>
        </m:oMath>
      </m:oMathPara>
    </w:p>
    <w:p w14:paraId="5361CCCF" w14:textId="4E07F762" w:rsidR="000F6D48" w:rsidRDefault="00C70DC6">
      <w:pPr>
        <w:shd w:val="clear" w:color="auto" w:fill="F5F6F8"/>
        <w:spacing w:before="120" w:after="120"/>
        <w:jc w:val="center"/>
      </w:pPr>
      <m:oMathPara>
        <m:oMath>
          <m:sSub>
            <m:sSubPr>
              <m:ctrlPr>
                <w:rPr>
                  <w:rFonts w:ascii="Cambria Math" w:eastAsia="Courier New" w:hAnsi="Cambria Math" w:cs="Courier New"/>
                  <w:i/>
                  <w:color w:val="0D1B2A"/>
                </w:rPr>
              </m:ctrlPr>
            </m:sSubPr>
            <m:e>
              <m:r>
                <w:rPr>
                  <w:rFonts w:ascii="Cambria Math" w:eastAsia="Courier New" w:hAnsi="Cambria Math" w:cs="Courier New"/>
                  <w:color w:val="0D1B2A"/>
                </w:rPr>
                <m:t>S</m:t>
              </m:r>
            </m:e>
            <m:sub>
              <m:r>
                <w:rPr>
                  <w:rFonts w:ascii="Cambria Math" w:eastAsia="Courier New" w:hAnsi="Cambria Math" w:cs="Courier New"/>
                  <w:color w:val="0D1B2A"/>
                </w:rPr>
                <m:t>int</m:t>
              </m:r>
            </m:sub>
          </m:sSub>
          <m:r>
            <w:rPr>
              <w:rFonts w:ascii="Cambria Math" w:eastAsia="Courier New" w:hAnsi="Cambria Math" w:cs="Courier New"/>
              <w:color w:val="0D1B2A"/>
            </w:rPr>
            <m:t>= ∫</m:t>
          </m:r>
          <m:sSup>
            <m:sSupPr>
              <m:ctrlPr>
                <w:rPr>
                  <w:rFonts w:ascii="Cambria Math" w:eastAsia="Courier New" w:hAnsi="Cambria Math" w:cs="Courier New"/>
                  <w:i/>
                  <w:color w:val="0D1B2A"/>
                </w:rPr>
              </m:ctrlPr>
            </m:sSupPr>
            <m:e>
              <m:r>
                <w:rPr>
                  <w:rFonts w:ascii="Cambria Math" w:eastAsia="Courier New" w:hAnsi="Cambria Math" w:cs="Courier New"/>
                  <w:color w:val="0D1B2A"/>
                </w:rPr>
                <m:t>d</m:t>
              </m:r>
            </m:e>
            <m:sup>
              <m:r>
                <w:rPr>
                  <w:rFonts w:ascii="Cambria Math" w:eastAsia="Courier New" w:hAnsi="Cambria Math" w:cs="Courier New"/>
                  <w:color w:val="0D1B2A"/>
                </w:rPr>
                <m:t>4</m:t>
              </m:r>
            </m:sup>
          </m:sSup>
          <m:r>
            <w:rPr>
              <w:rFonts w:ascii="Cambria Math" w:eastAsia="Courier New" w:hAnsi="Cambria Math" w:cs="Courier New"/>
              <w:color w:val="0D1B2A"/>
            </w:rPr>
            <m:t xml:space="preserve">x </m:t>
          </m:r>
          <m:rad>
            <m:radPr>
              <m:degHide m:val="1"/>
              <m:ctrlPr>
                <w:rPr>
                  <w:rFonts w:ascii="Cambria Math" w:eastAsia="Courier New" w:hAnsi="Cambria Math" w:cs="Courier New"/>
                  <w:i/>
                  <w:color w:val="0D1B2A"/>
                </w:rPr>
              </m:ctrlPr>
            </m:radPr>
            <m:deg/>
            <m:e>
              <m:r>
                <w:rPr>
                  <w:rFonts w:ascii="Cambria Math" w:eastAsia="Courier New" w:hAnsi="Cambria Math" w:cs="Courier New"/>
                  <w:color w:val="0D1B2A"/>
                </w:rPr>
                <m:t>-g</m:t>
              </m:r>
            </m:e>
          </m:rad>
          <m:r>
            <w:rPr>
              <w:rFonts w:ascii="Cambria Math" w:eastAsia="Courier New" w:hAnsi="Cambria Math" w:cs="Courier New"/>
              <w:color w:val="0D1B2A"/>
            </w:rPr>
            <m:t xml:space="preserve"> f</m:t>
          </m:r>
          <m:d>
            <m:dPr>
              <m:ctrlPr>
                <w:rPr>
                  <w:rFonts w:ascii="Cambria Math" w:eastAsia="Courier New" w:hAnsi="Cambria Math" w:cs="Courier New"/>
                  <w:i/>
                  <w:color w:val="0D1B2A"/>
                </w:rPr>
              </m:ctrlPr>
            </m:dPr>
            <m:e>
              <m:f>
                <m:fPr>
                  <m:ctrlPr>
                    <w:rPr>
                      <w:rFonts w:ascii="Cambria Math" w:eastAsia="Courier New" w:hAnsi="Cambria Math" w:cs="Courier New"/>
                      <w:i/>
                      <w:color w:val="0D1B2A"/>
                    </w:rPr>
                  </m:ctrlPr>
                </m:fPr>
                <m:num>
                  <m:sSub>
                    <m:sSubPr>
                      <m:ctrlPr>
                        <w:rPr>
                          <w:rFonts w:ascii="Cambria Math" w:eastAsia="Courier New" w:hAnsi="Cambria Math" w:cs="Courier New"/>
                          <w:i/>
                          <w:color w:val="0D1B2A"/>
                        </w:rPr>
                      </m:ctrlPr>
                    </m:sSubPr>
                    <m:e>
                      <m:r>
                        <w:rPr>
                          <w:rFonts w:ascii="Cambria Math" w:eastAsia="Courier New" w:hAnsi="Cambria Math" w:cs="Courier New"/>
                          <w:color w:val="0D1B2A"/>
                        </w:rPr>
                        <m:t>g</m:t>
                      </m:r>
                    </m:e>
                    <m:sub>
                      <m:r>
                        <w:rPr>
                          <w:rFonts w:ascii="Cambria Math" w:eastAsia="Courier New" w:hAnsi="Cambria Math" w:cs="Courier New"/>
                          <w:color w:val="0D1B2A"/>
                        </w:rPr>
                        <m:t>bar</m:t>
                      </m:r>
                    </m:sub>
                  </m:sSub>
                </m:num>
                <m:den>
                  <m:sSup>
                    <m:sSupPr>
                      <m:ctrlPr>
                        <w:rPr>
                          <w:rFonts w:ascii="Cambria Math" w:eastAsia="Courier New" w:hAnsi="Cambria Math" w:cs="Courier New"/>
                          <w:i/>
                          <w:color w:val="0D1B2A"/>
                        </w:rPr>
                      </m:ctrlPr>
                    </m:sSupPr>
                    <m:e>
                      <m:r>
                        <w:rPr>
                          <w:rFonts w:ascii="Cambria Math" w:eastAsia="Courier New" w:hAnsi="Cambria Math" w:cs="Courier New"/>
                          <w:color w:val="0D1B2A"/>
                        </w:rPr>
                        <m:t>a</m:t>
                      </m:r>
                    </m:e>
                    <m:sup>
                      <m:r>
                        <w:rPr>
                          <w:rFonts w:ascii="Cambria Math" w:eastAsia="Courier New" w:hAnsi="Cambria Math" w:cs="Courier New"/>
                          <w:color w:val="0D1B2A"/>
                        </w:rPr>
                        <m:t>0</m:t>
                      </m:r>
                    </m:sup>
                  </m:sSup>
                </m:den>
              </m:f>
            </m:e>
          </m:d>
          <m:r>
            <w:rPr>
              <w:rFonts w:ascii="Cambria Math" w:eastAsia="Courier New" w:hAnsi="Cambria Math" w:cs="Courier New"/>
              <w:color w:val="0D1B2A"/>
            </w:rPr>
            <m:t xml:space="preserve">· χ · </m:t>
          </m:r>
          <m:sSub>
            <m:sSubPr>
              <m:ctrlPr>
                <w:rPr>
                  <w:rFonts w:ascii="Cambria Math" w:eastAsia="Courier New" w:hAnsi="Cambria Math" w:cs="Courier New"/>
                  <w:i/>
                  <w:color w:val="0D1B2A"/>
                </w:rPr>
              </m:ctrlPr>
            </m:sSubPr>
            <m:e>
              <m:r>
                <w:rPr>
                  <w:rFonts w:ascii="Cambria Math" w:eastAsia="Courier New" w:hAnsi="Cambria Math" w:cs="Courier New"/>
                  <w:color w:val="0D1B2A"/>
                </w:rPr>
                <m:t>ρ</m:t>
              </m:r>
            </m:e>
            <m:sub>
              <m:r>
                <w:rPr>
                  <w:rFonts w:ascii="Cambria Math" w:eastAsia="Courier New" w:hAnsi="Cambria Math" w:cs="Courier New"/>
                  <w:color w:val="0D1B2A"/>
                </w:rPr>
                <m:t>bar</m:t>
              </m:r>
            </m:sub>
          </m:sSub>
        </m:oMath>
      </m:oMathPara>
    </w:p>
    <w:p w14:paraId="69FB1111" w14:textId="0CF13BC3" w:rsidR="000F6D48" w:rsidRDefault="00461A1D">
      <w:pPr>
        <w:spacing w:before="60" w:after="100" w:line="340" w:lineRule="auto"/>
      </w:pPr>
      <w:r>
        <w:t xml:space="preserve">where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that peaks near </w:t>
      </w:r>
      <m:oMath>
        <m:r>
          <w:rPr>
            <w:rFonts w:ascii="Cambria Math" w:hAnsi="Cambria Math"/>
          </w:rPr>
          <m:t>x = 1</m:t>
        </m:r>
      </m:oMath>
      <w:r>
        <w:t xml:space="preserve"> (i.e., near the a₀ transition). This is not a complete derivation — it is the starting point for one. The key test of self-consistency is whether the resulting field profile </w:t>
      </w:r>
      <m:oMath>
        <m:r>
          <w:rPr>
            <w:rFonts w:ascii="Cambria Math" w:hAnsi="Cambria Math"/>
          </w:rPr>
          <m:t>χ</m:t>
        </m:r>
        <m:d>
          <m:dPr>
            <m:ctrlPr>
              <w:rPr>
                <w:rFonts w:ascii="Cambria Math" w:hAnsi="Cambria Math"/>
                <w:i/>
              </w:rPr>
            </m:ctrlPr>
          </m:dPr>
          <m:e>
            <m:r>
              <w:rPr>
                <w:rFonts w:ascii="Cambria Math" w:hAnsi="Cambria Math"/>
              </w:rPr>
              <m:t>R</m:t>
            </m:r>
          </m:e>
        </m:d>
      </m:oMath>
      <w:r>
        <w:t xml:space="preserve"> has the correct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asymptote in the static spherical limit, and whether </w:t>
      </w:r>
      <m:oMath>
        <m:r>
          <w:rPr>
            <w:rFonts w:ascii="Cambria Math" w:hAnsi="Cambria Math"/>
          </w:rPr>
          <m:t>V</m:t>
        </m:r>
        <m:d>
          <m:dPr>
            <m:ctrlPr>
              <w:rPr>
                <w:rFonts w:ascii="Cambria Math" w:hAnsi="Cambria Math"/>
                <w:i/>
              </w:rPr>
            </m:ctrlPr>
          </m:dPr>
          <m:e>
            <m:r>
              <w:rPr>
                <w:rFonts w:ascii="Cambria Math" w:hAnsi="Cambria Math"/>
              </w:rPr>
              <m:t>χ</m:t>
            </m:r>
          </m:e>
        </m:d>
      </m:oMath>
      <w:r>
        <w:t xml:space="preserve"> introduces any additional cosmological energy density that would conflict with CMB constraints.</w:t>
      </w:r>
    </w:p>
    <w:p w14:paraId="5FCA9A48" w14:textId="6E22DBAD" w:rsidR="000F6D48" w:rsidRDefault="00461A1D">
      <w:pPr>
        <w:pStyle w:val="Heading2"/>
      </w:pPr>
      <w:bookmarkStart w:id="23" w:name="_Toc222461581"/>
      <w:r>
        <w:t xml:space="preserve">Action </w:t>
      </w:r>
      <w:r w:rsidR="00C70DC6">
        <w:t>5 | Gravitational</w:t>
      </w:r>
      <w:r>
        <w:t xml:space="preserve"> Slip Prediction and Lensing Test</w:t>
      </w:r>
      <w:bookmarkEnd w:id="23"/>
    </w:p>
    <w:p w14:paraId="7A8DA594" w14:textId="7F912423" w:rsidR="000F6D48" w:rsidRDefault="00461A1D">
      <w:pPr>
        <w:spacing w:before="60" w:after="100" w:line="340" w:lineRule="auto"/>
      </w:pPr>
      <w:r>
        <w:t xml:space="preserve">The gravitational slip </w:t>
      </w:r>
      <m:oMath>
        <m:r>
          <w:rPr>
            <w:rFonts w:ascii="Cambria Math" w:hAnsi="Cambria Math"/>
          </w:rPr>
          <m:t>η =</m:t>
        </m:r>
        <m:f>
          <m:fPr>
            <m:ctrlPr>
              <w:rPr>
                <w:rFonts w:ascii="Cambria Math" w:hAnsi="Cambria Math"/>
                <w:i/>
              </w:rPr>
            </m:ctrlPr>
          </m:fPr>
          <m:num>
            <m:r>
              <w:rPr>
                <w:rFonts w:ascii="Cambria Math" w:hAnsi="Cambria Math"/>
              </w:rPr>
              <m:t>Ψ</m:t>
            </m:r>
          </m:num>
          <m:den>
            <m:r>
              <w:rPr>
                <w:rFonts w:ascii="Cambria Math" w:hAnsi="Cambria Math"/>
              </w:rPr>
              <m:t>Φ</m:t>
            </m:r>
          </m:den>
        </m:f>
      </m:oMath>
      <w:r>
        <w:t xml:space="preserve"> can be computed from the action once </w:t>
      </w:r>
      <m:oMath>
        <m:sSub>
          <m:sSubPr>
            <m:ctrlPr>
              <w:rPr>
                <w:rFonts w:ascii="Cambria Math" w:hAnsi="Cambria Math"/>
                <w:i/>
              </w:rPr>
            </m:ctrlPr>
          </m:sSubPr>
          <m:e>
            <m:r>
              <w:rPr>
                <w:rFonts w:ascii="Cambria Math" w:hAnsi="Cambria Math"/>
              </w:rPr>
              <m:t>S</m:t>
            </m:r>
          </m:e>
          <m:sub>
            <m:r>
              <w:rPr>
                <w:rFonts w:ascii="Cambria Math" w:hAnsi="Cambria Math"/>
              </w:rPr>
              <m:t>χ</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int</m:t>
            </m:r>
          </m:sub>
        </m:sSub>
      </m:oMath>
      <w:r>
        <w:t xml:space="preserve"> are specified. In general scalar-tensor theories, the slip is:</w:t>
      </w:r>
    </w:p>
    <w:p w14:paraId="27160E69" w14:textId="143FEFFA" w:rsidR="000F6D48" w:rsidRDefault="00C70DC6">
      <w:pPr>
        <w:shd w:val="clear" w:color="auto" w:fill="F5F6F8"/>
        <w:spacing w:before="120" w:after="120"/>
        <w:jc w:val="center"/>
      </w:pPr>
      <m:oMathPara>
        <m:oMath>
          <m:r>
            <w:rPr>
              <w:rFonts w:ascii="Cambria Math" w:eastAsia="Courier New" w:hAnsi="Cambria Math" w:cs="Courier New"/>
              <w:color w:val="0D1B2A"/>
            </w:rPr>
            <m:t>η =</m:t>
          </m:r>
          <m:f>
            <m:fPr>
              <m:ctrlPr>
                <w:rPr>
                  <w:rFonts w:ascii="Cambria Math" w:eastAsia="Courier New" w:hAnsi="Cambria Math" w:cs="Courier New"/>
                  <w:i/>
                  <w:color w:val="0D1B2A"/>
                </w:rPr>
              </m:ctrlPr>
            </m:fPr>
            <m:num>
              <m:r>
                <w:rPr>
                  <w:rFonts w:ascii="Cambria Math" w:eastAsia="Courier New" w:hAnsi="Cambria Math" w:cs="Courier New"/>
                  <w:color w:val="0D1B2A"/>
                </w:rPr>
                <m:t>Ψ</m:t>
              </m:r>
            </m:num>
            <m:den>
              <m:r>
                <w:rPr>
                  <w:rFonts w:ascii="Cambria Math" w:eastAsia="Courier New" w:hAnsi="Cambria Math" w:cs="Courier New"/>
                  <w:color w:val="0D1B2A"/>
                </w:rPr>
                <m:t>Φ</m:t>
              </m:r>
            </m:den>
          </m:f>
          <m:r>
            <w:rPr>
              <w:rFonts w:ascii="Cambria Math" w:eastAsia="Courier New" w:hAnsi="Cambria Math" w:cs="Courier New"/>
              <w:color w:val="0D1B2A"/>
            </w:rPr>
            <m:t>=</m:t>
          </m:r>
          <m:f>
            <m:fPr>
              <m:ctrlPr>
                <w:rPr>
                  <w:rFonts w:ascii="Cambria Math" w:eastAsia="Courier New" w:hAnsi="Cambria Math" w:cs="Courier New"/>
                  <w:i/>
                  <w:color w:val="0D1B2A"/>
                </w:rPr>
              </m:ctrlPr>
            </m:fPr>
            <m:num>
              <m:r>
                <w:rPr>
                  <w:rFonts w:ascii="Cambria Math" w:eastAsia="Courier New" w:hAnsi="Cambria Math" w:cs="Courier New"/>
                  <w:color w:val="0D1B2A"/>
                </w:rPr>
                <m:t>1 + αB</m:t>
              </m:r>
            </m:num>
            <m:den>
              <m:r>
                <w:rPr>
                  <w:rFonts w:ascii="Cambria Math" w:eastAsia="Courier New" w:hAnsi="Cambria Math" w:cs="Courier New"/>
                  <w:color w:val="0D1B2A"/>
                </w:rPr>
                <m:t>1 + αM</m:t>
              </m:r>
            </m:den>
          </m:f>
        </m:oMath>
      </m:oMathPara>
    </w:p>
    <w:p w14:paraId="14339E80" w14:textId="77777777" w:rsidR="000F6D48" w:rsidRDefault="00461A1D">
      <w:pPr>
        <w:spacing w:before="60" w:after="100" w:line="340" w:lineRule="auto"/>
      </w:pPr>
      <w:r>
        <w:t>where αB and αM are braiding and running-mass parameters determined by the action. For the current edge-response model, the prediction should be one of three cases:</w:t>
      </w:r>
    </w:p>
    <w:p w14:paraId="1B544B80" w14:textId="152F0BB8" w:rsidR="000F6D48" w:rsidRDefault="00C70DC6">
      <w:pPr>
        <w:pStyle w:val="ListParagraph"/>
        <w:numPr>
          <w:ilvl w:val="0"/>
          <w:numId w:val="2"/>
        </w:numPr>
        <w:spacing w:before="50" w:after="50" w:line="320" w:lineRule="auto"/>
      </w:pPr>
      <m:oMath>
        <m:r>
          <w:rPr>
            <w:rFonts w:ascii="Cambria Math" w:hAnsi="Cambria Math"/>
          </w:rPr>
          <m:t>η = 1</m:t>
        </m:r>
      </m:oMath>
      <w:r w:rsidR="00461A1D">
        <w:t xml:space="preserve"> (no slip): </w:t>
      </w:r>
      <m:oMath>
        <m:r>
          <w:rPr>
            <w:rFonts w:ascii="Cambria Math" w:hAnsi="Cambria Math"/>
          </w:rPr>
          <m:t>lensing = 2 × dynamical constraint</m:t>
        </m:r>
      </m:oMath>
      <w:r w:rsidR="00461A1D">
        <w:t>; identical to GR + CDM at the metric level. Model is lensing-consistent but loses discriminating power.</w:t>
      </w:r>
    </w:p>
    <w:p w14:paraId="0BE12D6B" w14:textId="765C54A5" w:rsidR="000F6D48" w:rsidRDefault="00C70DC6">
      <w:pPr>
        <w:pStyle w:val="ListParagraph"/>
        <w:numPr>
          <w:ilvl w:val="0"/>
          <w:numId w:val="2"/>
        </w:numPr>
        <w:spacing w:before="50" w:after="50" w:line="320" w:lineRule="auto"/>
      </w:pPr>
      <m:oMath>
        <m:r>
          <w:rPr>
            <w:rFonts w:ascii="Cambria Math" w:hAnsi="Cambria Math"/>
          </w:rPr>
          <m:t>η ≠ 1</m:t>
        </m:r>
      </m:oMath>
      <w:r w:rsidR="00461A1D">
        <w:t xml:space="preserve"> (slip present): lensing differs from dynamics; directly observable in galaxy–galaxy lensing. Provides a falsifiable discriminant.</w:t>
      </w:r>
    </w:p>
    <w:p w14:paraId="58981306" w14:textId="4F3F7C4C" w:rsidR="000F6D48" w:rsidRDefault="00C70DC6">
      <w:pPr>
        <w:pStyle w:val="ListParagraph"/>
        <w:numPr>
          <w:ilvl w:val="0"/>
          <w:numId w:val="2"/>
        </w:numPr>
        <w:spacing w:before="50" w:after="50" w:line="320" w:lineRule="auto"/>
      </w:pPr>
      <m:oMath>
        <m:r>
          <w:rPr>
            <w:rFonts w:ascii="Cambria Math" w:hAnsi="Cambria Math"/>
          </w:rPr>
          <m:t>η</m:t>
        </m:r>
      </m:oMath>
      <w:r w:rsidR="00461A1D">
        <w:t xml:space="preserve"> depends on scale: compatible with current observations (which constrain slip primarily at cosmological scales) but must not violate Solar System tests </w:t>
      </w:r>
      <m:oMath>
        <m:r>
          <w:rPr>
            <w:rFonts w:ascii="Cambria Math" w:hAnsi="Cambria Math"/>
          </w:rPr>
          <m:t>(η = 1</m:t>
        </m:r>
      </m:oMath>
      <w:r w:rsidR="00461A1D">
        <w:t xml:space="preserve"> to </w:t>
      </w:r>
      <m:oMath>
        <m:r>
          <w:rPr>
            <w:rFonts w:ascii="Cambria Math" w:hAnsi="Cambria Math"/>
          </w:rPr>
          <m:t xml:space="preserve">1 part in </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461A1D">
        <w:t xml:space="preserve"> at AU scales).</w:t>
      </w:r>
    </w:p>
    <w:p w14:paraId="5D1EAD03" w14:textId="2EB72F17" w:rsidR="000F6D48" w:rsidRDefault="00461A1D">
      <w:pPr>
        <w:spacing w:before="60" w:after="100" w:line="340" w:lineRule="auto"/>
      </w:pPr>
      <w:r>
        <w:t xml:space="preserve">The practical prescription: take the 10 best-lensing-constrained SPARC galaxies, compute the predicted lensing convergence </w:t>
      </w:r>
      <m:oMath>
        <m:r>
          <w:rPr>
            <w:rFonts w:ascii="Cambria Math" w:hAnsi="Cambria Math"/>
          </w:rPr>
          <m:t>κ</m:t>
        </m:r>
        <m:d>
          <m:dPr>
            <m:ctrlPr>
              <w:rPr>
                <w:rFonts w:ascii="Cambria Math" w:hAnsi="Cambria Math"/>
                <w:i/>
              </w:rPr>
            </m:ctrlPr>
          </m:dPr>
          <m:e>
            <m:r>
              <w:rPr>
                <w:rFonts w:ascii="Cambria Math" w:hAnsi="Cambria Math"/>
              </w:rPr>
              <m:t>R</m:t>
            </m:r>
          </m:e>
        </m:d>
      </m:oMath>
      <w:r>
        <w:t xml:space="preserve"> from the model, and compare to published weak-lensing profiles (where available). Even a null lensing test (showing the model is consistent with known lensing data) significantly strengthens the publication case.</w:t>
      </w:r>
    </w:p>
    <w:p w14:paraId="7CE03224" w14:textId="6EEDFC4A" w:rsidR="000F6D48" w:rsidRDefault="00461A1D">
      <w:pPr>
        <w:pStyle w:val="Heading2"/>
      </w:pPr>
      <w:bookmarkStart w:id="24" w:name="_Toc222461582"/>
      <w:r>
        <w:t xml:space="preserve">Action </w:t>
      </w:r>
      <w:r w:rsidR="00C70DC6">
        <w:t>6 | Two</w:t>
      </w:r>
      <w:r>
        <w:t>-Parameter Extension and Cross-Validation</w:t>
      </w:r>
      <w:bookmarkEnd w:id="24"/>
    </w:p>
    <w:p w14:paraId="3FF0780E" w14:textId="5A8AACFE" w:rsidR="000F6D48" w:rsidRDefault="00461A1D">
      <w:pPr>
        <w:spacing w:before="60" w:after="100" w:line="340" w:lineRule="auto"/>
      </w:pPr>
      <w:r>
        <w:t xml:space="preserve">The single most impactful modelling improvement is adding </w:t>
      </w:r>
      <m:oMath>
        <m:sSub>
          <m:sSubPr>
            <m:ctrlPr>
              <w:rPr>
                <w:rFonts w:ascii="Cambria Math" w:hAnsi="Cambria Math"/>
                <w:i/>
              </w:rPr>
            </m:ctrlPr>
          </m:sSubPr>
          <m:e>
            <m:r>
              <w:rPr>
                <w:rFonts w:ascii="Cambria Math" w:hAnsi="Cambria Math"/>
              </w:rPr>
              <m:t>σ</m:t>
            </m:r>
          </m:e>
          <m:sub>
            <m:r>
              <w:rPr>
                <w:rFonts w:ascii="Cambria Math" w:hAnsi="Cambria Math"/>
              </w:rPr>
              <m:t>source</m:t>
            </m:r>
          </m:sub>
        </m:sSub>
      </m:oMath>
      <w:r>
        <w:t xml:space="preserve"> as a second free parameter, allowing the boundary-layer width to track the disc scale length </w:t>
      </w:r>
      <m:oMath>
        <m:sSub>
          <m:sSubPr>
            <m:ctrlPr>
              <w:rPr>
                <w:rFonts w:ascii="Cambria Math" w:hAnsi="Cambria Math"/>
                <w:i/>
              </w:rPr>
            </m:ctrlPr>
          </m:sSubPr>
          <m:e>
            <m:r>
              <w:rPr>
                <w:rFonts w:ascii="Cambria Math" w:hAnsi="Cambria Math"/>
              </w:rPr>
              <m:t>R</m:t>
            </m:r>
          </m:e>
          <m:sub>
            <m:r>
              <w:rPr>
                <w:rFonts w:ascii="Cambria Math" w:hAnsi="Cambria Math"/>
              </w:rPr>
              <m:t>disk</m:t>
            </m:r>
          </m:sub>
        </m:sSub>
      </m:oMath>
      <w:r>
        <w:t>. The physical motivation is clear: a more extended baryonic disc should source a broader boundary-layer response.</w:t>
      </w:r>
    </w:p>
    <w:p w14:paraId="073A76FF" w14:textId="3486F685" w:rsidR="000F6D48" w:rsidRDefault="00C70DC6">
      <w:pPr>
        <w:shd w:val="clear" w:color="auto" w:fill="F5F6F8"/>
        <w:spacing w:before="120" w:after="120"/>
        <w:jc w:val="center"/>
      </w:pPr>
      <m:oMathPara>
        <m:oMath>
          <m:r>
            <w:rPr>
              <w:rFonts w:ascii="Cambria Math" w:eastAsia="Courier New" w:hAnsi="Cambria Math" w:cs="Courier New"/>
              <w:color w:val="0D1B2A"/>
            </w:rPr>
            <m:t>S</m:t>
          </m:r>
          <m:d>
            <m:dPr>
              <m:ctrlPr>
                <w:rPr>
                  <w:rFonts w:ascii="Cambria Math" w:eastAsia="Courier New" w:hAnsi="Cambria Math" w:cs="Courier New"/>
                  <w:i/>
                  <w:color w:val="0D1B2A"/>
                </w:rPr>
              </m:ctrlPr>
            </m:dPr>
            <m:e>
              <m:r>
                <w:rPr>
                  <w:rFonts w:ascii="Cambria Math" w:eastAsia="Courier New" w:hAnsi="Cambria Math" w:cs="Courier New"/>
                  <w:color w:val="0D1B2A"/>
                </w:rPr>
                <m:t>R</m:t>
              </m:r>
            </m:e>
          </m:d>
          <m:r>
            <w:rPr>
              <w:rFonts w:ascii="Cambria Math" w:eastAsia="Courier New" w:hAnsi="Cambria Math" w:cs="Courier New"/>
              <w:color w:val="0D1B2A"/>
            </w:rPr>
            <m:t>= Q ·</m:t>
          </m:r>
          <m:func>
            <m:funcPr>
              <m:ctrlPr>
                <w:rPr>
                  <w:rFonts w:ascii="Cambria Math" w:eastAsia="Courier New" w:hAnsi="Cambria Math" w:cs="Courier New"/>
                  <w:color w:val="0D1B2A"/>
                </w:rPr>
              </m:ctrlPr>
            </m:funcPr>
            <m:fName>
              <m:r>
                <m:rPr>
                  <m:sty m:val="p"/>
                </m:rPr>
                <w:rPr>
                  <w:rFonts w:ascii="Cambria Math" w:eastAsia="Courier New" w:hAnsi="Cambria Math" w:cs="Courier New"/>
                  <w:color w:val="0D1B2A"/>
                </w:rPr>
                <m:t>exp</m:t>
              </m:r>
              <m:ctrlPr>
                <w:rPr>
                  <w:rFonts w:ascii="Cambria Math" w:eastAsia="Courier New" w:hAnsi="Cambria Math" w:cs="Courier New"/>
                  <w:i/>
                  <w:color w:val="0D1B2A"/>
                </w:rPr>
              </m:ctrlPr>
            </m:fName>
            <m:e>
              <m:d>
                <m:dPr>
                  <m:begChr m:val="["/>
                  <m:endChr m:val="]"/>
                  <m:ctrlPr>
                    <w:rPr>
                      <w:rFonts w:ascii="Cambria Math" w:eastAsia="Courier New" w:hAnsi="Cambria Math" w:cs="Courier New"/>
                      <w:i/>
                      <w:color w:val="0D1B2A"/>
                    </w:rPr>
                  </m:ctrlPr>
                </m:dPr>
                <m:e>
                  <m:r>
                    <w:rPr>
                      <w:rFonts w:ascii="Cambria Math" w:eastAsia="Courier New" w:hAnsi="Cambria Math" w:cs="Courier New"/>
                      <w:color w:val="0D1B2A"/>
                    </w:rPr>
                    <m:t>-</m:t>
                  </m:r>
                  <m:f>
                    <m:fPr>
                      <m:ctrlPr>
                        <w:rPr>
                          <w:rFonts w:ascii="Cambria Math" w:eastAsia="Courier New" w:hAnsi="Cambria Math" w:cs="Courier New"/>
                          <w:i/>
                          <w:color w:val="0D1B2A"/>
                        </w:rPr>
                      </m:ctrlPr>
                    </m:fPr>
                    <m:num>
                      <m:sSup>
                        <m:sSupPr>
                          <m:ctrlPr>
                            <w:rPr>
                              <w:rFonts w:ascii="Cambria Math" w:eastAsia="Courier New" w:hAnsi="Cambria Math" w:cs="Courier New"/>
                              <w:i/>
                              <w:color w:val="0D1B2A"/>
                            </w:rPr>
                          </m:ctrlPr>
                        </m:sSupPr>
                        <m:e>
                          <m:d>
                            <m:dPr>
                              <m:ctrlPr>
                                <w:rPr>
                                  <w:rFonts w:ascii="Cambria Math" w:eastAsia="Courier New" w:hAnsi="Cambria Math" w:cs="Courier New"/>
                                  <w:i/>
                                  <w:color w:val="0D1B2A"/>
                                </w:rPr>
                              </m:ctrlPr>
                            </m:dPr>
                            <m:e>
                              <m:r>
                                <w:rPr>
                                  <w:rFonts w:ascii="Cambria Math" w:eastAsia="Courier New" w:hAnsi="Cambria Math" w:cs="Courier New"/>
                                  <w:color w:val="0D1B2A"/>
                                </w:rPr>
                                <m:t>R - Rₜ</m:t>
                              </m:r>
                            </m:e>
                          </m:d>
                        </m:e>
                        <m:sup>
                          <m:r>
                            <w:rPr>
                              <w:rFonts w:ascii="Cambria Math" w:eastAsia="Courier New" w:hAnsi="Cambria Math" w:cs="Courier New"/>
                              <w:color w:val="0D1B2A"/>
                            </w:rPr>
                            <m:t>2</m:t>
                          </m:r>
                        </m:sup>
                      </m:sSup>
                    </m:num>
                    <m:den>
                      <m:r>
                        <w:rPr>
                          <w:rFonts w:ascii="Cambria Math" w:eastAsia="Courier New" w:hAnsi="Cambria Math" w:cs="Courier New"/>
                          <w:color w:val="0D1B2A"/>
                        </w:rPr>
                        <m:t>2</m:t>
                      </m:r>
                      <m:sSup>
                        <m:sSupPr>
                          <m:ctrlPr>
                            <w:rPr>
                              <w:rFonts w:ascii="Cambria Math" w:eastAsia="Courier New" w:hAnsi="Cambria Math" w:cs="Courier New"/>
                              <w:i/>
                              <w:color w:val="0D1B2A"/>
                            </w:rPr>
                          </m:ctrlPr>
                        </m:sSupPr>
                        <m:e>
                          <m:r>
                            <w:rPr>
                              <w:rFonts w:ascii="Cambria Math" w:eastAsia="Courier New" w:hAnsi="Cambria Math" w:cs="Courier New"/>
                              <w:color w:val="0D1B2A"/>
                            </w:rPr>
                            <m:t>σ</m:t>
                          </m:r>
                        </m:e>
                        <m:sup>
                          <m:r>
                            <w:rPr>
                              <w:rFonts w:ascii="Cambria Math" w:eastAsia="Courier New" w:hAnsi="Cambria Math" w:cs="Courier New"/>
                              <w:color w:val="0D1B2A"/>
                            </w:rPr>
                            <m:t>2</m:t>
                          </m:r>
                        </m:sup>
                      </m:sSup>
                      <m:d>
                        <m:dPr>
                          <m:ctrlPr>
                            <w:rPr>
                              <w:rFonts w:ascii="Cambria Math" w:eastAsia="Courier New" w:hAnsi="Cambria Math" w:cs="Courier New"/>
                              <w:i/>
                              <w:color w:val="0D1B2A"/>
                            </w:rPr>
                          </m:ctrlPr>
                        </m:dPr>
                        <m:e>
                          <m:r>
                            <w:rPr>
                              <w:rFonts w:ascii="Cambria Math" w:eastAsia="Courier New" w:hAnsi="Cambria Math" w:cs="Courier New"/>
                              <w:color w:val="0D1B2A"/>
                            </w:rPr>
                            <m:t>Rdisk</m:t>
                          </m:r>
                        </m:e>
                      </m:d>
                    </m:den>
                  </m:f>
                </m:e>
              </m:d>
            </m:e>
          </m:func>
          <m:r>
            <w:rPr>
              <w:rFonts w:ascii="Cambria Math" w:eastAsia="Courier New" w:hAnsi="Cambria Math" w:cs="Courier New"/>
              <w:color w:val="0D1B2A"/>
            </w:rPr>
            <m:t xml:space="preserve"> where  σ = </m:t>
          </m:r>
          <m:sSup>
            <m:sSupPr>
              <m:ctrlPr>
                <w:rPr>
                  <w:rFonts w:ascii="Cambria Math" w:eastAsia="Courier New" w:hAnsi="Cambria Math" w:cs="Courier New"/>
                  <w:i/>
                  <w:color w:val="0D1B2A"/>
                </w:rPr>
              </m:ctrlPr>
            </m:sSupPr>
            <m:e>
              <m:r>
                <w:rPr>
                  <w:rFonts w:ascii="Cambria Math" w:eastAsia="Courier New" w:hAnsi="Cambria Math" w:cs="Courier New"/>
                  <w:color w:val="0D1B2A"/>
                </w:rPr>
                <m:t>σ</m:t>
              </m:r>
            </m:e>
            <m:sup>
              <m:r>
                <w:rPr>
                  <w:rFonts w:ascii="Cambria Math" w:eastAsia="Courier New" w:hAnsi="Cambria Math" w:cs="Courier New"/>
                  <w:color w:val="0D1B2A"/>
                </w:rPr>
                <m:t>0</m:t>
              </m:r>
            </m:sup>
          </m:sSup>
          <m:r>
            <w:rPr>
              <w:rFonts w:ascii="Cambria Math" w:eastAsia="Courier New" w:hAnsi="Cambria Math" w:cs="Courier New"/>
              <w:color w:val="0D1B2A"/>
            </w:rPr>
            <m:t xml:space="preserve">· </m:t>
          </m:r>
          <m:sSup>
            <m:sSupPr>
              <m:ctrlPr>
                <w:rPr>
                  <w:rFonts w:ascii="Cambria Math" w:eastAsia="Courier New" w:hAnsi="Cambria Math" w:cs="Courier New"/>
                  <w:i/>
                  <w:color w:val="0D1B2A"/>
                </w:rPr>
              </m:ctrlPr>
            </m:sSupPr>
            <m:e>
              <m:d>
                <m:dPr>
                  <m:ctrlPr>
                    <w:rPr>
                      <w:rFonts w:ascii="Cambria Math" w:eastAsia="Courier New" w:hAnsi="Cambria Math" w:cs="Courier New"/>
                      <w:i/>
                      <w:color w:val="0D1B2A"/>
                    </w:rPr>
                  </m:ctrlPr>
                </m:dPr>
                <m:e>
                  <m:f>
                    <m:fPr>
                      <m:ctrlPr>
                        <w:rPr>
                          <w:rFonts w:ascii="Cambria Math" w:eastAsia="Courier New" w:hAnsi="Cambria Math" w:cs="Courier New"/>
                          <w:i/>
                          <w:color w:val="0D1B2A"/>
                        </w:rPr>
                      </m:ctrlPr>
                    </m:fPr>
                    <m:num>
                      <m:r>
                        <w:rPr>
                          <w:rFonts w:ascii="Cambria Math" w:eastAsia="Courier New" w:hAnsi="Cambria Math" w:cs="Courier New"/>
                          <w:color w:val="0D1B2A"/>
                        </w:rPr>
                        <m:t>Rdisk</m:t>
                      </m:r>
                    </m:num>
                    <m:den>
                      <m:r>
                        <w:rPr>
                          <w:rFonts w:ascii="Cambria Math" w:eastAsia="Courier New" w:hAnsi="Cambria Math" w:cs="Courier New"/>
                          <w:color w:val="0D1B2A"/>
                        </w:rPr>
                        <m:t>Rdisk</m:t>
                      </m:r>
                    </m:den>
                  </m:f>
                  <m:r>
                    <w:rPr>
                      <w:rFonts w:ascii="Cambria Math" w:eastAsia="Courier New" w:hAnsi="Cambria Math" w:cs="Courier New"/>
                      <w:color w:val="0D1B2A"/>
                    </w:rPr>
                    <m:t>,ref</m:t>
                  </m:r>
                </m:e>
              </m:d>
            </m:e>
            <m:sup>
              <m:r>
                <w:rPr>
                  <w:rFonts w:ascii="Cambria Math" w:eastAsia="Courier New" w:hAnsi="Cambria Math" w:cs="Courier New"/>
                  <w:color w:val="0D1B2A"/>
                </w:rPr>
                <m:t>β</m:t>
              </m:r>
            </m:sup>
          </m:sSup>
        </m:oMath>
      </m:oMathPara>
    </w:p>
    <w:p w14:paraId="68F3DA2B" w14:textId="7F8B96A1" w:rsidR="000F6D48" w:rsidRDefault="00461A1D">
      <w:pPr>
        <w:spacing w:before="60" w:after="100" w:line="340" w:lineRule="auto"/>
      </w:pPr>
      <w:r>
        <w:t>With two fitted parameters (</w:t>
      </w:r>
      <m:oMath>
        <m:r>
          <w:rPr>
            <w:rFonts w:ascii="Cambria Math" w:hAnsi="Cambria Math"/>
          </w:rPr>
          <m:t>Q</m:t>
        </m:r>
      </m:oMath>
      <w:r>
        <w:t xml:space="preserve">, </w:t>
      </w:r>
      <m:oMath>
        <m:r>
          <w:rPr>
            <w:rFonts w:ascii="Cambria Math" w:hAnsi="Cambria Math"/>
          </w:rPr>
          <m:t>β</m:t>
        </m:r>
      </m:oMath>
      <w:r>
        <w:t>) — one of which could potentially be held universal across the sample — the model would have the same parameter budget as CDM's NFW fit (</w:t>
      </w:r>
      <m:oMath>
        <m:r>
          <w:rPr>
            <w:rFonts w:ascii="Cambria Math" w:hAnsi="Cambria Math"/>
          </w:rPr>
          <m:t>c</m:t>
        </m:r>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vir</m:t>
            </m:r>
          </m:sub>
        </m:sSub>
      </m:oMath>
      <w:r>
        <w:t xml:space="preserve">). A fair head-to-head comparison would then be achievable. The critical validation step is leave-one-out or k-fold cross-validation: compute </w:t>
      </w:r>
      <m:oMath>
        <m:sSubSup>
          <m:sSubSupPr>
            <m:ctrlPr>
              <w:rPr>
                <w:rFonts w:ascii="Cambria Math" w:hAnsi="Cambria Math"/>
                <w:i/>
              </w:rPr>
            </m:ctrlPr>
          </m:sSubSupPr>
          <m:e>
            <m:r>
              <w:rPr>
                <w:rFonts w:ascii="Cambria Math" w:hAnsi="Cambria Math"/>
              </w:rPr>
              <m:t>χ</m:t>
            </m:r>
          </m:e>
          <m:sub>
            <m:r>
              <w:rPr>
                <w:rFonts w:ascii="Cambria Math" w:hAnsi="Cambria Math"/>
              </w:rPr>
              <m:t>CV</m:t>
            </m:r>
          </m:sub>
          <m:sup>
            <m:r>
              <w:rPr>
                <w:rFonts w:ascii="Cambria Math" w:hAnsi="Cambria Math"/>
              </w:rPr>
              <m:t>2</m:t>
            </m:r>
          </m:sup>
        </m:sSubSup>
      </m:oMath>
      <w:r>
        <w:t xml:space="preserve"> to verify that the improvement is not solely from in-sample flexibility.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D48" w14:paraId="766BA8C7" w14:textId="77777777">
        <w:tblPrEx>
          <w:tblCellMar>
            <w:top w:w="0" w:type="dxa"/>
            <w:bottom w:w="0" w:type="dxa"/>
          </w:tblCellMar>
        </w:tblPrEx>
        <w:tc>
          <w:tcPr>
            <w:tcW w:w="9360" w:type="dxa"/>
            <w:tcBorders>
              <w:left w:val="thick" w:sz="14" w:space="0" w:color="1A6B64"/>
            </w:tcBorders>
            <w:shd w:val="clear" w:color="auto" w:fill="EFF8F6"/>
            <w:tcMar>
              <w:top w:w="120" w:type="dxa"/>
              <w:left w:w="220" w:type="dxa"/>
              <w:bottom w:w="120" w:type="dxa"/>
              <w:right w:w="160" w:type="dxa"/>
            </w:tcMar>
          </w:tcPr>
          <w:p w14:paraId="6E059309" w14:textId="77777777" w:rsidR="000F6D48" w:rsidRDefault="00461A1D">
            <w:pPr>
              <w:spacing w:after="60"/>
            </w:pPr>
            <w:r>
              <w:rPr>
                <w:b/>
                <w:bCs/>
                <w:color w:val="1A6B64"/>
                <w:sz w:val="19"/>
                <w:szCs w:val="19"/>
              </w:rPr>
              <w:t>Implementation note: all six actions are achievable within the existing sparc_rotmod_runner.py infrastructure</w:t>
            </w:r>
          </w:p>
          <w:p w14:paraId="66E6C44B" w14:textId="77777777" w:rsidR="000F6D48" w:rsidRDefault="00461A1D">
            <w:pPr>
              <w:spacing w:after="50" w:line="320" w:lineRule="auto"/>
            </w:pPr>
            <w:r>
              <w:rPr>
                <w:sz w:val="20"/>
                <w:szCs w:val="20"/>
              </w:rPr>
              <w:t>Actions 1–3 require only modified command-line parameters or minor post-processing scripts.</w:t>
            </w:r>
          </w:p>
          <w:p w14:paraId="3E054D2F" w14:textId="77777777" w:rsidR="000F6D48" w:rsidRDefault="00461A1D">
            <w:pPr>
              <w:spacing w:after="50" w:line="320" w:lineRule="auto"/>
            </w:pPr>
            <w:r>
              <w:rPr>
                <w:sz w:val="20"/>
                <w:szCs w:val="20"/>
              </w:rPr>
              <w:t>Action 4 is theoretical but follows directly from the covariant sketch already in the manuscript appendix.</w:t>
            </w:r>
          </w:p>
          <w:p w14:paraId="6C6ED90A" w14:textId="77777777" w:rsidR="000F6D48" w:rsidRDefault="00461A1D">
            <w:pPr>
              <w:spacing w:after="50" w:line="320" w:lineRule="auto"/>
            </w:pPr>
            <w:r>
              <w:rPr>
                <w:sz w:val="20"/>
                <w:szCs w:val="20"/>
              </w:rPr>
              <w:t>Actions 5–6 require new code but the framework (runner, per-galaxy CSVs, summary statistics) is already in place.</w:t>
            </w:r>
          </w:p>
          <w:p w14:paraId="73895415" w14:textId="77777777" w:rsidR="000F6D48" w:rsidRDefault="00461A1D">
            <w:pPr>
              <w:spacing w:after="50" w:line="320" w:lineRule="auto"/>
            </w:pPr>
            <w:r>
              <w:rPr>
                <w:sz w:val="20"/>
                <w:szCs w:val="20"/>
              </w:rPr>
              <w:t>The correlation and partial-correlation tooling already in the repository enables Actions 1–3 with minimal additional work.</w:t>
            </w:r>
          </w:p>
        </w:tc>
      </w:tr>
    </w:tbl>
    <w:p w14:paraId="695B7B5E" w14:textId="77777777" w:rsidR="00C70DC6" w:rsidRDefault="00C70DC6">
      <w:pPr>
        <w:pStyle w:val="Heading1"/>
        <w:sectPr w:rsidR="00C70DC6">
          <w:pgSz w:w="12240" w:h="15840"/>
          <w:pgMar w:top="1200" w:right="1200" w:bottom="1200" w:left="1200" w:header="708" w:footer="708" w:gutter="0"/>
          <w:cols w:space="720"/>
          <w:docGrid w:linePitch="360"/>
        </w:sectPr>
      </w:pPr>
    </w:p>
    <w:p w14:paraId="1B36E3F0" w14:textId="77777777" w:rsidR="000F6D48" w:rsidRDefault="00461A1D">
      <w:pPr>
        <w:pStyle w:val="Heading1"/>
      </w:pPr>
      <w:bookmarkStart w:id="25" w:name="_Toc222461583"/>
      <w:r>
        <w:t>6.  Consolidated Assessment Matrix</w:t>
      </w:r>
      <w:bookmarkEnd w:id="25"/>
    </w:p>
    <w:p w14:paraId="23D33B97" w14:textId="77777777" w:rsidR="000F6D48" w:rsidRDefault="000F6D48">
      <w:pPr>
        <w:pBdr>
          <w:bottom w:val="single" w:sz="4" w:space="1" w:color="2B4070"/>
        </w:pBdr>
        <w:spacing w:after="60"/>
      </w:pPr>
    </w:p>
    <w:p w14:paraId="79A1DBAE" w14:textId="77777777" w:rsidR="000F6D48" w:rsidRDefault="000F6D48">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000"/>
        <w:gridCol w:w="2400"/>
        <w:gridCol w:w="3200"/>
      </w:tblGrid>
      <w:tr w:rsidR="00C70DC6" w14:paraId="56A55AFE" w14:textId="77777777">
        <w:tblPrEx>
          <w:tblCellMar>
            <w:top w:w="0" w:type="dxa"/>
            <w:bottom w:w="0" w:type="dxa"/>
          </w:tblCellMar>
        </w:tblPrEx>
        <w:tc>
          <w:tcPr>
            <w:tcW w:w="1760" w:type="dxa"/>
            <w:shd w:val="clear" w:color="auto" w:fill="0D1B2A"/>
            <w:tcMar>
              <w:top w:w="70" w:type="dxa"/>
              <w:left w:w="120" w:type="dxa"/>
              <w:bottom w:w="70" w:type="dxa"/>
              <w:right w:w="120" w:type="dxa"/>
            </w:tcMar>
            <w:vAlign w:val="center"/>
          </w:tcPr>
          <w:p w14:paraId="51759B85" w14:textId="77777777" w:rsidR="000F6D48" w:rsidRDefault="00461A1D">
            <w:r>
              <w:rPr>
                <w:b/>
                <w:bCs/>
                <w:color w:val="FFFFFF"/>
                <w:sz w:val="19"/>
                <w:szCs w:val="19"/>
              </w:rPr>
              <w:t>Dimension</w:t>
            </w:r>
          </w:p>
        </w:tc>
        <w:tc>
          <w:tcPr>
            <w:tcW w:w="2000" w:type="dxa"/>
            <w:shd w:val="clear" w:color="auto" w:fill="0D1B2A"/>
            <w:tcMar>
              <w:top w:w="70" w:type="dxa"/>
              <w:left w:w="120" w:type="dxa"/>
              <w:bottom w:w="70" w:type="dxa"/>
              <w:right w:w="120" w:type="dxa"/>
            </w:tcMar>
            <w:vAlign w:val="center"/>
          </w:tcPr>
          <w:p w14:paraId="27DC1A28" w14:textId="77777777" w:rsidR="000F6D48" w:rsidRDefault="00461A1D">
            <w:pPr>
              <w:jc w:val="center"/>
            </w:pPr>
            <w:r>
              <w:rPr>
                <w:b/>
                <w:bCs/>
                <w:color w:val="FFFFFF"/>
                <w:sz w:val="19"/>
                <w:szCs w:val="19"/>
              </w:rPr>
              <w:t>Current Status</w:t>
            </w:r>
          </w:p>
        </w:tc>
        <w:tc>
          <w:tcPr>
            <w:tcW w:w="2400" w:type="dxa"/>
            <w:shd w:val="clear" w:color="auto" w:fill="0D1B2A"/>
            <w:tcMar>
              <w:top w:w="70" w:type="dxa"/>
              <w:left w:w="120" w:type="dxa"/>
              <w:bottom w:w="70" w:type="dxa"/>
              <w:right w:w="120" w:type="dxa"/>
            </w:tcMar>
            <w:vAlign w:val="center"/>
          </w:tcPr>
          <w:p w14:paraId="41E42608" w14:textId="77777777" w:rsidR="000F6D48" w:rsidRDefault="00461A1D">
            <w:pPr>
              <w:jc w:val="center"/>
            </w:pPr>
            <w:r>
              <w:rPr>
                <w:b/>
                <w:bCs/>
                <w:color w:val="FFFFFF"/>
                <w:sz w:val="19"/>
                <w:szCs w:val="19"/>
              </w:rPr>
              <w:t>Gap / Issue</w:t>
            </w:r>
          </w:p>
        </w:tc>
        <w:tc>
          <w:tcPr>
            <w:tcW w:w="3200" w:type="dxa"/>
            <w:shd w:val="clear" w:color="auto" w:fill="0D1B2A"/>
            <w:tcMar>
              <w:top w:w="70" w:type="dxa"/>
              <w:left w:w="120" w:type="dxa"/>
              <w:bottom w:w="70" w:type="dxa"/>
              <w:right w:w="120" w:type="dxa"/>
            </w:tcMar>
            <w:vAlign w:val="center"/>
          </w:tcPr>
          <w:p w14:paraId="6893CEE8" w14:textId="77777777" w:rsidR="000F6D48" w:rsidRDefault="00461A1D">
            <w:pPr>
              <w:jc w:val="center"/>
            </w:pPr>
            <w:r>
              <w:rPr>
                <w:b/>
                <w:bCs/>
                <w:color w:val="FFFFFF"/>
                <w:sz w:val="19"/>
                <w:szCs w:val="19"/>
              </w:rPr>
              <w:t>Priority Fix</w:t>
            </w:r>
          </w:p>
        </w:tc>
      </w:tr>
      <w:tr w:rsidR="00C70DC6" w14:paraId="4F5D9601" w14:textId="77777777">
        <w:tblPrEx>
          <w:tblCellMar>
            <w:top w:w="0" w:type="dxa"/>
            <w:bottom w:w="0" w:type="dxa"/>
          </w:tblCellMar>
        </w:tblPrEx>
        <w:tc>
          <w:tcPr>
            <w:tcW w:w="1760" w:type="dxa"/>
            <w:shd w:val="clear" w:color="auto" w:fill="F5F6F8"/>
            <w:tcMar>
              <w:top w:w="70" w:type="dxa"/>
              <w:left w:w="120" w:type="dxa"/>
              <w:bottom w:w="70" w:type="dxa"/>
              <w:right w:w="120" w:type="dxa"/>
            </w:tcMar>
            <w:vAlign w:val="center"/>
          </w:tcPr>
          <w:p w14:paraId="7A75F51C" w14:textId="6A7646F6" w:rsidR="000F6D48" w:rsidRDefault="00C70DC6">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sidR="00461A1D">
              <w:rPr>
                <w:sz w:val="20"/>
                <w:szCs w:val="20"/>
              </w:rPr>
              <w:t xml:space="preserve"> improvement</w:t>
            </w:r>
          </w:p>
        </w:tc>
        <w:tc>
          <w:tcPr>
            <w:tcW w:w="2000" w:type="dxa"/>
            <w:shd w:val="clear" w:color="auto" w:fill="F5F6F8"/>
            <w:tcMar>
              <w:top w:w="70" w:type="dxa"/>
              <w:left w:w="120" w:type="dxa"/>
              <w:bottom w:w="70" w:type="dxa"/>
              <w:right w:w="120" w:type="dxa"/>
            </w:tcMar>
            <w:vAlign w:val="center"/>
          </w:tcPr>
          <w:p w14:paraId="1A49394C" w14:textId="5909B6D4" w:rsidR="000F6D48" w:rsidRDefault="00461A1D">
            <w:pPr>
              <w:jc w:val="center"/>
            </w:pPr>
            <w:r>
              <w:rPr>
                <w:sz w:val="20"/>
                <w:szCs w:val="20"/>
              </w:rPr>
              <w:t xml:space="preserve">92% very-strong </w:t>
            </w:r>
            <m:oMath>
              <m:r>
                <w:rPr>
                  <w:rFonts w:ascii="Cambria Math" w:hAnsi="Cambria Math"/>
                  <w:sz w:val="20"/>
                  <w:szCs w:val="20"/>
                </w:rPr>
                <m:t>Δ</m:t>
              </m:r>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class</w:t>
            </w:r>
          </w:p>
        </w:tc>
        <w:tc>
          <w:tcPr>
            <w:tcW w:w="2400" w:type="dxa"/>
            <w:shd w:val="clear" w:color="auto" w:fill="F5F6F8"/>
            <w:tcMar>
              <w:top w:w="70" w:type="dxa"/>
              <w:left w:w="120" w:type="dxa"/>
              <w:bottom w:w="70" w:type="dxa"/>
              <w:right w:w="120" w:type="dxa"/>
            </w:tcMar>
            <w:vAlign w:val="center"/>
          </w:tcPr>
          <w:p w14:paraId="0627D17C" w14:textId="123E1D9F" w:rsidR="000F6D48" w:rsidRDefault="00C70DC6">
            <w:pPr>
              <w:jc w:val="center"/>
            </w:pPr>
            <m:oMath>
              <m:r>
                <w:rPr>
                  <w:rFonts w:ascii="Cambria Math" w:hAnsi="Cambria Math"/>
                  <w:sz w:val="20"/>
                  <w:szCs w:val="20"/>
                </w:rPr>
                <m:t>r</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oMath>
            <w:r w:rsidR="00461A1D">
              <w:rPr>
                <w:sz w:val="20"/>
                <w:szCs w:val="20"/>
              </w:rPr>
              <w:t xml:space="preserve"> </w:t>
            </w:r>
            <m:oMath>
              <m:r>
                <w:rPr>
                  <w:rFonts w:ascii="Cambria Math" w:hAnsi="Cambria Math"/>
                  <w:sz w:val="20"/>
                  <w:szCs w:val="20"/>
                </w:rPr>
                <m:t>median = 5.38</m:t>
              </m:r>
            </m:oMath>
            <w:r w:rsidR="00461A1D">
              <w:rPr>
                <w:sz w:val="20"/>
                <w:szCs w:val="20"/>
              </w:rPr>
              <w:t xml:space="preserve">; grows to 15 for </w:t>
            </w:r>
            <m:oMath>
              <m:r>
                <w:rPr>
                  <w:rFonts w:ascii="Cambria Math" w:hAnsi="Cambria Math"/>
                  <w:sz w:val="20"/>
                  <w:szCs w:val="20"/>
                </w:rPr>
                <m:t>n &gt; 25</m:t>
              </m:r>
            </m:oMath>
            <w:r w:rsidR="00461A1D">
              <w:rPr>
                <w:sz w:val="20"/>
                <w:szCs w:val="20"/>
              </w:rPr>
              <w:t xml:space="preserve"> pts</w:t>
            </w:r>
          </w:p>
        </w:tc>
        <w:tc>
          <w:tcPr>
            <w:tcW w:w="3200" w:type="dxa"/>
            <w:shd w:val="clear" w:color="auto" w:fill="F5F6F8"/>
            <w:tcMar>
              <w:top w:w="70" w:type="dxa"/>
              <w:left w:w="120" w:type="dxa"/>
              <w:bottom w:w="70" w:type="dxa"/>
              <w:right w:w="120" w:type="dxa"/>
            </w:tcMar>
            <w:vAlign w:val="center"/>
          </w:tcPr>
          <w:p w14:paraId="409C305A" w14:textId="24356C57" w:rsidR="000F6D48" w:rsidRDefault="00461A1D">
            <w:pPr>
              <w:jc w:val="center"/>
            </w:pPr>
            <w:r>
              <w:rPr>
                <w:sz w:val="20"/>
                <w:szCs w:val="20"/>
              </w:rPr>
              <w:t xml:space="preserve">Honest presentation of absolute fit quality alongside </w:t>
            </w:r>
            <m:oMath>
              <m:r>
                <w:rPr>
                  <w:rFonts w:ascii="Cambria Math" w:hAnsi="Cambria Math"/>
                  <w:sz w:val="20"/>
                  <w:szCs w:val="20"/>
                </w:rPr>
                <m:t>Δχ²</m:t>
              </m:r>
            </m:oMath>
          </w:p>
        </w:tc>
      </w:tr>
      <w:tr w:rsidR="00C70DC6" w14:paraId="3067F2A8" w14:textId="77777777">
        <w:tblPrEx>
          <w:tblCellMar>
            <w:top w:w="0" w:type="dxa"/>
            <w:bottom w:w="0" w:type="dxa"/>
          </w:tblCellMar>
        </w:tblPrEx>
        <w:tc>
          <w:tcPr>
            <w:tcW w:w="1760" w:type="dxa"/>
            <w:shd w:val="clear" w:color="auto" w:fill="FFFFFF"/>
            <w:tcMar>
              <w:top w:w="70" w:type="dxa"/>
              <w:left w:w="120" w:type="dxa"/>
              <w:bottom w:w="70" w:type="dxa"/>
              <w:right w:w="120" w:type="dxa"/>
            </w:tcMar>
            <w:vAlign w:val="center"/>
          </w:tcPr>
          <w:p w14:paraId="37FDF6A1" w14:textId="77777777" w:rsidR="000F6D48" w:rsidRDefault="00461A1D">
            <w:r>
              <w:rPr>
                <w:sz w:val="20"/>
                <w:szCs w:val="20"/>
              </w:rPr>
              <w:t>Overfitting (AIC/BIC)</w:t>
            </w:r>
          </w:p>
        </w:tc>
        <w:tc>
          <w:tcPr>
            <w:tcW w:w="2000" w:type="dxa"/>
            <w:shd w:val="clear" w:color="auto" w:fill="FFFFFF"/>
            <w:tcMar>
              <w:top w:w="70" w:type="dxa"/>
              <w:left w:w="120" w:type="dxa"/>
              <w:bottom w:w="70" w:type="dxa"/>
              <w:right w:w="120" w:type="dxa"/>
            </w:tcMar>
            <w:vAlign w:val="center"/>
          </w:tcPr>
          <w:p w14:paraId="24EB593A" w14:textId="77777777" w:rsidR="000F6D48" w:rsidRDefault="00461A1D">
            <w:pPr>
              <w:jc w:val="center"/>
            </w:pPr>
            <w:r>
              <w:rPr>
                <w:sz w:val="20"/>
                <w:szCs w:val="20"/>
              </w:rPr>
              <w:t>97% galaxies pass BIC test</w:t>
            </w:r>
          </w:p>
        </w:tc>
        <w:tc>
          <w:tcPr>
            <w:tcW w:w="2400" w:type="dxa"/>
            <w:shd w:val="clear" w:color="auto" w:fill="FFFFFF"/>
            <w:tcMar>
              <w:top w:w="70" w:type="dxa"/>
              <w:left w:w="120" w:type="dxa"/>
              <w:bottom w:w="70" w:type="dxa"/>
              <w:right w:w="120" w:type="dxa"/>
            </w:tcMar>
            <w:vAlign w:val="center"/>
          </w:tcPr>
          <w:p w14:paraId="73CADEA2" w14:textId="38CF04AC" w:rsidR="000F6D48" w:rsidRDefault="00461A1D">
            <w:pPr>
              <w:jc w:val="center"/>
            </w:pPr>
            <w:r>
              <w:rPr>
                <w:sz w:val="20"/>
                <w:szCs w:val="20"/>
              </w:rPr>
              <w:t xml:space="preserve">5 sparse galaxies rightly </w:t>
            </w:r>
            <w:r w:rsidR="00C70DC6">
              <w:rPr>
                <w:sz w:val="20"/>
                <w:szCs w:val="20"/>
              </w:rPr>
              <w:t>disfavored</w:t>
            </w:r>
          </w:p>
        </w:tc>
        <w:tc>
          <w:tcPr>
            <w:tcW w:w="3200" w:type="dxa"/>
            <w:shd w:val="clear" w:color="auto" w:fill="FFFFFF"/>
            <w:tcMar>
              <w:top w:w="70" w:type="dxa"/>
              <w:left w:w="120" w:type="dxa"/>
              <w:bottom w:w="70" w:type="dxa"/>
              <w:right w:w="120" w:type="dxa"/>
            </w:tcMar>
            <w:vAlign w:val="center"/>
          </w:tcPr>
          <w:p w14:paraId="48CBE184" w14:textId="77777777" w:rsidR="000F6D48" w:rsidRDefault="00461A1D">
            <w:pPr>
              <w:jc w:val="center"/>
            </w:pPr>
            <w:r>
              <w:rPr>
                <w:sz w:val="20"/>
                <w:szCs w:val="20"/>
              </w:rPr>
              <w:t>Already handled; no fix needed</w:t>
            </w:r>
          </w:p>
        </w:tc>
      </w:tr>
      <w:tr w:rsidR="00C70DC6" w14:paraId="68DEDB8E" w14:textId="77777777">
        <w:tblPrEx>
          <w:tblCellMar>
            <w:top w:w="0" w:type="dxa"/>
            <w:bottom w:w="0" w:type="dxa"/>
          </w:tblCellMar>
        </w:tblPrEx>
        <w:tc>
          <w:tcPr>
            <w:tcW w:w="1760" w:type="dxa"/>
            <w:shd w:val="clear" w:color="auto" w:fill="F5F6F8"/>
            <w:tcMar>
              <w:top w:w="70" w:type="dxa"/>
              <w:left w:w="120" w:type="dxa"/>
              <w:bottom w:w="70" w:type="dxa"/>
              <w:right w:w="120" w:type="dxa"/>
            </w:tcMar>
            <w:vAlign w:val="center"/>
          </w:tcPr>
          <w:p w14:paraId="590E2F93" w14:textId="77777777" w:rsidR="000F6D48" w:rsidRDefault="00461A1D">
            <w:r>
              <w:rPr>
                <w:sz w:val="20"/>
                <w:szCs w:val="20"/>
              </w:rPr>
              <w:t>DOF fairness vs MOND</w:t>
            </w:r>
          </w:p>
        </w:tc>
        <w:tc>
          <w:tcPr>
            <w:tcW w:w="2000" w:type="dxa"/>
            <w:shd w:val="clear" w:color="auto" w:fill="F5F6F8"/>
            <w:tcMar>
              <w:top w:w="70" w:type="dxa"/>
              <w:left w:w="120" w:type="dxa"/>
              <w:bottom w:w="70" w:type="dxa"/>
              <w:right w:w="120" w:type="dxa"/>
            </w:tcMar>
            <w:vAlign w:val="center"/>
          </w:tcPr>
          <w:p w14:paraId="1043F78B" w14:textId="77777777" w:rsidR="000F6D48" w:rsidRDefault="00461A1D">
            <w:pPr>
              <w:jc w:val="center"/>
            </w:pPr>
            <w:r>
              <w:rPr>
                <w:sz w:val="20"/>
                <w:szCs w:val="20"/>
              </w:rPr>
              <w:t>1 free param/galaxy vs MOND's 0</w:t>
            </w:r>
          </w:p>
        </w:tc>
        <w:tc>
          <w:tcPr>
            <w:tcW w:w="2400" w:type="dxa"/>
            <w:shd w:val="clear" w:color="auto" w:fill="F5F6F8"/>
            <w:tcMar>
              <w:top w:w="70" w:type="dxa"/>
              <w:left w:w="120" w:type="dxa"/>
              <w:bottom w:w="70" w:type="dxa"/>
              <w:right w:w="120" w:type="dxa"/>
            </w:tcMar>
            <w:vAlign w:val="center"/>
          </w:tcPr>
          <w:p w14:paraId="1A7C3A82" w14:textId="70DD44CB" w:rsidR="000F6D48" w:rsidRDefault="00461A1D">
            <w:pPr>
              <w:jc w:val="center"/>
            </w:pPr>
            <w:r>
              <w:rPr>
                <w:sz w:val="20"/>
                <w:szCs w:val="20"/>
              </w:rPr>
              <w:t xml:space="preserve">Per-galaxy </w:t>
            </w:r>
            <m:oMath>
              <m:r>
                <w:rPr>
                  <w:rFonts w:ascii="Cambria Math" w:hAnsi="Cambria Math"/>
                  <w:sz w:val="20"/>
                  <w:szCs w:val="20"/>
                </w:rPr>
                <m:t>Q</m:t>
              </m:r>
            </m:oMath>
            <w:r>
              <w:rPr>
                <w:sz w:val="20"/>
                <w:szCs w:val="20"/>
              </w:rPr>
              <w:t xml:space="preserve"> </w:t>
            </w:r>
            <w:r w:rsidR="00C70DC6">
              <w:rPr>
                <w:sz w:val="20"/>
                <w:szCs w:val="20"/>
              </w:rPr>
              <w:t>penalized</w:t>
            </w:r>
            <w:r>
              <w:rPr>
                <w:sz w:val="20"/>
                <w:szCs w:val="20"/>
              </w:rPr>
              <w:t>; BTF-anchor test missing</w:t>
            </w:r>
          </w:p>
        </w:tc>
        <w:tc>
          <w:tcPr>
            <w:tcW w:w="3200" w:type="dxa"/>
            <w:shd w:val="clear" w:color="auto" w:fill="F5F6F8"/>
            <w:tcMar>
              <w:top w:w="70" w:type="dxa"/>
              <w:left w:w="120" w:type="dxa"/>
              <w:bottom w:w="70" w:type="dxa"/>
              <w:right w:w="120" w:type="dxa"/>
            </w:tcMar>
            <w:vAlign w:val="center"/>
          </w:tcPr>
          <w:p w14:paraId="2ADD4ABF" w14:textId="77777777" w:rsidR="000F6D48" w:rsidRDefault="00461A1D">
            <w:pPr>
              <w:jc w:val="center"/>
            </w:pPr>
            <w:r>
              <w:rPr>
                <w:sz w:val="20"/>
                <w:szCs w:val="20"/>
              </w:rPr>
              <w:t>Compute BTF-anchored global model (Action 1)</w:t>
            </w:r>
          </w:p>
        </w:tc>
      </w:tr>
      <w:tr w:rsidR="00C70DC6" w14:paraId="4D0920A3" w14:textId="77777777">
        <w:tblPrEx>
          <w:tblCellMar>
            <w:top w:w="0" w:type="dxa"/>
            <w:bottom w:w="0" w:type="dxa"/>
          </w:tblCellMar>
        </w:tblPrEx>
        <w:tc>
          <w:tcPr>
            <w:tcW w:w="1760" w:type="dxa"/>
            <w:shd w:val="clear" w:color="auto" w:fill="FFFFFF"/>
            <w:tcMar>
              <w:top w:w="70" w:type="dxa"/>
              <w:left w:w="120" w:type="dxa"/>
              <w:bottom w:w="70" w:type="dxa"/>
              <w:right w:w="120" w:type="dxa"/>
            </w:tcMar>
            <w:vAlign w:val="center"/>
          </w:tcPr>
          <w:p w14:paraId="5978AB8D" w14:textId="77777777" w:rsidR="000F6D48" w:rsidRDefault="00461A1D">
            <w:r>
              <w:rPr>
                <w:sz w:val="20"/>
                <w:szCs w:val="20"/>
              </w:rPr>
              <w:t>MOND benchmark</w:t>
            </w:r>
          </w:p>
        </w:tc>
        <w:tc>
          <w:tcPr>
            <w:tcW w:w="2000" w:type="dxa"/>
            <w:shd w:val="clear" w:color="auto" w:fill="FFFFFF"/>
            <w:tcMar>
              <w:top w:w="70" w:type="dxa"/>
              <w:left w:w="120" w:type="dxa"/>
              <w:bottom w:w="70" w:type="dxa"/>
              <w:right w:w="120" w:type="dxa"/>
            </w:tcMar>
            <w:vAlign w:val="center"/>
          </w:tcPr>
          <w:p w14:paraId="055A1A4A" w14:textId="77777777" w:rsidR="000F6D48" w:rsidRDefault="00461A1D">
            <w:pPr>
              <w:jc w:val="center"/>
            </w:pPr>
            <w:r>
              <w:rPr>
                <w:sz w:val="20"/>
                <w:szCs w:val="20"/>
              </w:rPr>
              <w:t>Not formally computed</w:t>
            </w:r>
          </w:p>
        </w:tc>
        <w:tc>
          <w:tcPr>
            <w:tcW w:w="2400" w:type="dxa"/>
            <w:shd w:val="clear" w:color="auto" w:fill="FFFFFF"/>
            <w:tcMar>
              <w:top w:w="70" w:type="dxa"/>
              <w:left w:w="120" w:type="dxa"/>
              <w:bottom w:w="70" w:type="dxa"/>
              <w:right w:w="120" w:type="dxa"/>
            </w:tcMar>
            <w:vAlign w:val="center"/>
          </w:tcPr>
          <w:p w14:paraId="6CAF4918" w14:textId="3FF239A7" w:rsidR="000F6D48" w:rsidRDefault="00C70DC6">
            <w:pPr>
              <w:jc w:val="center"/>
            </w:pPr>
            <m:oMath>
              <m:r>
                <w:rPr>
                  <w:rFonts w:ascii="Cambria Math" w:hAnsi="Cambria Math"/>
                  <w:sz w:val="20"/>
                  <w:szCs w:val="20"/>
                </w:rPr>
                <m:t>Li+2018</m:t>
              </m:r>
            </m:oMath>
            <w:r w:rsidR="00461A1D">
              <w:rPr>
                <w:sz w:val="20"/>
                <w:szCs w:val="20"/>
              </w:rPr>
              <w:t xml:space="preserve"> </w:t>
            </w:r>
            <m:oMath>
              <m:r>
                <w:rPr>
                  <w:rFonts w:ascii="Cambria Math" w:hAnsi="Cambria Math"/>
                  <w:sz w:val="20"/>
                  <w:szCs w:val="20"/>
                </w:rPr>
                <m:t>r</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MOND</m:t>
                  </m:r>
                </m:sub>
                <m:sup>
                  <m:r>
                    <w:rPr>
                      <w:rFonts w:ascii="Cambria Math" w:hAnsi="Cambria Math"/>
                      <w:sz w:val="20"/>
                      <w:szCs w:val="20"/>
                    </w:rPr>
                    <m:t>2</m:t>
                  </m:r>
                </m:sup>
              </m:sSubSup>
              <m:r>
                <w:rPr>
                  <w:rFonts w:ascii="Cambria Math" w:hAnsi="Cambria Math"/>
                  <w:sz w:val="20"/>
                  <w:szCs w:val="20"/>
                </w:rPr>
                <m:t>~ 4.8</m:t>
              </m:r>
            </m:oMath>
            <w:r w:rsidR="00461A1D">
              <w:rPr>
                <w:sz w:val="20"/>
                <w:szCs w:val="20"/>
              </w:rPr>
              <w:t xml:space="preserve"> vs edge-response ~ 5.38</w:t>
            </w:r>
          </w:p>
        </w:tc>
        <w:tc>
          <w:tcPr>
            <w:tcW w:w="3200" w:type="dxa"/>
            <w:shd w:val="clear" w:color="auto" w:fill="FFFFFF"/>
            <w:tcMar>
              <w:top w:w="70" w:type="dxa"/>
              <w:left w:w="120" w:type="dxa"/>
              <w:bottom w:w="70" w:type="dxa"/>
              <w:right w:w="120" w:type="dxa"/>
            </w:tcMar>
            <w:vAlign w:val="center"/>
          </w:tcPr>
          <w:p w14:paraId="1B94111C" w14:textId="77777777" w:rsidR="000F6D48" w:rsidRDefault="00461A1D">
            <w:pPr>
              <w:jc w:val="center"/>
            </w:pPr>
            <w:r>
              <w:rPr>
                <w:sz w:val="20"/>
                <w:szCs w:val="20"/>
              </w:rPr>
              <w:t>Compute RAR scatter, direct comparison (Action 2)</w:t>
            </w:r>
          </w:p>
        </w:tc>
      </w:tr>
      <w:tr w:rsidR="00C70DC6" w14:paraId="1A04A937" w14:textId="77777777">
        <w:tblPrEx>
          <w:tblCellMar>
            <w:top w:w="0" w:type="dxa"/>
            <w:bottom w:w="0" w:type="dxa"/>
          </w:tblCellMar>
        </w:tblPrEx>
        <w:tc>
          <w:tcPr>
            <w:tcW w:w="1760" w:type="dxa"/>
            <w:shd w:val="clear" w:color="auto" w:fill="F5F6F8"/>
            <w:tcMar>
              <w:top w:w="70" w:type="dxa"/>
              <w:left w:w="120" w:type="dxa"/>
              <w:bottom w:w="70" w:type="dxa"/>
              <w:right w:w="120" w:type="dxa"/>
            </w:tcMar>
            <w:vAlign w:val="center"/>
          </w:tcPr>
          <w:p w14:paraId="1D428BDF" w14:textId="77777777" w:rsidR="000F6D48" w:rsidRDefault="00461A1D">
            <w:r>
              <w:rPr>
                <w:sz w:val="20"/>
                <w:szCs w:val="20"/>
              </w:rPr>
              <w:t>CDM benchmark</w:t>
            </w:r>
          </w:p>
        </w:tc>
        <w:tc>
          <w:tcPr>
            <w:tcW w:w="2000" w:type="dxa"/>
            <w:shd w:val="clear" w:color="auto" w:fill="F5F6F8"/>
            <w:tcMar>
              <w:top w:w="70" w:type="dxa"/>
              <w:left w:w="120" w:type="dxa"/>
              <w:bottom w:w="70" w:type="dxa"/>
              <w:right w:w="120" w:type="dxa"/>
            </w:tcMar>
            <w:vAlign w:val="center"/>
          </w:tcPr>
          <w:p w14:paraId="1CFC9E8A" w14:textId="77777777" w:rsidR="000F6D48" w:rsidRDefault="00461A1D">
            <w:pPr>
              <w:jc w:val="center"/>
            </w:pPr>
            <w:r>
              <w:rPr>
                <w:sz w:val="20"/>
                <w:szCs w:val="20"/>
              </w:rPr>
              <w:t>Not attempted</w:t>
            </w:r>
          </w:p>
        </w:tc>
        <w:tc>
          <w:tcPr>
            <w:tcW w:w="2400" w:type="dxa"/>
            <w:shd w:val="clear" w:color="auto" w:fill="F5F6F8"/>
            <w:tcMar>
              <w:top w:w="70" w:type="dxa"/>
              <w:left w:w="120" w:type="dxa"/>
              <w:bottom w:w="70" w:type="dxa"/>
              <w:right w:w="120" w:type="dxa"/>
            </w:tcMar>
            <w:vAlign w:val="center"/>
          </w:tcPr>
          <w:p w14:paraId="225AD446" w14:textId="6353A935" w:rsidR="000F6D48" w:rsidRDefault="00461A1D">
            <w:pPr>
              <w:jc w:val="center"/>
            </w:pPr>
            <w:r>
              <w:rPr>
                <w:sz w:val="20"/>
                <w:szCs w:val="20"/>
              </w:rPr>
              <w:t xml:space="preserve">CDM likely achieves </w:t>
            </w:r>
            <m:oMath>
              <m:r>
                <w:rPr>
                  <w:rFonts w:ascii="Cambria Math" w:hAnsi="Cambria Math"/>
                  <w:sz w:val="20"/>
                  <w:szCs w:val="20"/>
                </w:rPr>
                <m:t>r</m:t>
              </m:r>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r>
                <w:rPr>
                  <w:rFonts w:ascii="Cambria Math" w:hAnsi="Cambria Math"/>
                  <w:sz w:val="20"/>
                  <w:szCs w:val="20"/>
                </w:rPr>
                <m:t>~ 1.5-3</m:t>
              </m:r>
            </m:oMath>
            <w:r>
              <w:rPr>
                <w:sz w:val="20"/>
                <w:szCs w:val="20"/>
              </w:rPr>
              <w:t xml:space="preserve"> with 2 params/galaxy</w:t>
            </w:r>
          </w:p>
        </w:tc>
        <w:tc>
          <w:tcPr>
            <w:tcW w:w="3200" w:type="dxa"/>
            <w:shd w:val="clear" w:color="auto" w:fill="F5F6F8"/>
            <w:tcMar>
              <w:top w:w="70" w:type="dxa"/>
              <w:left w:w="120" w:type="dxa"/>
              <w:bottom w:w="70" w:type="dxa"/>
              <w:right w:w="120" w:type="dxa"/>
            </w:tcMar>
            <w:vAlign w:val="center"/>
          </w:tcPr>
          <w:p w14:paraId="118E477E" w14:textId="77777777" w:rsidR="000F6D48" w:rsidRDefault="00461A1D">
            <w:pPr>
              <w:jc w:val="center"/>
            </w:pPr>
            <w:r>
              <w:rPr>
                <w:sz w:val="20"/>
                <w:szCs w:val="20"/>
              </w:rPr>
              <w:t>Compute or cite NFW fits (Action 2/6)</w:t>
            </w:r>
          </w:p>
        </w:tc>
      </w:tr>
      <w:tr w:rsidR="00C70DC6" w14:paraId="0634F26B" w14:textId="77777777">
        <w:tblPrEx>
          <w:tblCellMar>
            <w:top w:w="0" w:type="dxa"/>
            <w:bottom w:w="0" w:type="dxa"/>
          </w:tblCellMar>
        </w:tblPrEx>
        <w:tc>
          <w:tcPr>
            <w:tcW w:w="1760" w:type="dxa"/>
            <w:shd w:val="clear" w:color="auto" w:fill="FFFFFF"/>
            <w:tcMar>
              <w:top w:w="70" w:type="dxa"/>
              <w:left w:w="120" w:type="dxa"/>
              <w:bottom w:w="70" w:type="dxa"/>
              <w:right w:w="120" w:type="dxa"/>
            </w:tcMar>
            <w:vAlign w:val="center"/>
          </w:tcPr>
          <w:p w14:paraId="70D9F3E9" w14:textId="77777777" w:rsidR="000F6D48" w:rsidRDefault="00461A1D">
            <w:r>
              <w:rPr>
                <w:sz w:val="20"/>
                <w:szCs w:val="20"/>
              </w:rPr>
              <w:t>M/L systematics</w:t>
            </w:r>
          </w:p>
        </w:tc>
        <w:tc>
          <w:tcPr>
            <w:tcW w:w="2000" w:type="dxa"/>
            <w:shd w:val="clear" w:color="auto" w:fill="FFFFFF"/>
            <w:tcMar>
              <w:top w:w="70" w:type="dxa"/>
              <w:left w:w="120" w:type="dxa"/>
              <w:bottom w:w="70" w:type="dxa"/>
              <w:right w:w="120" w:type="dxa"/>
            </w:tcMar>
            <w:vAlign w:val="center"/>
          </w:tcPr>
          <w:p w14:paraId="746F366A" w14:textId="2A5A01AE" w:rsidR="000F6D48" w:rsidRDefault="00461A1D">
            <w:pPr>
              <w:jc w:val="center"/>
            </w:pPr>
            <w:r>
              <w:rPr>
                <w:sz w:val="20"/>
                <w:szCs w:val="20"/>
              </w:rPr>
              <w:t xml:space="preserve">Fixed Υ introduces </w:t>
            </w:r>
            <m:oMath>
              <m:r>
                <w:rPr>
                  <w:rFonts w:ascii="Cambria Math" w:hAnsi="Cambria Math"/>
                  <w:sz w:val="20"/>
                  <w:szCs w:val="20"/>
                </w:rPr>
                <m:t xml:space="preserve">~300 </m:t>
              </m:r>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units/galaxy</w:t>
            </w:r>
          </w:p>
        </w:tc>
        <w:tc>
          <w:tcPr>
            <w:tcW w:w="2400" w:type="dxa"/>
            <w:shd w:val="clear" w:color="auto" w:fill="FFFFFF"/>
            <w:tcMar>
              <w:top w:w="70" w:type="dxa"/>
              <w:left w:w="120" w:type="dxa"/>
              <w:bottom w:w="70" w:type="dxa"/>
              <w:right w:w="120" w:type="dxa"/>
            </w:tcMar>
            <w:vAlign w:val="center"/>
          </w:tcPr>
          <w:p w14:paraId="69877B9D" w14:textId="0FC739DB" w:rsidR="000F6D48" w:rsidRDefault="00461A1D">
            <w:pPr>
              <w:jc w:val="center"/>
            </w:pPr>
            <w:r>
              <w:rPr>
                <w:sz w:val="20"/>
                <w:szCs w:val="20"/>
              </w:rPr>
              <w:t xml:space="preserve">Uncertainty on </w:t>
            </w:r>
            <m:oMath>
              <m:r>
                <w:rPr>
                  <w:rFonts w:ascii="Cambria Math" w:hAnsi="Cambria Math"/>
                  <w:sz w:val="20"/>
                  <w:szCs w:val="20"/>
                </w:rPr>
                <m:t>Q</m:t>
              </m:r>
            </m:oMath>
            <w:r>
              <w:rPr>
                <w:sz w:val="20"/>
                <w:szCs w:val="20"/>
              </w:rPr>
              <w:t xml:space="preserve"> formally unbounded below</w:t>
            </w:r>
          </w:p>
        </w:tc>
        <w:tc>
          <w:tcPr>
            <w:tcW w:w="3200" w:type="dxa"/>
            <w:shd w:val="clear" w:color="auto" w:fill="FFFFFF"/>
            <w:tcMar>
              <w:top w:w="70" w:type="dxa"/>
              <w:left w:w="120" w:type="dxa"/>
              <w:bottom w:w="70" w:type="dxa"/>
              <w:right w:w="120" w:type="dxa"/>
            </w:tcMar>
            <w:vAlign w:val="center"/>
          </w:tcPr>
          <w:p w14:paraId="0D9E20A9" w14:textId="3D154E96" w:rsidR="000F6D48" w:rsidRDefault="00461A1D">
            <w:pPr>
              <w:jc w:val="center"/>
            </w:pPr>
            <w:r>
              <w:rPr>
                <w:sz w:val="20"/>
                <w:szCs w:val="20"/>
              </w:rPr>
              <w:t xml:space="preserve">5-point </w:t>
            </w:r>
            <m:oMath>
              <m:r>
                <w:rPr>
                  <w:rFonts w:ascii="Cambria Math" w:hAnsi="Cambria Math"/>
                  <w:sz w:val="20"/>
                  <w:szCs w:val="20"/>
                </w:rPr>
                <m:t>Υ</m:t>
              </m:r>
            </m:oMath>
            <w:r>
              <w:rPr>
                <w:sz w:val="20"/>
                <w:szCs w:val="20"/>
              </w:rPr>
              <w:t xml:space="preserve"> sensitivity sweep (Action 3)</w:t>
            </w:r>
          </w:p>
        </w:tc>
      </w:tr>
      <w:tr w:rsidR="00C70DC6" w14:paraId="3A80CF18" w14:textId="77777777">
        <w:tblPrEx>
          <w:tblCellMar>
            <w:top w:w="0" w:type="dxa"/>
            <w:bottom w:w="0" w:type="dxa"/>
          </w:tblCellMar>
        </w:tblPrEx>
        <w:tc>
          <w:tcPr>
            <w:tcW w:w="1760" w:type="dxa"/>
            <w:shd w:val="clear" w:color="auto" w:fill="F5F6F8"/>
            <w:tcMar>
              <w:top w:w="70" w:type="dxa"/>
              <w:left w:w="120" w:type="dxa"/>
              <w:bottom w:w="70" w:type="dxa"/>
              <w:right w:w="120" w:type="dxa"/>
            </w:tcMar>
            <w:vAlign w:val="center"/>
          </w:tcPr>
          <w:p w14:paraId="6E640B41" w14:textId="77777777" w:rsidR="000F6D48" w:rsidRDefault="00461A1D">
            <w:r>
              <w:rPr>
                <w:sz w:val="20"/>
                <w:szCs w:val="20"/>
              </w:rPr>
              <w:t>EFT derivation</w:t>
            </w:r>
          </w:p>
        </w:tc>
        <w:tc>
          <w:tcPr>
            <w:tcW w:w="2000" w:type="dxa"/>
            <w:shd w:val="clear" w:color="auto" w:fill="F5F6F8"/>
            <w:tcMar>
              <w:top w:w="70" w:type="dxa"/>
              <w:left w:w="120" w:type="dxa"/>
              <w:bottom w:w="70" w:type="dxa"/>
              <w:right w:w="120" w:type="dxa"/>
            </w:tcMar>
            <w:vAlign w:val="center"/>
          </w:tcPr>
          <w:p w14:paraId="0F10B866" w14:textId="77777777" w:rsidR="000F6D48" w:rsidRDefault="00461A1D">
            <w:pPr>
              <w:jc w:val="center"/>
            </w:pPr>
            <w:r>
              <w:rPr>
                <w:sz w:val="20"/>
                <w:szCs w:val="20"/>
              </w:rPr>
              <w:t>Action sketch present</w:t>
            </w:r>
          </w:p>
        </w:tc>
        <w:tc>
          <w:tcPr>
            <w:tcW w:w="2400" w:type="dxa"/>
            <w:shd w:val="clear" w:color="auto" w:fill="F5F6F8"/>
            <w:tcMar>
              <w:top w:w="70" w:type="dxa"/>
              <w:left w:w="120" w:type="dxa"/>
              <w:bottom w:w="70" w:type="dxa"/>
              <w:right w:w="120" w:type="dxa"/>
            </w:tcMar>
            <w:vAlign w:val="center"/>
          </w:tcPr>
          <w:p w14:paraId="0F7ED73B" w14:textId="77777777" w:rsidR="000F6D48" w:rsidRDefault="00461A1D">
            <w:pPr>
              <w:jc w:val="center"/>
            </w:pPr>
            <w:r>
              <w:rPr>
                <w:sz w:val="20"/>
                <w:szCs w:val="20"/>
              </w:rPr>
              <w:t>No complete field equation shown</w:t>
            </w:r>
          </w:p>
        </w:tc>
        <w:tc>
          <w:tcPr>
            <w:tcW w:w="3200" w:type="dxa"/>
            <w:shd w:val="clear" w:color="auto" w:fill="F5F6F8"/>
            <w:tcMar>
              <w:top w:w="70" w:type="dxa"/>
              <w:left w:w="120" w:type="dxa"/>
              <w:bottom w:w="70" w:type="dxa"/>
              <w:right w:w="120" w:type="dxa"/>
            </w:tcMar>
            <w:vAlign w:val="center"/>
          </w:tcPr>
          <w:p w14:paraId="1013B26D" w14:textId="77777777" w:rsidR="000F6D48" w:rsidRDefault="00461A1D">
            <w:pPr>
              <w:jc w:val="center"/>
            </w:pPr>
            <w:r>
              <w:rPr>
                <w:sz w:val="20"/>
                <w:szCs w:val="20"/>
              </w:rPr>
              <w:t>Derive from action (Action 4)</w:t>
            </w:r>
          </w:p>
        </w:tc>
      </w:tr>
      <w:tr w:rsidR="00C70DC6" w14:paraId="59003C00" w14:textId="77777777">
        <w:tblPrEx>
          <w:tblCellMar>
            <w:top w:w="0" w:type="dxa"/>
            <w:bottom w:w="0" w:type="dxa"/>
          </w:tblCellMar>
        </w:tblPrEx>
        <w:tc>
          <w:tcPr>
            <w:tcW w:w="1760" w:type="dxa"/>
            <w:shd w:val="clear" w:color="auto" w:fill="FFFFFF"/>
            <w:tcMar>
              <w:top w:w="70" w:type="dxa"/>
              <w:left w:w="120" w:type="dxa"/>
              <w:bottom w:w="70" w:type="dxa"/>
              <w:right w:w="120" w:type="dxa"/>
            </w:tcMar>
            <w:vAlign w:val="center"/>
          </w:tcPr>
          <w:p w14:paraId="3C84E98E" w14:textId="77777777" w:rsidR="000F6D48" w:rsidRDefault="00461A1D">
            <w:r>
              <w:rPr>
                <w:sz w:val="20"/>
                <w:szCs w:val="20"/>
              </w:rPr>
              <w:t>Lensing/Bullet</w:t>
            </w:r>
          </w:p>
        </w:tc>
        <w:tc>
          <w:tcPr>
            <w:tcW w:w="2000" w:type="dxa"/>
            <w:shd w:val="clear" w:color="auto" w:fill="FFFFFF"/>
            <w:tcMar>
              <w:top w:w="70" w:type="dxa"/>
              <w:left w:w="120" w:type="dxa"/>
              <w:bottom w:w="70" w:type="dxa"/>
              <w:right w:w="120" w:type="dxa"/>
            </w:tcMar>
            <w:vAlign w:val="center"/>
          </w:tcPr>
          <w:p w14:paraId="5200D303" w14:textId="77777777" w:rsidR="000F6D48" w:rsidRDefault="00461A1D">
            <w:pPr>
              <w:jc w:val="center"/>
            </w:pPr>
            <w:r>
              <w:rPr>
                <w:sz w:val="20"/>
                <w:szCs w:val="20"/>
              </w:rPr>
              <w:t>Acknowledged gap, unresolved</w:t>
            </w:r>
          </w:p>
        </w:tc>
        <w:tc>
          <w:tcPr>
            <w:tcW w:w="2400" w:type="dxa"/>
            <w:shd w:val="clear" w:color="auto" w:fill="FFFFFF"/>
            <w:tcMar>
              <w:top w:w="70" w:type="dxa"/>
              <w:left w:w="120" w:type="dxa"/>
              <w:bottom w:w="70" w:type="dxa"/>
              <w:right w:w="120" w:type="dxa"/>
            </w:tcMar>
            <w:vAlign w:val="center"/>
          </w:tcPr>
          <w:p w14:paraId="04ABFF8C" w14:textId="77777777" w:rsidR="000F6D48" w:rsidRDefault="00461A1D">
            <w:pPr>
              <w:jc w:val="center"/>
            </w:pPr>
            <w:r>
              <w:rPr>
                <w:sz w:val="20"/>
                <w:szCs w:val="20"/>
              </w:rPr>
              <w:t>Structural requirement for any broad DM claim</w:t>
            </w:r>
          </w:p>
        </w:tc>
        <w:tc>
          <w:tcPr>
            <w:tcW w:w="3200" w:type="dxa"/>
            <w:shd w:val="clear" w:color="auto" w:fill="FFFFFF"/>
            <w:tcMar>
              <w:top w:w="70" w:type="dxa"/>
              <w:left w:w="120" w:type="dxa"/>
              <w:bottom w:w="70" w:type="dxa"/>
              <w:right w:w="120" w:type="dxa"/>
            </w:tcMar>
            <w:vAlign w:val="center"/>
          </w:tcPr>
          <w:p w14:paraId="55774F16" w14:textId="77777777" w:rsidR="000F6D48" w:rsidRDefault="00461A1D">
            <w:pPr>
              <w:jc w:val="center"/>
            </w:pPr>
            <w:r>
              <w:rPr>
                <w:sz w:val="20"/>
                <w:szCs w:val="20"/>
              </w:rPr>
              <w:t>Gravitational slip calculation (Action 5)</w:t>
            </w:r>
          </w:p>
        </w:tc>
      </w:tr>
      <w:tr w:rsidR="00C70DC6" w14:paraId="2B185D4B" w14:textId="77777777">
        <w:tblPrEx>
          <w:tblCellMar>
            <w:top w:w="0" w:type="dxa"/>
            <w:bottom w:w="0" w:type="dxa"/>
          </w:tblCellMar>
        </w:tblPrEx>
        <w:tc>
          <w:tcPr>
            <w:tcW w:w="1760" w:type="dxa"/>
            <w:shd w:val="clear" w:color="auto" w:fill="F5F6F8"/>
            <w:tcMar>
              <w:top w:w="70" w:type="dxa"/>
              <w:left w:w="120" w:type="dxa"/>
              <w:bottom w:w="70" w:type="dxa"/>
              <w:right w:w="120" w:type="dxa"/>
            </w:tcMar>
            <w:vAlign w:val="center"/>
          </w:tcPr>
          <w:p w14:paraId="78797EAD" w14:textId="77777777" w:rsidR="000F6D48" w:rsidRDefault="00461A1D">
            <w:r>
              <w:rPr>
                <w:sz w:val="20"/>
                <w:szCs w:val="20"/>
              </w:rPr>
              <w:t>Environmental tests</w:t>
            </w:r>
          </w:p>
        </w:tc>
        <w:tc>
          <w:tcPr>
            <w:tcW w:w="2000" w:type="dxa"/>
            <w:shd w:val="clear" w:color="auto" w:fill="F5F6F8"/>
            <w:tcMar>
              <w:top w:w="70" w:type="dxa"/>
              <w:left w:w="120" w:type="dxa"/>
              <w:bottom w:w="70" w:type="dxa"/>
              <w:right w:w="120" w:type="dxa"/>
            </w:tcMar>
            <w:vAlign w:val="center"/>
          </w:tcPr>
          <w:p w14:paraId="67FD9C32" w14:textId="1749B77F" w:rsidR="000F6D48" w:rsidRDefault="00C70DC6">
            <w:pPr>
              <w:jc w:val="center"/>
            </w:pPr>
            <m:oMath>
              <m:r>
                <w:rPr>
                  <w:rFonts w:ascii="Cambria Math" w:hAnsi="Cambria Math"/>
                  <w:sz w:val="20"/>
                  <w:szCs w:val="20"/>
                </w:rPr>
                <m:t>en</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delta</m:t>
                  </m:r>
                </m:sub>
              </m:sSub>
            </m:oMath>
            <w:r w:rsidR="00461A1D">
              <w:rPr>
                <w:sz w:val="20"/>
                <w:szCs w:val="20"/>
              </w:rPr>
              <w:t xml:space="preserve"> proxy available</w:t>
            </w:r>
          </w:p>
        </w:tc>
        <w:tc>
          <w:tcPr>
            <w:tcW w:w="2400" w:type="dxa"/>
            <w:shd w:val="clear" w:color="auto" w:fill="F5F6F8"/>
            <w:tcMar>
              <w:top w:w="70" w:type="dxa"/>
              <w:left w:w="120" w:type="dxa"/>
              <w:bottom w:w="70" w:type="dxa"/>
              <w:right w:w="120" w:type="dxa"/>
            </w:tcMar>
            <w:vAlign w:val="center"/>
          </w:tcPr>
          <w:p w14:paraId="075E12FE" w14:textId="77777777" w:rsidR="000F6D48" w:rsidRDefault="00461A1D">
            <w:pPr>
              <w:jc w:val="center"/>
            </w:pPr>
            <w:r>
              <w:rPr>
                <w:sz w:val="20"/>
                <w:szCs w:val="20"/>
              </w:rPr>
              <w:t>No formal permutation test on isolated vs. group</w:t>
            </w:r>
          </w:p>
        </w:tc>
        <w:tc>
          <w:tcPr>
            <w:tcW w:w="3200" w:type="dxa"/>
            <w:shd w:val="clear" w:color="auto" w:fill="F5F6F8"/>
            <w:tcMar>
              <w:top w:w="70" w:type="dxa"/>
              <w:left w:w="120" w:type="dxa"/>
              <w:bottom w:w="70" w:type="dxa"/>
              <w:right w:w="120" w:type="dxa"/>
            </w:tcMar>
            <w:vAlign w:val="center"/>
          </w:tcPr>
          <w:p w14:paraId="3F0B522C" w14:textId="77777777" w:rsidR="000F6D48" w:rsidRDefault="00461A1D">
            <w:pPr>
              <w:jc w:val="center"/>
            </w:pPr>
            <w:r>
              <w:rPr>
                <w:sz w:val="20"/>
                <w:szCs w:val="20"/>
              </w:rPr>
              <w:t>Existing permutation tools already in codebase</w:t>
            </w:r>
          </w:p>
        </w:tc>
      </w:tr>
      <w:tr w:rsidR="00C70DC6" w14:paraId="39249EC6" w14:textId="77777777">
        <w:tblPrEx>
          <w:tblCellMar>
            <w:top w:w="0" w:type="dxa"/>
            <w:bottom w:w="0" w:type="dxa"/>
          </w:tblCellMar>
        </w:tblPrEx>
        <w:tc>
          <w:tcPr>
            <w:tcW w:w="1760" w:type="dxa"/>
            <w:shd w:val="clear" w:color="auto" w:fill="FFFFFF"/>
            <w:tcMar>
              <w:top w:w="70" w:type="dxa"/>
              <w:left w:w="120" w:type="dxa"/>
              <w:bottom w:w="70" w:type="dxa"/>
              <w:right w:w="120" w:type="dxa"/>
            </w:tcMar>
            <w:vAlign w:val="center"/>
          </w:tcPr>
          <w:p w14:paraId="5A95C02C" w14:textId="77777777" w:rsidR="000F6D48" w:rsidRDefault="00461A1D">
            <w:r>
              <w:rPr>
                <w:sz w:val="20"/>
                <w:szCs w:val="20"/>
              </w:rPr>
              <w:t>Cosmology (CMB/BAO)</w:t>
            </w:r>
          </w:p>
        </w:tc>
        <w:tc>
          <w:tcPr>
            <w:tcW w:w="2000" w:type="dxa"/>
            <w:shd w:val="clear" w:color="auto" w:fill="FFFFFF"/>
            <w:tcMar>
              <w:top w:w="70" w:type="dxa"/>
              <w:left w:w="120" w:type="dxa"/>
              <w:bottom w:w="70" w:type="dxa"/>
              <w:right w:w="120" w:type="dxa"/>
            </w:tcMar>
            <w:vAlign w:val="center"/>
          </w:tcPr>
          <w:p w14:paraId="3DFA3C50" w14:textId="77777777" w:rsidR="000F6D48" w:rsidRDefault="00461A1D">
            <w:pPr>
              <w:jc w:val="center"/>
            </w:pPr>
            <w:r>
              <w:rPr>
                <w:sz w:val="20"/>
                <w:szCs w:val="20"/>
              </w:rPr>
              <w:t>Explicitly out of scope</w:t>
            </w:r>
          </w:p>
        </w:tc>
        <w:tc>
          <w:tcPr>
            <w:tcW w:w="2400" w:type="dxa"/>
            <w:shd w:val="clear" w:color="auto" w:fill="FFFFFF"/>
            <w:tcMar>
              <w:top w:w="70" w:type="dxa"/>
              <w:left w:w="120" w:type="dxa"/>
              <w:bottom w:w="70" w:type="dxa"/>
              <w:right w:w="120" w:type="dxa"/>
            </w:tcMar>
            <w:vAlign w:val="center"/>
          </w:tcPr>
          <w:p w14:paraId="43E8AB38" w14:textId="77777777" w:rsidR="000F6D48" w:rsidRDefault="00461A1D">
            <w:pPr>
              <w:jc w:val="center"/>
            </w:pPr>
            <w:r>
              <w:rPr>
                <w:sz w:val="20"/>
                <w:szCs w:val="20"/>
              </w:rPr>
              <w:t>CDM success here is unchallenged</w:t>
            </w:r>
          </w:p>
        </w:tc>
        <w:tc>
          <w:tcPr>
            <w:tcW w:w="3200" w:type="dxa"/>
            <w:shd w:val="clear" w:color="auto" w:fill="FFFFFF"/>
            <w:tcMar>
              <w:top w:w="70" w:type="dxa"/>
              <w:left w:w="120" w:type="dxa"/>
              <w:bottom w:w="70" w:type="dxa"/>
              <w:right w:w="120" w:type="dxa"/>
            </w:tcMar>
            <w:vAlign w:val="center"/>
          </w:tcPr>
          <w:p w14:paraId="4FFD5B3C" w14:textId="71DBBECD" w:rsidR="000F6D48" w:rsidRDefault="00461A1D">
            <w:pPr>
              <w:jc w:val="center"/>
            </w:pPr>
            <w:r>
              <w:rPr>
                <w:sz w:val="20"/>
                <w:szCs w:val="20"/>
              </w:rPr>
              <w:t xml:space="preserve">Long-term research </w:t>
            </w:r>
            <w:r w:rsidR="00EA7D6D">
              <w:rPr>
                <w:sz w:val="20"/>
                <w:szCs w:val="20"/>
              </w:rPr>
              <w:t>program</w:t>
            </w:r>
          </w:p>
        </w:tc>
      </w:tr>
    </w:tbl>
    <w:p w14:paraId="6F78A89E" w14:textId="77777777" w:rsidR="000F6D48" w:rsidRDefault="000F6D48">
      <w:pPr>
        <w:spacing w:line="100" w:lineRule="auto"/>
      </w:pPr>
    </w:p>
    <w:p w14:paraId="419309E0" w14:textId="77777777" w:rsidR="00C70DC6" w:rsidRDefault="00C70DC6">
      <w:pPr>
        <w:pStyle w:val="Heading1"/>
        <w:sectPr w:rsidR="00C70DC6">
          <w:pgSz w:w="12240" w:h="15840"/>
          <w:pgMar w:top="1200" w:right="1200" w:bottom="1200" w:left="1200" w:header="708" w:footer="708" w:gutter="0"/>
          <w:cols w:space="720"/>
          <w:docGrid w:linePitch="360"/>
        </w:sectPr>
      </w:pPr>
    </w:p>
    <w:p w14:paraId="02E9A040" w14:textId="77777777" w:rsidR="000F6D48" w:rsidRDefault="00461A1D">
      <w:pPr>
        <w:pStyle w:val="Heading1"/>
      </w:pPr>
      <w:bookmarkStart w:id="26" w:name="_Toc222461584"/>
      <w:r>
        <w:t>7.  Closing Statement</w:t>
      </w:r>
      <w:bookmarkEnd w:id="26"/>
    </w:p>
    <w:p w14:paraId="57B56BA0" w14:textId="77777777" w:rsidR="000F6D48" w:rsidRDefault="000F6D48">
      <w:pPr>
        <w:pBdr>
          <w:bottom w:val="single" w:sz="6" w:space="1" w:color="8B1A1A"/>
        </w:pBdr>
        <w:spacing w:after="60"/>
      </w:pPr>
    </w:p>
    <w:p w14:paraId="65EEB1B1" w14:textId="77777777" w:rsidR="000F6D48" w:rsidRDefault="000F6D48">
      <w:pPr>
        <w:spacing w:line="160" w:lineRule="auto"/>
      </w:pPr>
    </w:p>
    <w:p w14:paraId="1123B89B" w14:textId="21EF2E63" w:rsidR="000F6D48" w:rsidRDefault="00461A1D">
      <w:pPr>
        <w:spacing w:before="60" w:after="100" w:line="340" w:lineRule="auto"/>
      </w:pPr>
      <w:r>
        <w:t xml:space="preserve">The Spacetime Mechanics atlas presents a genuine, falsifiable, and computationally rigorous alternative to cold dark matter phenomenology in the galactic rotation-curve sector. The 92% rate of very-strong </w:t>
      </w:r>
      <m:oMath>
        <m:r>
          <w:rPr>
            <w:rFonts w:ascii="Cambria Math" w:hAnsi="Cambria Math"/>
          </w:rPr>
          <m:t>Δ</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improvement with a single free parameter is a real and significant result. The AIC/BIC analysis confirms this is not overfitting: 97% of galaxies pass the information-criterion test. The tight </w:t>
      </w:r>
      <m:oMath>
        <m:sSub>
          <m:sSubPr>
            <m:ctrlPr>
              <w:rPr>
                <w:rFonts w:ascii="Cambria Math" w:hAnsi="Cambria Math"/>
                <w:i/>
              </w:rPr>
            </m:ctrlPr>
          </m:sSubPr>
          <m:e>
            <m:r>
              <w:rPr>
                <w:rFonts w:ascii="Cambria Math" w:hAnsi="Cambria Math"/>
              </w:rPr>
              <m:t>v</m:t>
            </m:r>
          </m:e>
          <m:sub>
            <m:r>
              <w:rPr>
                <w:rFonts w:ascii="Cambria Math" w:hAnsi="Cambria Math"/>
              </w:rPr>
              <m:t>extra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flat</m:t>
            </m:r>
          </m:sub>
        </m:sSub>
      </m:oMath>
      <w:r>
        <w:t xml:space="preserve"> correlation (</w:t>
      </w:r>
      <m:oMath>
        <m:r>
          <w:rPr>
            <w:rFonts w:ascii="Cambria Math" w:hAnsi="Cambria Math"/>
          </w:rPr>
          <m:t>r = 0.940</m:t>
        </m:r>
      </m:oMath>
      <w:r>
        <w:t>) encodes the Baryonic Tully-Fisher relation — a physically motivated scaling, not an artefact.</w:t>
      </w:r>
    </w:p>
    <w:p w14:paraId="226DDBF7" w14:textId="2E8A4AE4" w:rsidR="000F6D48" w:rsidRDefault="00461A1D">
      <w:pPr>
        <w:spacing w:before="60" w:after="100" w:line="340" w:lineRule="auto"/>
      </w:pPr>
      <w:r>
        <w:t xml:space="preserve">The weaknesses are specific and addressable. The model does not yet benchmark against MOND or CDM on an equal-DOF basis: the most likely finding of such a comparison is that the edge-response model is approximately equal to MOND in rotation-curve scatter (given the BTF-anchored </w:t>
      </w:r>
      <m:oMath>
        <m:r>
          <w:rPr>
            <w:rFonts w:ascii="Cambria Math" w:hAnsi="Cambria Math"/>
          </w:rPr>
          <m:t>Q</m:t>
        </m:r>
      </m:oMath>
      <w:r>
        <w:t>) and modestly worse than CDM's NFW in absolute fit quality. This is an honest, defensible position for a one-parameter phenomenological model at this stage of development. It does not require the model to beat CDM; it requires the model to be tested against it and to state where it stands.</w:t>
      </w:r>
    </w:p>
    <w:p w14:paraId="6B9C5B69" w14:textId="4D1C3B03" w:rsidR="000F6D48" w:rsidRDefault="00461A1D">
      <w:pPr>
        <w:spacing w:before="60" w:after="100" w:line="340" w:lineRule="auto"/>
      </w:pPr>
      <w:r>
        <w:t xml:space="preserve">The model's residual weaknesses — elevated </w:t>
      </w:r>
      <m:oMath>
        <m:r>
          <w:rPr>
            <w:rFonts w:ascii="Cambria Math" w:hAnsi="Cambria Math"/>
          </w:rPr>
          <m:t>r</m:t>
        </m:r>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on data-rich galaxies, unresolved lensing prediction, incomplete EFT action — define a concrete research </w:t>
      </w:r>
      <w:r w:rsidR="00EA7D6D">
        <w:t>program</w:t>
      </w:r>
      <w:r>
        <w:t>. Every item on the improvement list in Section 5 is technically feasible within the existing computational infrastructure. The manuscript's intellectual ambition is justified. The next version should match that ambition with the quantitative machinery that turns a compelling argument into a defensible scientific claim.</w:t>
      </w:r>
    </w:p>
    <w:p w14:paraId="686BAC53" w14:textId="77777777" w:rsidR="000F6D48" w:rsidRDefault="000F6D48">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D48" w14:paraId="41AC76B7" w14:textId="77777777">
        <w:tblPrEx>
          <w:tblCellMar>
            <w:top w:w="0" w:type="dxa"/>
            <w:bottom w:w="0" w:type="dxa"/>
          </w:tblCellMar>
        </w:tblPrEx>
        <w:tc>
          <w:tcPr>
            <w:tcW w:w="9360" w:type="dxa"/>
            <w:tcBorders>
              <w:left w:val="thick" w:sz="14" w:space="0" w:color="0D1B2A"/>
            </w:tcBorders>
            <w:shd w:val="clear" w:color="auto" w:fill="EFF3FA"/>
            <w:tcMar>
              <w:top w:w="120" w:type="dxa"/>
              <w:left w:w="220" w:type="dxa"/>
              <w:bottom w:w="120" w:type="dxa"/>
              <w:right w:w="160" w:type="dxa"/>
            </w:tcMar>
          </w:tcPr>
          <w:p w14:paraId="05BEDCA0" w14:textId="77777777" w:rsidR="000F6D48" w:rsidRDefault="00461A1D">
            <w:pPr>
              <w:spacing w:after="60"/>
            </w:pPr>
            <w:r>
              <w:rPr>
                <w:b/>
                <w:bCs/>
                <w:color w:val="0D1B2A"/>
                <w:sz w:val="19"/>
                <w:szCs w:val="19"/>
              </w:rPr>
              <w:t>Bottom line</w:t>
            </w:r>
          </w:p>
          <w:p w14:paraId="06228BE5" w14:textId="7DF4C1A0" w:rsidR="000F6D48" w:rsidRDefault="00461A1D">
            <w:pPr>
              <w:spacing w:after="50" w:line="320" w:lineRule="auto"/>
            </w:pPr>
            <w:r>
              <w:rPr>
                <w:sz w:val="20"/>
                <w:szCs w:val="20"/>
              </w:rPr>
              <w:t xml:space="preserve">The </w:t>
            </w:r>
            <m:oMath>
              <m:r>
                <w:rPr>
                  <w:rFonts w:ascii="Cambria Math" w:hAnsi="Cambria Math"/>
                  <w:sz w:val="20"/>
                  <w:szCs w:val="20"/>
                </w:rPr>
                <m:t>Δχ²</m:t>
              </m:r>
            </m:oMath>
            <w:r>
              <w:rPr>
                <w:sz w:val="20"/>
                <w:szCs w:val="20"/>
              </w:rPr>
              <w:t xml:space="preserve"> result is real, AIC/BIC-verified, and physically motivated by the BTF.</w:t>
            </w:r>
          </w:p>
          <w:p w14:paraId="765D7248" w14:textId="44BE301D" w:rsidR="000F6D48" w:rsidRDefault="00461A1D">
            <w:pPr>
              <w:spacing w:after="50" w:line="320" w:lineRule="auto"/>
            </w:pPr>
            <w:r>
              <w:rPr>
                <w:sz w:val="20"/>
                <w:szCs w:val="20"/>
              </w:rPr>
              <w:t>The absolute fit quality (</w:t>
            </w:r>
            <m:oMath>
              <m:r>
                <w:rPr>
                  <w:rFonts w:ascii="Cambria Math" w:hAnsi="Cambria Math"/>
                  <w:sz w:val="20"/>
                  <w:szCs w:val="20"/>
                </w:rPr>
                <m:t>r</m:t>
              </m:r>
              <m:sSubSup>
                <m:sSubSupPr>
                  <m:ctrlPr>
                    <w:rPr>
                      <w:rFonts w:ascii="Cambria Math" w:hAnsi="Cambria Math"/>
                      <w:i/>
                      <w:sz w:val="20"/>
                      <w:szCs w:val="20"/>
                    </w:rPr>
                  </m:ctrlPr>
                </m:sSubSupPr>
                <m:e>
                  <m:r>
                    <w:rPr>
                      <w:rFonts w:ascii="Cambria Math" w:hAnsi="Cambria Math"/>
                      <w:sz w:val="20"/>
                      <w:szCs w:val="20"/>
                    </w:rPr>
                    <m:t>χ</m:t>
                  </m:r>
                </m:e>
                <m:sub>
                  <m:r>
                    <w:rPr>
                      <w:rFonts w:ascii="Cambria Math" w:hAnsi="Cambria Math"/>
                      <w:sz w:val="20"/>
                      <w:szCs w:val="20"/>
                    </w:rPr>
                    <m:t>model</m:t>
                  </m:r>
                </m:sub>
                <m:sup>
                  <m:r>
                    <w:rPr>
                      <w:rFonts w:ascii="Cambria Math" w:hAnsi="Cambria Math"/>
                      <w:sz w:val="20"/>
                      <w:szCs w:val="20"/>
                    </w:rPr>
                    <m:t>2</m:t>
                  </m:r>
                </m:sup>
              </m:sSubSup>
              <m:r>
                <w:rPr>
                  <w:rFonts w:ascii="Cambria Math" w:hAnsi="Cambria Math"/>
                  <w:sz w:val="20"/>
                  <w:szCs w:val="20"/>
                </w:rPr>
                <m:t>~ 5-15</m:t>
              </m:r>
            </m:oMath>
            <w:r>
              <w:rPr>
                <w:sz w:val="20"/>
                <w:szCs w:val="20"/>
              </w:rPr>
              <w:t xml:space="preserve">) is honestly poor in places and must be reported alongside the </w:t>
            </w:r>
            <m:oMath>
              <m:r>
                <w:rPr>
                  <w:rFonts w:ascii="Cambria Math" w:hAnsi="Cambria Math"/>
                  <w:sz w:val="20"/>
                  <w:szCs w:val="20"/>
                </w:rPr>
                <m:t>Δχ²</m:t>
              </m:r>
            </m:oMath>
            <w:r>
              <w:rPr>
                <w:sz w:val="20"/>
                <w:szCs w:val="20"/>
              </w:rPr>
              <w:t xml:space="preserve"> result.</w:t>
            </w:r>
          </w:p>
          <w:p w14:paraId="733B36A6" w14:textId="09DED2F2" w:rsidR="000F6D48" w:rsidRDefault="00461A1D">
            <w:pPr>
              <w:spacing w:after="50" w:line="320" w:lineRule="auto"/>
            </w:pPr>
            <w:r>
              <w:rPr>
                <w:sz w:val="20"/>
                <w:szCs w:val="20"/>
              </w:rPr>
              <w:t>The model does not yet beat MOND on DOF-adjusted grounds; the BTF-anchor test would close this gap or quantify it.</w:t>
            </w:r>
          </w:p>
        </w:tc>
      </w:tr>
    </w:tbl>
    <w:p w14:paraId="1053206D" w14:textId="77777777" w:rsidR="00461A1D" w:rsidRDefault="00461A1D"/>
    <w:sectPr w:rsidR="00461A1D">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9A0B" w14:textId="77777777" w:rsidR="00B406E5" w:rsidRDefault="00B406E5">
      <w:r>
        <w:separator/>
      </w:r>
    </w:p>
  </w:endnote>
  <w:endnote w:type="continuationSeparator" w:id="0">
    <w:p w14:paraId="779E6F11" w14:textId="77777777" w:rsidR="00B406E5" w:rsidRDefault="00B40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52EE" w14:textId="10C7BB6A" w:rsidR="000F6D48" w:rsidRDefault="00461A1D">
    <w:pPr>
      <w:pBdr>
        <w:top w:val="single" w:sz="2" w:space="6" w:color="D0D5DE"/>
      </w:pBdr>
      <w:tabs>
        <w:tab w:val="right" w:pos="9026"/>
      </w:tabs>
    </w:pPr>
    <w:r>
      <w:rPr>
        <w:sz w:val="16"/>
        <w:szCs w:val="16"/>
      </w:rPr>
      <w:t>Weaknesses, Benchmarks &amp; Improvement Program — computed from 175-galaxy SPARC atlas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DE27C" w14:textId="77777777" w:rsidR="00B406E5" w:rsidRDefault="00B406E5">
      <w:r>
        <w:separator/>
      </w:r>
    </w:p>
  </w:footnote>
  <w:footnote w:type="continuationSeparator" w:id="0">
    <w:p w14:paraId="6B3EC0AA" w14:textId="77777777" w:rsidR="00B406E5" w:rsidRDefault="00B40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A0E3" w14:textId="77777777" w:rsidR="000F6D48" w:rsidRDefault="00461A1D">
    <w:pPr>
      <w:tabs>
        <w:tab w:val="right" w:pos="9026"/>
      </w:tabs>
    </w:pPr>
    <w:r>
      <w:rPr>
        <w:sz w:val="16"/>
        <w:szCs w:val="16"/>
      </w:rPr>
      <w:t>Spacetime Mechanics — Critical Analysis</w:t>
    </w:r>
    <w:r>
      <w:rPr>
        <w:sz w:val="16"/>
        <w:szCs w:val="16"/>
      </w:rPr>
      <w:tab/>
      <w:t>Kitcey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5B75"/>
    <w:multiLevelType w:val="hybridMultilevel"/>
    <w:tmpl w:val="C16A7714"/>
    <w:lvl w:ilvl="0" w:tplc="AA505C3C">
      <w:start w:val="1"/>
      <w:numFmt w:val="bullet"/>
      <w:lvlText w:val="◆"/>
      <w:lvlJc w:val="left"/>
      <w:pPr>
        <w:ind w:left="720" w:hanging="360"/>
      </w:pPr>
      <w:rPr>
        <w:rFonts w:ascii="Arial" w:eastAsia="Arial" w:hAnsi="Arial" w:cs="Arial"/>
        <w:color w:val="B7651A"/>
        <w:sz w:val="22"/>
        <w:szCs w:val="22"/>
      </w:rPr>
    </w:lvl>
    <w:lvl w:ilvl="1" w:tplc="CCEC0980">
      <w:start w:val="1"/>
      <w:numFmt w:val="bullet"/>
      <w:lvlText w:val="–"/>
      <w:lvlJc w:val="left"/>
      <w:pPr>
        <w:ind w:left="1080" w:hanging="360"/>
      </w:pPr>
      <w:rPr>
        <w:rFonts w:ascii="Arial" w:eastAsia="Arial" w:hAnsi="Arial" w:cs="Arial"/>
        <w:color w:val="3A4556"/>
        <w:sz w:val="20"/>
        <w:szCs w:val="20"/>
      </w:rPr>
    </w:lvl>
    <w:lvl w:ilvl="2" w:tplc="CAF474A2">
      <w:numFmt w:val="decimal"/>
      <w:lvlText w:val=""/>
      <w:lvlJc w:val="left"/>
    </w:lvl>
    <w:lvl w:ilvl="3" w:tplc="F7C27416">
      <w:numFmt w:val="decimal"/>
      <w:lvlText w:val=""/>
      <w:lvlJc w:val="left"/>
    </w:lvl>
    <w:lvl w:ilvl="4" w:tplc="E34EAE28">
      <w:numFmt w:val="decimal"/>
      <w:lvlText w:val=""/>
      <w:lvlJc w:val="left"/>
    </w:lvl>
    <w:lvl w:ilvl="5" w:tplc="E730C1FE">
      <w:numFmt w:val="decimal"/>
      <w:lvlText w:val=""/>
      <w:lvlJc w:val="left"/>
    </w:lvl>
    <w:lvl w:ilvl="6" w:tplc="B4DE206C">
      <w:numFmt w:val="decimal"/>
      <w:lvlText w:val=""/>
      <w:lvlJc w:val="left"/>
    </w:lvl>
    <w:lvl w:ilvl="7" w:tplc="1AB057E4">
      <w:numFmt w:val="decimal"/>
      <w:lvlText w:val=""/>
      <w:lvlJc w:val="left"/>
    </w:lvl>
    <w:lvl w:ilvl="8" w:tplc="1C403B86">
      <w:numFmt w:val="decimal"/>
      <w:lvlText w:val=""/>
      <w:lvlJc w:val="left"/>
    </w:lvl>
  </w:abstractNum>
  <w:abstractNum w:abstractNumId="1" w15:restartNumberingAfterBreak="0">
    <w:nsid w:val="4B7165D9"/>
    <w:multiLevelType w:val="hybridMultilevel"/>
    <w:tmpl w:val="13363B56"/>
    <w:lvl w:ilvl="0" w:tplc="D7D0DF04">
      <w:start w:val="1"/>
      <w:numFmt w:val="decimal"/>
      <w:lvlText w:val="%1."/>
      <w:lvlJc w:val="left"/>
      <w:pPr>
        <w:ind w:left="720" w:hanging="360"/>
      </w:pPr>
      <w:rPr>
        <w:rFonts w:ascii="Arial" w:eastAsia="Arial" w:hAnsi="Arial" w:cs="Arial"/>
        <w:color w:val="3A4556"/>
        <w:sz w:val="22"/>
        <w:szCs w:val="22"/>
      </w:rPr>
    </w:lvl>
    <w:lvl w:ilvl="1" w:tplc="251AA596">
      <w:numFmt w:val="decimal"/>
      <w:lvlText w:val=""/>
      <w:lvlJc w:val="left"/>
    </w:lvl>
    <w:lvl w:ilvl="2" w:tplc="FC5E3898">
      <w:numFmt w:val="decimal"/>
      <w:lvlText w:val=""/>
      <w:lvlJc w:val="left"/>
    </w:lvl>
    <w:lvl w:ilvl="3" w:tplc="670A4658">
      <w:numFmt w:val="decimal"/>
      <w:lvlText w:val=""/>
      <w:lvlJc w:val="left"/>
    </w:lvl>
    <w:lvl w:ilvl="4" w:tplc="1DACA38E">
      <w:numFmt w:val="decimal"/>
      <w:lvlText w:val=""/>
      <w:lvlJc w:val="left"/>
    </w:lvl>
    <w:lvl w:ilvl="5" w:tplc="F4E0D504">
      <w:numFmt w:val="decimal"/>
      <w:lvlText w:val=""/>
      <w:lvlJc w:val="left"/>
    </w:lvl>
    <w:lvl w:ilvl="6" w:tplc="B3D20708">
      <w:numFmt w:val="decimal"/>
      <w:lvlText w:val=""/>
      <w:lvlJc w:val="left"/>
    </w:lvl>
    <w:lvl w:ilvl="7" w:tplc="2244EAB2">
      <w:numFmt w:val="decimal"/>
      <w:lvlText w:val=""/>
      <w:lvlJc w:val="left"/>
    </w:lvl>
    <w:lvl w:ilvl="8" w:tplc="6F04763E">
      <w:numFmt w:val="decimal"/>
      <w:lvlText w:val=""/>
      <w:lvlJc w:val="left"/>
    </w:lvl>
  </w:abstractNum>
  <w:abstractNum w:abstractNumId="2" w15:restartNumberingAfterBreak="0">
    <w:nsid w:val="64641A80"/>
    <w:multiLevelType w:val="hybridMultilevel"/>
    <w:tmpl w:val="BF7C9BB2"/>
    <w:lvl w:ilvl="0" w:tplc="827659C0">
      <w:start w:val="1"/>
      <w:numFmt w:val="bullet"/>
      <w:lvlText w:val="●"/>
      <w:lvlJc w:val="left"/>
      <w:pPr>
        <w:ind w:left="720" w:hanging="360"/>
      </w:pPr>
    </w:lvl>
    <w:lvl w:ilvl="1" w:tplc="760C2E1E">
      <w:start w:val="1"/>
      <w:numFmt w:val="bullet"/>
      <w:lvlText w:val="○"/>
      <w:lvlJc w:val="left"/>
      <w:pPr>
        <w:ind w:left="1440" w:hanging="360"/>
      </w:pPr>
    </w:lvl>
    <w:lvl w:ilvl="2" w:tplc="C36237EA">
      <w:start w:val="1"/>
      <w:numFmt w:val="bullet"/>
      <w:lvlText w:val="■"/>
      <w:lvlJc w:val="left"/>
      <w:pPr>
        <w:ind w:left="2160" w:hanging="360"/>
      </w:pPr>
    </w:lvl>
    <w:lvl w:ilvl="3" w:tplc="9ACC0C58">
      <w:start w:val="1"/>
      <w:numFmt w:val="bullet"/>
      <w:lvlText w:val="●"/>
      <w:lvlJc w:val="left"/>
      <w:pPr>
        <w:ind w:left="2880" w:hanging="360"/>
      </w:pPr>
    </w:lvl>
    <w:lvl w:ilvl="4" w:tplc="E9AE4AFC">
      <w:start w:val="1"/>
      <w:numFmt w:val="bullet"/>
      <w:lvlText w:val="○"/>
      <w:lvlJc w:val="left"/>
      <w:pPr>
        <w:ind w:left="3600" w:hanging="360"/>
      </w:pPr>
    </w:lvl>
    <w:lvl w:ilvl="5" w:tplc="13CCC000">
      <w:start w:val="1"/>
      <w:numFmt w:val="bullet"/>
      <w:lvlText w:val="■"/>
      <w:lvlJc w:val="left"/>
      <w:pPr>
        <w:ind w:left="4320" w:hanging="360"/>
      </w:pPr>
    </w:lvl>
    <w:lvl w:ilvl="6" w:tplc="4356B082">
      <w:start w:val="1"/>
      <w:numFmt w:val="bullet"/>
      <w:lvlText w:val="●"/>
      <w:lvlJc w:val="left"/>
      <w:pPr>
        <w:ind w:left="5040" w:hanging="360"/>
      </w:pPr>
    </w:lvl>
    <w:lvl w:ilvl="7" w:tplc="FFA88DA2">
      <w:start w:val="1"/>
      <w:numFmt w:val="bullet"/>
      <w:lvlText w:val="●"/>
      <w:lvlJc w:val="left"/>
      <w:pPr>
        <w:ind w:left="5760" w:hanging="360"/>
      </w:pPr>
    </w:lvl>
    <w:lvl w:ilvl="8" w:tplc="FAC84F92">
      <w:start w:val="1"/>
      <w:numFmt w:val="bullet"/>
      <w:lvlText w:val="●"/>
      <w:lvlJc w:val="left"/>
      <w:pPr>
        <w:ind w:left="6480" w:hanging="360"/>
      </w:pPr>
    </w:lvl>
  </w:abstractNum>
  <w:num w:numId="1" w16cid:durableId="1348362047">
    <w:abstractNumId w:val="2"/>
    <w:lvlOverride w:ilvl="0">
      <w:startOverride w:val="1"/>
    </w:lvlOverride>
  </w:num>
  <w:num w:numId="2" w16cid:durableId="1007828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D48"/>
    <w:rsid w:val="000F6D48"/>
    <w:rsid w:val="001A0DC4"/>
    <w:rsid w:val="00461A1D"/>
    <w:rsid w:val="004B790C"/>
    <w:rsid w:val="00583AC9"/>
    <w:rsid w:val="00B406E5"/>
    <w:rsid w:val="00C70DC6"/>
    <w:rsid w:val="00CB3B10"/>
    <w:rsid w:val="00D6607A"/>
    <w:rsid w:val="00DB5C93"/>
    <w:rsid w:val="00E76254"/>
    <w:rsid w:val="00EA7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952A"/>
  <w15:docId w15:val="{12A08287-68AD-4BEB-991E-64636A4F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5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20"/>
      <w:outlineLvl w:val="0"/>
    </w:pPr>
    <w:rPr>
      <w:b/>
      <w:bCs/>
      <w:color w:val="0D1B2A"/>
      <w:sz w:val="34"/>
      <w:szCs w:val="34"/>
    </w:rPr>
  </w:style>
  <w:style w:type="paragraph" w:styleId="Heading2">
    <w:name w:val="heading 2"/>
    <w:uiPriority w:val="9"/>
    <w:unhideWhenUsed/>
    <w:qFormat/>
    <w:pPr>
      <w:spacing w:before="280" w:after="100"/>
      <w:outlineLvl w:val="1"/>
    </w:pPr>
    <w:rPr>
      <w:b/>
      <w:bCs/>
      <w:color w:val="2B4070"/>
      <w:sz w:val="26"/>
      <w:szCs w:val="26"/>
    </w:rPr>
  </w:style>
  <w:style w:type="paragraph" w:styleId="Heading3">
    <w:name w:val="heading 3"/>
    <w:uiPriority w:val="9"/>
    <w:semiHidden/>
    <w:unhideWhenUsed/>
    <w:qFormat/>
    <w:pPr>
      <w:spacing w:before="200" w:after="80"/>
      <w:outlineLvl w:val="2"/>
    </w:pPr>
    <w:rPr>
      <w:b/>
      <w:bCs/>
      <w:color w:val="1A6B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7D6D"/>
    <w:pPr>
      <w:tabs>
        <w:tab w:val="center" w:pos="4680"/>
        <w:tab w:val="right" w:pos="9360"/>
      </w:tabs>
    </w:pPr>
  </w:style>
  <w:style w:type="character" w:customStyle="1" w:styleId="HeaderChar">
    <w:name w:val="Header Char"/>
    <w:basedOn w:val="DefaultParagraphFont"/>
    <w:link w:val="Header"/>
    <w:uiPriority w:val="99"/>
    <w:rsid w:val="00EA7D6D"/>
  </w:style>
  <w:style w:type="paragraph" w:styleId="Footer">
    <w:name w:val="footer"/>
    <w:basedOn w:val="Normal"/>
    <w:link w:val="FooterChar"/>
    <w:uiPriority w:val="99"/>
    <w:unhideWhenUsed/>
    <w:rsid w:val="00EA7D6D"/>
    <w:pPr>
      <w:tabs>
        <w:tab w:val="center" w:pos="4680"/>
        <w:tab w:val="right" w:pos="9360"/>
      </w:tabs>
    </w:pPr>
  </w:style>
  <w:style w:type="character" w:customStyle="1" w:styleId="FooterChar">
    <w:name w:val="Footer Char"/>
    <w:basedOn w:val="DefaultParagraphFont"/>
    <w:link w:val="Footer"/>
    <w:uiPriority w:val="99"/>
    <w:rsid w:val="00EA7D6D"/>
  </w:style>
  <w:style w:type="paragraph" w:styleId="TOCHeading">
    <w:name w:val="TOC Heading"/>
    <w:basedOn w:val="Heading1"/>
    <w:next w:val="Normal"/>
    <w:uiPriority w:val="39"/>
    <w:unhideWhenUsed/>
    <w:qFormat/>
    <w:rsid w:val="00C70DC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70DC6"/>
    <w:pPr>
      <w:spacing w:after="100"/>
    </w:pPr>
  </w:style>
  <w:style w:type="paragraph" w:styleId="TOC2">
    <w:name w:val="toc 2"/>
    <w:basedOn w:val="Normal"/>
    <w:next w:val="Normal"/>
    <w:autoRedefine/>
    <w:uiPriority w:val="39"/>
    <w:unhideWhenUsed/>
    <w:rsid w:val="00C70D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94C6-A6EC-4F88-8F5E-EABBA7DC4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17</Pages>
  <Words>4951</Words>
  <Characters>28222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Robert Hermano</cp:lastModifiedBy>
  <cp:revision>1</cp:revision>
  <dcterms:created xsi:type="dcterms:W3CDTF">2026-02-20T04:07:00Z</dcterms:created>
  <dcterms:modified xsi:type="dcterms:W3CDTF">2026-02-20T13:33:00Z</dcterms:modified>
</cp:coreProperties>
</file>