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6C8D2" w14:textId="77777777" w:rsidR="00E34C95" w:rsidRDefault="00000000">
      <w:pPr>
        <w:spacing w:after="80"/>
        <w:jc w:val="center"/>
      </w:pPr>
      <w:r>
        <w:rPr>
          <w:b/>
          <w:bCs/>
          <w:color w:val="0D1B2A"/>
          <w:sz w:val="64"/>
          <w:szCs w:val="64"/>
        </w:rPr>
        <w:t>SPACETIME MECHANICS</w:t>
      </w:r>
    </w:p>
    <w:p w14:paraId="6342E226" w14:textId="77777777" w:rsidR="00E34C95" w:rsidRDefault="00000000">
      <w:pPr>
        <w:spacing w:after="160"/>
        <w:jc w:val="center"/>
      </w:pPr>
      <w:r>
        <w:rPr>
          <w:color w:val="C9922A"/>
          <w:sz w:val="32"/>
          <w:szCs w:val="32"/>
        </w:rPr>
        <w:t>SPARC Galaxy Atlas — Comprehensive Analysis Report</w:t>
      </w:r>
    </w:p>
    <w:p w14:paraId="17EABF0C" w14:textId="77777777" w:rsidR="00E34C95" w:rsidRDefault="00E34C95">
      <w:pPr>
        <w:pBdr>
          <w:bottom w:val="single" w:sz="6" w:space="1" w:color="C9922A"/>
        </w:pBdr>
        <w:jc w:val="center"/>
      </w:pPr>
    </w:p>
    <w:p w14:paraId="23AFF0C6" w14:textId="77777777" w:rsidR="00E34C95" w:rsidRDefault="00E34C95"/>
    <w:p w14:paraId="2FB4A55C" w14:textId="77777777" w:rsidR="00E34C95" w:rsidRDefault="00000000">
      <w:pPr>
        <w:spacing w:after="80"/>
        <w:jc w:val="center"/>
      </w:pPr>
      <w:r>
        <w:rPr>
          <w:i/>
          <w:iCs/>
          <w:color w:val="2B4F76"/>
          <w:sz w:val="24"/>
          <w:szCs w:val="24"/>
        </w:rPr>
        <w:t>Dyed-Spacetime Six-Panel Atlas: 175 SPARC Galaxies</w:t>
      </w:r>
    </w:p>
    <w:p w14:paraId="40389490" w14:textId="39923CBD" w:rsidR="00E34C95" w:rsidRDefault="00000000">
      <w:pPr>
        <w:spacing w:after="80"/>
        <w:jc w:val="center"/>
      </w:pPr>
      <w:r>
        <w:rPr>
          <w:i/>
          <w:iCs/>
          <w:sz w:val="24"/>
          <w:szCs w:val="24"/>
        </w:rPr>
        <w:t xml:space="preserve">Kinematic Reconstruction, Effective Potential </w:t>
      </w:r>
      <w:r w:rsidR="006C7C5F">
        <w:rPr>
          <w:i/>
          <w:iCs/>
          <w:sz w:val="24"/>
          <w:szCs w:val="24"/>
        </w:rPr>
        <w:t>Visualization</w:t>
      </w:r>
      <w:r>
        <w:rPr>
          <w:i/>
          <w:iCs/>
          <w:sz w:val="24"/>
          <w:szCs w:val="24"/>
        </w:rPr>
        <w:t xml:space="preserve"> &amp;</w:t>
      </w:r>
    </w:p>
    <w:p w14:paraId="55A81F7E" w14:textId="77777777" w:rsidR="00E34C95" w:rsidRDefault="00000000">
      <w:pPr>
        <w:spacing w:after="240"/>
        <w:jc w:val="center"/>
      </w:pPr>
      <w:r>
        <w:rPr>
          <w:i/>
          <w:iCs/>
          <w:sz w:val="24"/>
          <w:szCs w:val="24"/>
        </w:rPr>
        <w:t>Auxiliary-Field Edge-Response Phenomenology</w:t>
      </w:r>
    </w:p>
    <w:p w14:paraId="2DCD140B" w14:textId="65B8BE17" w:rsidR="00E34C95" w:rsidRDefault="00591212" w:rsidP="00591212">
      <w:pPr>
        <w:spacing w:line="480" w:lineRule="auto"/>
        <w:jc w:val="center"/>
      </w:pPr>
      <w:r>
        <w:t>R D Kitcey</w:t>
      </w:r>
    </w:p>
    <w:p w14:paraId="2F86B9B9" w14:textId="77777777" w:rsidR="00E34C95" w:rsidRDefault="00000000">
      <w:pPr>
        <w:spacing w:after="60"/>
        <w:jc w:val="center"/>
      </w:pPr>
      <w:r>
        <w:rPr>
          <w:sz w:val="20"/>
          <w:szCs w:val="20"/>
        </w:rPr>
        <w:t>Based on:</w:t>
      </w:r>
    </w:p>
    <w:p w14:paraId="5E8FABDF" w14:textId="77777777" w:rsidR="00E34C95" w:rsidRDefault="00000000">
      <w:pPr>
        <w:spacing w:after="40"/>
        <w:jc w:val="center"/>
      </w:pPr>
      <w:r>
        <w:rPr>
          <w:b/>
          <w:bCs/>
          <w:color w:val="0D1B2A"/>
        </w:rPr>
        <w:t>Kitcey (2026) — Spacetime Mechanics v 0.5.3</w:t>
      </w:r>
    </w:p>
    <w:p w14:paraId="48C176A8" w14:textId="77777777" w:rsidR="00E34C95" w:rsidRDefault="00000000">
      <w:pPr>
        <w:spacing w:after="40"/>
        <w:jc w:val="center"/>
      </w:pPr>
      <w:proofErr w:type="gramStart"/>
      <w:r>
        <w:rPr>
          <w:sz w:val="18"/>
          <w:szCs w:val="18"/>
        </w:rPr>
        <w:t>DYED_SPACETIME_ATLAS_REPORT.md  ·</w:t>
      </w:r>
      <w:proofErr w:type="gramEnd"/>
      <w:r>
        <w:rPr>
          <w:sz w:val="18"/>
          <w:szCs w:val="18"/>
        </w:rPr>
        <w:t xml:space="preserve">  DYED_SPACETIME_SIX_PANEL_HOW_TO_READ.md</w:t>
      </w:r>
    </w:p>
    <w:p w14:paraId="40F1F368" w14:textId="77777777" w:rsidR="00E34C95" w:rsidRDefault="00000000">
      <w:pPr>
        <w:spacing w:after="40"/>
        <w:jc w:val="center"/>
      </w:pPr>
      <w:proofErr w:type="gramStart"/>
      <w:r>
        <w:rPr>
          <w:sz w:val="18"/>
          <w:szCs w:val="18"/>
        </w:rPr>
        <w:t>SPARC_ROTMod_METHODOLOGY.md  ·</w:t>
      </w:r>
      <w:proofErr w:type="gramEnd"/>
      <w:r>
        <w:rPr>
          <w:sz w:val="18"/>
          <w:szCs w:val="18"/>
        </w:rPr>
        <w:t xml:space="preserve">  DYED_SPACETIME_RENDERING_METHODOLOGY.md</w:t>
      </w:r>
    </w:p>
    <w:p w14:paraId="1D13B799" w14:textId="77777777" w:rsidR="00E34C95" w:rsidRDefault="00E34C95">
      <w:pPr>
        <w:spacing w:line="480" w:lineRule="auto"/>
      </w:pPr>
    </w:p>
    <w:p w14:paraId="187721C1" w14:textId="77777777" w:rsidR="00E34C95" w:rsidRDefault="00000000">
      <w:pPr>
        <w:spacing w:after="40"/>
        <w:jc w:val="center"/>
      </w:pPr>
      <w:r>
        <w:rPr>
          <w:sz w:val="20"/>
          <w:szCs w:val="20"/>
        </w:rPr>
        <w:t>Analysis produced February 2026</w:t>
      </w:r>
    </w:p>
    <w:p w14:paraId="2D56B34B" w14:textId="77777777" w:rsidR="00E34C95" w:rsidRDefault="00000000">
      <w:r>
        <w:br w:type="page"/>
      </w:r>
    </w:p>
    <w:p w14:paraId="72291757" w14:textId="77777777" w:rsidR="00E34C95" w:rsidRDefault="00E34C95">
      <w:pPr>
        <w:sectPr w:rsidR="00E34C95">
          <w:pgSz w:w="12240" w:h="15840"/>
          <w:pgMar w:top="1440" w:right="1440" w:bottom="1440" w:left="1440" w:header="708" w:footer="708" w:gutter="0"/>
          <w:cols w:space="720"/>
          <w:docGrid w:linePitch="360"/>
        </w:sectPr>
      </w:pPr>
    </w:p>
    <w:p w14:paraId="2D714F4E" w14:textId="77777777" w:rsidR="00E34C95" w:rsidRDefault="00000000">
      <w:pPr>
        <w:pStyle w:val="Heading1"/>
      </w:pPr>
      <w:r>
        <w:lastRenderedPageBreak/>
        <w:t>Executive Summary</w:t>
      </w:r>
    </w:p>
    <w:p w14:paraId="6EFC2FFC" w14:textId="77777777" w:rsidR="00E34C95" w:rsidRDefault="00E34C95">
      <w:pPr>
        <w:pBdr>
          <w:bottom w:val="single" w:sz="6" w:space="1" w:color="C9922A"/>
        </w:pBdr>
      </w:pPr>
    </w:p>
    <w:p w14:paraId="5BC9CFC8" w14:textId="77777777" w:rsidR="00E34C95" w:rsidRDefault="00E34C95">
      <w:pPr>
        <w:spacing w:line="80" w:lineRule="auto"/>
      </w:pPr>
    </w:p>
    <w:p w14:paraId="68350199" w14:textId="77777777" w:rsidR="00E34C95" w:rsidRDefault="00000000">
      <w:pPr>
        <w:spacing w:before="60" w:after="100" w:line="340" w:lineRule="auto"/>
      </w:pPr>
      <w:r>
        <w:t>This report provides a deep, comprehensive analysis of the Dyed-Spacetime SPARC Galaxy Atlas — a corpus of 175 six-panel kinematic reconstruction figures derived from real SPARC rotation-curve data. The atlas sits at the observational and computational heart of the Spacetime Mechanics manuscript (Kitcey 2026), which advances the hypothesis that intrinsic mechanical properties of spacetime — arising within the standard General Relativity (GR) and Effective Field Theory (EFT) framework — can account for the gravitational phenomenology typically attributed to cold dark matter (CDM). Rather than positing a new matter species, the framework asks whether nonlinear, scale-dependent, boundary-layer, or harmonic responses of the metric field can replicate the observational signatures of an extended dark-matter distribution. Each of the 175 atlas pages encodes six panels: an observed rotation curve with baryonic and model overlays; an inferred effective potential; a 2D 'dyed-fabric' depth map; a 3D proxy surface; an illustrative orbit map; and a residual diagnostic panel. Together, these pages constitute a rigorous, reproducible falsifiability scaffold applied galaxy by galaxy.</w:t>
      </w:r>
    </w:p>
    <w:p w14:paraId="548B3188" w14:textId="77777777" w:rsidR="00E34C95" w:rsidRDefault="00E34C95">
      <w:pPr>
        <w:spacing w:line="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34C95" w14:paraId="07882533" w14:textId="77777777">
        <w:tblPrEx>
          <w:tblCellMar>
            <w:top w:w="0" w:type="dxa"/>
            <w:bottom w:w="0" w:type="dxa"/>
          </w:tblCellMar>
        </w:tblPrEx>
        <w:tc>
          <w:tcPr>
            <w:tcW w:w="9360" w:type="dxa"/>
            <w:tcBorders>
              <w:left w:val="thick" w:sz="12" w:space="0" w:color="1A7B74"/>
            </w:tcBorders>
            <w:shd w:val="clear" w:color="auto" w:fill="EBF5EB"/>
            <w:tcMar>
              <w:top w:w="120" w:type="dxa"/>
              <w:left w:w="200" w:type="dxa"/>
              <w:bottom w:w="120" w:type="dxa"/>
              <w:right w:w="160" w:type="dxa"/>
            </w:tcMar>
          </w:tcPr>
          <w:p w14:paraId="7AF81E45" w14:textId="77777777" w:rsidR="00E34C95" w:rsidRDefault="00000000">
            <w:pPr>
              <w:spacing w:after="60"/>
            </w:pPr>
            <w:r>
              <w:rPr>
                <w:b/>
                <w:bCs/>
                <w:color w:val="1A7B74"/>
                <w:sz w:val="20"/>
                <w:szCs w:val="20"/>
              </w:rPr>
              <w:t>Headline Finding</w:t>
            </w:r>
          </w:p>
          <w:p w14:paraId="1BAE448A" w14:textId="77777777" w:rsidR="00E34C95" w:rsidRDefault="00000000">
            <w:pPr>
              <w:spacing w:line="320" w:lineRule="auto"/>
            </w:pPr>
            <w:r>
              <w:rPr>
                <w:sz w:val="21"/>
                <w:szCs w:val="21"/>
              </w:rPr>
              <w:t>Across 175 SPARC galaxies, the one-parameter auxiliary-field edge-response model achieves a 'very-strong' Δχ² improvement class in 161 systems (92%), a 'strong' improvement in 5 (3%), and only 9 galaxies (5%) fall into the moderate, weak, or no-improvement categories. This is a striking cross-catalogue result for a model that fits a single free parameter per galaxy.</w:t>
            </w:r>
          </w:p>
        </w:tc>
      </w:tr>
    </w:tbl>
    <w:p w14:paraId="0D07B873" w14:textId="77777777" w:rsidR="00E34C95" w:rsidRDefault="00E34C95">
      <w:pPr>
        <w:spacing w:line="100" w:lineRule="auto"/>
      </w:pPr>
    </w:p>
    <w:p w14:paraId="7C3BB99D" w14:textId="77777777" w:rsidR="00E34C95" w:rsidRDefault="00000000">
      <w:pPr>
        <w:pStyle w:val="Heading1"/>
      </w:pPr>
      <w:r>
        <w:t>1.  Theoretical Framework &amp; Conceptual Basis</w:t>
      </w:r>
    </w:p>
    <w:p w14:paraId="1A4CB1D3" w14:textId="77777777" w:rsidR="00E34C95" w:rsidRDefault="00E34C95">
      <w:pPr>
        <w:pBdr>
          <w:bottom w:val="single" w:sz="4" w:space="1" w:color="2B4F76"/>
        </w:pBdr>
      </w:pPr>
    </w:p>
    <w:p w14:paraId="0B4EB3D0" w14:textId="77777777" w:rsidR="00E34C95" w:rsidRDefault="00E34C95">
      <w:pPr>
        <w:spacing w:line="60" w:lineRule="auto"/>
      </w:pPr>
    </w:p>
    <w:p w14:paraId="6554E2F7" w14:textId="1F6E70F2" w:rsidR="00E34C95" w:rsidRDefault="006C7C5F">
      <w:pPr>
        <w:pStyle w:val="Heading2"/>
        <w:spacing w:before="300"/>
      </w:pPr>
      <w:r>
        <w:t>1.1 The</w:t>
      </w:r>
      <w:r w:rsidR="00000000">
        <w:t xml:space="preserve"> Dark-Matter Problem and Its Motivation</w:t>
      </w:r>
    </w:p>
    <w:p w14:paraId="0494049C" w14:textId="77777777" w:rsidR="00E34C95" w:rsidRDefault="00000000">
      <w:pPr>
        <w:spacing w:before="60" w:after="100" w:line="340" w:lineRule="auto"/>
      </w:pPr>
      <w:r>
        <w:t>The dark-matter hypothesis has been a foundational pillar of cosmology since Zwicky's 1933 inference of 'missing mass' in the Coma Cluster and Rubin &amp; Ford's 1970 galactic rotation-curve measurements. The observational fingerprint is well-established: circular speeds in disc galaxies do not decline Keplerian-ally with radius as the visible baryonic mass distribution alone would predict. Instead, they plateau to a roughly flat asymptotic value — the 'flat rotation curve' — implying a halo of invisible mass extending far beyond the optical disc. Despite this empirical success, the particle-physics identity of dark matter remains entirely unknown. Decades of increasingly sensitive direct-detection campaigns — including LUX, XENON1T, and PandaX-II — have returned null results across vast swathes of mass-cross-section parameter space. This tension motivates a broader conceptual examination.</w:t>
      </w:r>
    </w:p>
    <w:p w14:paraId="3D819735" w14:textId="3C09093C" w:rsidR="00E34C95" w:rsidRDefault="006C7C5F">
      <w:pPr>
        <w:pStyle w:val="Heading2"/>
        <w:spacing w:before="300"/>
      </w:pPr>
      <w:r>
        <w:t>1.2 Intrinsic</w:t>
      </w:r>
      <w:r w:rsidR="00000000">
        <w:t xml:space="preserve"> Spacetime Mechanics: Core Hypothesis</w:t>
      </w:r>
    </w:p>
    <w:p w14:paraId="2F92B17C" w14:textId="030D9FEF" w:rsidR="00E34C95" w:rsidRDefault="00000000">
      <w:pPr>
        <w:spacing w:before="60" w:after="100" w:line="340" w:lineRule="auto"/>
      </w:pPr>
      <w:r>
        <w:t xml:space="preserve">The Spacetime Mechanics manuscript proposes that the dynamical richness of the metric field within GR and its EFT extensions may be sufficient to account for the observed gravitational phenomenology without recourse to new matter. Specifically, it investigates whether nonlinear, scale-dependent, or boundary-layer responses of the metric can mimic an extended mass distribution in the rotation-curve sector. EFT naturally introduces higher-order curvature terms, nonlocal effects, and scale-dependent </w:t>
      </w:r>
      <w:r w:rsidR="006C7C5F">
        <w:t>behavior</w:t>
      </w:r>
      <w:r>
        <w:t xml:space="preserve"> — features that can produce boundary-layer and harmonic modes in low-acceleration regimes without modifying the Einstein-Hilbert action at leading order. This is conceptually conservative: it requires no new particle species, hidden sectors, or modifications to the field equations.</w:t>
      </w:r>
    </w:p>
    <w:p w14:paraId="29AFA4BC" w14:textId="77777777" w:rsidR="00E34C95" w:rsidRDefault="00000000">
      <w:pPr>
        <w:spacing w:before="60" w:after="100" w:line="340" w:lineRule="auto"/>
      </w:pPr>
      <w:r>
        <w:t>The hypothesis situates itself against the historical backdrop of the 'Vulcan episode' in nineteenth-century celestial mechanics, in which Mercury's anomalous perihelion precession was initially attributed to a hypothetical intra-Mercurial planet before Einstein's GR provided an intrinsic geometric explanation. The manuscript draws this analogy deliberately: matter-based explanations for gravitational anomalies are not the only theoretically admissible class of solutions.</w:t>
      </w:r>
    </w:p>
    <w:p w14:paraId="524F8D19" w14:textId="372B5A55" w:rsidR="00E34C95" w:rsidRDefault="006C7C5F">
      <w:pPr>
        <w:pStyle w:val="Heading2"/>
        <w:spacing w:before="300"/>
      </w:pPr>
      <w:r>
        <w:t>1.3 The</w:t>
      </w:r>
      <w:r w:rsidR="00000000">
        <w:t xml:space="preserve"> Auxiliary-Field Edge-Response Model</w:t>
      </w:r>
    </w:p>
    <w:p w14:paraId="50E4D8E4" w14:textId="77777777" w:rsidR="00E34C95" w:rsidRDefault="00000000">
      <w:pPr>
        <w:spacing w:before="60" w:after="100" w:line="340" w:lineRule="auto"/>
      </w:pPr>
      <w:r>
        <w:t>For computational and falsifiability purposes, the manuscript instantiates the intrinsic-mechanics idea through a one-parameter auxiliary-field edge-response toy model. The model constructs a baryonic velocity template from SPARC rotmod components:</w:t>
      </w:r>
    </w:p>
    <w:p w14:paraId="76617060" w14:textId="652F2026" w:rsidR="00E34C95" w:rsidRDefault="006C7C5F" w:rsidP="006C7C5F">
      <w:pPr>
        <w:spacing w:before="60" w:after="100" w:line="340" w:lineRule="auto"/>
        <w:jc w:val="center"/>
      </w:pPr>
      <m:oMathPara>
        <m:oMath>
          <m:sSup>
            <m:sSupPr>
              <m:ctrlPr>
                <w:rPr>
                  <w:rFonts w:ascii="Cambria Math" w:hAnsi="Cambria Math"/>
                  <w:i/>
                  <w:iCs/>
                </w:rPr>
              </m:ctrlPr>
            </m:sSupPr>
            <m:e>
              <m:r>
                <w:rPr>
                  <w:rFonts w:ascii="Cambria Math" w:hAnsi="Cambria Math"/>
                </w:rPr>
                <m:t>V</m:t>
              </m:r>
            </m:e>
            <m:sup>
              <m:r>
                <w:rPr>
                  <w:rFonts w:ascii="Cambria Math" w:hAnsi="Cambria Math"/>
                </w:rPr>
                <m:t>2</m:t>
              </m:r>
            </m:sup>
          </m:sSup>
          <m:r>
            <w:rPr>
              <w:rFonts w:ascii="Cambria Math" w:hAnsi="Cambria Math"/>
            </w:rPr>
            <m:t>ₜₒₜ</m:t>
          </m:r>
          <m:d>
            <m:dPr>
              <m:ctrlPr>
                <w:rPr>
                  <w:rFonts w:ascii="Cambria Math" w:hAnsi="Cambria Math"/>
                  <w:i/>
                  <w:iCs/>
                </w:rPr>
              </m:ctrlPr>
            </m:dPr>
            <m:e>
              <m:r>
                <w:rPr>
                  <w:rFonts w:ascii="Cambria Math" w:hAnsi="Cambria Math"/>
                </w:rPr>
                <m:t>R</m:t>
              </m:r>
            </m:e>
          </m:d>
          <m:r>
            <w:rPr>
              <w:rFonts w:ascii="Cambria Math" w:hAnsi="Cambria Math"/>
            </w:rPr>
            <m:t>=</m:t>
          </m:r>
          <m:sSup>
            <m:sSupPr>
              <m:ctrlPr>
                <w:rPr>
                  <w:rFonts w:ascii="Cambria Math" w:hAnsi="Cambria Math"/>
                  <w:i/>
                  <w:iCs/>
                </w:rPr>
              </m:ctrlPr>
            </m:sSupPr>
            <m:e>
              <m:r>
                <w:rPr>
                  <w:rFonts w:ascii="Cambria Math" w:hAnsi="Cambria Math"/>
                </w:rPr>
                <m:t>V</m:t>
              </m:r>
            </m:e>
            <m:sup>
              <m:r>
                <w:rPr>
                  <w:rFonts w:ascii="Cambria Math" w:hAnsi="Cambria Math"/>
                </w:rPr>
                <m:t>2</m:t>
              </m:r>
            </m:sup>
          </m:sSup>
          <m:r>
            <w:rPr>
              <w:rFonts w:ascii="Cambria Math" w:hAnsi="Cambria Math"/>
            </w:rPr>
            <m:t>gas</m:t>
          </m:r>
          <m:d>
            <m:dPr>
              <m:ctrlPr>
                <w:rPr>
                  <w:rFonts w:ascii="Cambria Math" w:hAnsi="Cambria Math"/>
                  <w:i/>
                  <w:iCs/>
                </w:rPr>
              </m:ctrlPr>
            </m:dPr>
            <m:e>
              <m:r>
                <w:rPr>
                  <w:rFonts w:ascii="Cambria Math" w:hAnsi="Cambria Math"/>
                </w:rPr>
                <m:t>R</m:t>
              </m:r>
            </m:e>
          </m:d>
          <m:r>
            <w:rPr>
              <w:rFonts w:ascii="Cambria Math" w:hAnsi="Cambria Math"/>
            </w:rPr>
            <m:t>+Υdisk·</m:t>
          </m:r>
          <m:sSup>
            <m:sSupPr>
              <m:ctrlPr>
                <w:rPr>
                  <w:rFonts w:ascii="Cambria Math" w:hAnsi="Cambria Math"/>
                  <w:i/>
                  <w:iCs/>
                </w:rPr>
              </m:ctrlPr>
            </m:sSupPr>
            <m:e>
              <m:r>
                <w:rPr>
                  <w:rFonts w:ascii="Cambria Math" w:hAnsi="Cambria Math"/>
                </w:rPr>
                <m:t>V</m:t>
              </m:r>
            </m:e>
            <m:sup>
              <m:r>
                <w:rPr>
                  <w:rFonts w:ascii="Cambria Math" w:hAnsi="Cambria Math"/>
                </w:rPr>
                <m:t>2</m:t>
              </m:r>
            </m:sup>
          </m:sSup>
          <m:r>
            <w:rPr>
              <w:rFonts w:ascii="Cambria Math" w:hAnsi="Cambria Math"/>
            </w:rPr>
            <m:t>disk</m:t>
          </m:r>
          <m:d>
            <m:dPr>
              <m:ctrlPr>
                <w:rPr>
                  <w:rFonts w:ascii="Cambria Math" w:hAnsi="Cambria Math"/>
                  <w:i/>
                  <w:iCs/>
                </w:rPr>
              </m:ctrlPr>
            </m:dPr>
            <m:e>
              <m:r>
                <w:rPr>
                  <w:rFonts w:ascii="Cambria Math" w:hAnsi="Cambria Math"/>
                </w:rPr>
                <m:t>R</m:t>
              </m:r>
            </m:e>
          </m:d>
          <m:r>
            <w:rPr>
              <w:rFonts w:ascii="Cambria Math" w:hAnsi="Cambria Math"/>
            </w:rPr>
            <m:t>+Υbul·</m:t>
          </m:r>
          <m:sSup>
            <m:sSupPr>
              <m:ctrlPr>
                <w:rPr>
                  <w:rFonts w:ascii="Cambria Math" w:hAnsi="Cambria Math"/>
                  <w:i/>
                  <w:iCs/>
                </w:rPr>
              </m:ctrlPr>
            </m:sSupPr>
            <m:e>
              <m:r>
                <w:rPr>
                  <w:rFonts w:ascii="Cambria Math" w:hAnsi="Cambria Math"/>
                </w:rPr>
                <m:t>V</m:t>
              </m:r>
            </m:e>
            <m:sup>
              <m:r>
                <w:rPr>
                  <w:rFonts w:ascii="Cambria Math" w:hAnsi="Cambria Math"/>
                </w:rPr>
                <m:t>2</m:t>
              </m:r>
            </m:sup>
          </m:sSup>
          <m:r>
            <w:rPr>
              <w:rFonts w:ascii="Cambria Math" w:hAnsi="Cambria Math"/>
            </w:rPr>
            <m:t>bul</m:t>
          </m:r>
          <m:d>
            <m:dPr>
              <m:ctrlPr>
                <w:rPr>
                  <w:rFonts w:ascii="Cambria Math" w:hAnsi="Cambria Math"/>
                  <w:i/>
                  <w:iCs/>
                </w:rPr>
              </m:ctrlPr>
            </m:dPr>
            <m:e>
              <m:r>
                <w:rPr>
                  <w:rFonts w:ascii="Cambria Math" w:hAnsi="Cambria Math"/>
                </w:rPr>
                <m:t>R</m:t>
              </m:r>
            </m:e>
          </m:d>
        </m:oMath>
      </m:oMathPara>
    </w:p>
    <w:p w14:paraId="13211301" w14:textId="174195B8" w:rsidR="00E34C95" w:rsidRDefault="00000000">
      <w:pPr>
        <w:spacing w:before="60" w:after="100" w:line="340" w:lineRule="auto"/>
      </w:pPr>
      <w:r>
        <w:t xml:space="preserve">It then estimates a transition radius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t xml:space="preserve"> where the baryonic centripetal acceleration equals the empirical scale </w:t>
      </w:r>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≈1.2×</m:t>
        </m:r>
        <m:sSup>
          <m:sSupPr>
            <m:ctrlPr>
              <w:rPr>
                <w:rFonts w:ascii="Cambria Math" w:hAnsi="Cambria Math"/>
                <w:i/>
              </w:rPr>
            </m:ctrlPr>
          </m:sSupPr>
          <m:e>
            <m:r>
              <w:rPr>
                <w:rFonts w:ascii="Cambria Math" w:hAnsi="Cambria Math"/>
              </w:rPr>
              <m:t>10</m:t>
            </m:r>
          </m:e>
          <m:sup>
            <m:r>
              <w:rPr>
                <w:rFonts w:ascii="Cambria Math" w:hAnsi="Cambria Math"/>
              </w:rPr>
              <m:t>-10</m:t>
            </m:r>
          </m:sup>
        </m:sSup>
        <m:r>
          <w:rPr>
            <w:rFonts w:ascii="Cambria Math" w:hAnsi="Cambria Math"/>
          </w:rPr>
          <m:t>m</m:t>
        </m:r>
        <m:r>
          <m:rPr>
            <m:lit/>
          </m:rP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oMath>
      <w:r>
        <w:t xml:space="preserve">. An auxiliary scalar field </w:t>
      </w:r>
      <m:oMath>
        <m:r>
          <w:rPr>
            <w:rFonts w:ascii="Cambria Math" w:hAnsi="Cambria Math"/>
          </w:rPr>
          <m:t>χ</m:t>
        </m:r>
      </m:oMath>
      <w:r>
        <w:t xml:space="preserve"> is sourced by a Gaussian bump near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t xml:space="preserve">. Beyond the source region, </w:t>
      </w:r>
      <m:oMath>
        <m:sSup>
          <m:sSupPr>
            <m:ctrlPr>
              <w:rPr>
                <w:rFonts w:ascii="Cambria Math" w:hAnsi="Cambria Math"/>
                <w:i/>
              </w:rPr>
            </m:ctrlPr>
          </m:sSupPr>
          <m:e>
            <m:r>
              <w:rPr>
                <w:rFonts w:ascii="Cambria Math" w:hAnsi="Cambria Math"/>
              </w:rPr>
              <m:t>χ</m:t>
            </m:r>
          </m:e>
          <m:sup>
            <m:r>
              <w:rPr>
                <w:rFonts w:ascii="Cambria Math" w:hAnsi="Cambria Math"/>
              </w:rPr>
              <m:t>'</m:t>
            </m:r>
          </m:sup>
        </m:sSup>
        <m:d>
          <m:dPr>
            <m:ctrlPr>
              <w:rPr>
                <w:rFonts w:ascii="Cambria Math" w:hAnsi="Cambria Math"/>
                <w:i/>
              </w:rPr>
            </m:ctrlPr>
          </m:dPr>
          <m:e>
            <m:r>
              <w:rPr>
                <w:rFonts w:ascii="Cambria Math" w:hAnsi="Cambria Math"/>
              </w:rPr>
              <m:t>R</m:t>
            </m:r>
          </m:e>
        </m:d>
        <m:r>
          <w:rPr>
            <w:rFonts w:ascii="Cambria Math" w:hAnsi="Cambria Math"/>
          </w:rPr>
          <m:t>→1</m:t>
        </m:r>
        <m:r>
          <m:rPr>
            <m:lit/>
          </m:rPr>
          <w:rPr>
            <w:rFonts w:ascii="Cambria Math" w:hAnsi="Cambria Math"/>
          </w:rPr>
          <m:t>/</m:t>
        </m:r>
        <m:r>
          <w:rPr>
            <w:rFonts w:ascii="Cambria Math" w:hAnsi="Cambria Math"/>
          </w:rPr>
          <m:t>R</m:t>
        </m:r>
      </m:oMath>
      <w:r>
        <w:t>, generating an extra contribution to the total acceleration:</w:t>
      </w:r>
    </w:p>
    <w:p w14:paraId="76E2D837" w14:textId="0EF50BAE" w:rsidR="00E34C95" w:rsidRDefault="006C7C5F">
      <w:pPr>
        <w:spacing w:before="60" w:after="100" w:line="340" w:lineRule="auto"/>
      </w:pPr>
      <m:oMathPara>
        <m:oMath>
          <m:sSub>
            <m:sSubPr>
              <m:ctrlPr>
                <w:rPr>
                  <w:rFonts w:ascii="Cambria Math" w:hAnsi="Cambria Math"/>
                  <w:i/>
                  <w:iCs/>
                </w:rPr>
              </m:ctrlPr>
            </m:sSubPr>
            <m:e>
              <m:r>
                <w:rPr>
                  <w:rFonts w:ascii="Cambria Math" w:hAnsi="Cambria Math"/>
                </w:rPr>
                <m:t>g</m:t>
              </m:r>
            </m:e>
            <m:sub>
              <m:r>
                <w:rPr>
                  <w:rFonts w:ascii="Cambria Math" w:hAnsi="Cambria Math"/>
                </w:rPr>
                <m:t>tot</m:t>
              </m:r>
            </m:sub>
          </m:sSub>
          <m:d>
            <m:dPr>
              <m:ctrlPr>
                <w:rPr>
                  <w:rFonts w:ascii="Cambria Math" w:hAnsi="Cambria Math"/>
                  <w:i/>
                  <w:iCs/>
                </w:rPr>
              </m:ctrlPr>
            </m:dPr>
            <m:e>
              <m:r>
                <w:rPr>
                  <w:rFonts w:ascii="Cambria Math" w:hAnsi="Cambria Math"/>
                </w:rPr>
                <m:t>R</m:t>
              </m:r>
            </m:e>
          </m:d>
          <m:r>
            <w:rPr>
              <w:rFonts w:ascii="Cambria Math" w:hAnsi="Cambria Math"/>
            </w:rPr>
            <m:t>=</m:t>
          </m:r>
          <m:sSub>
            <m:sSubPr>
              <m:ctrlPr>
                <w:rPr>
                  <w:rFonts w:ascii="Cambria Math" w:hAnsi="Cambria Math"/>
                  <w:i/>
                  <w:iCs/>
                </w:rPr>
              </m:ctrlPr>
            </m:sSubPr>
            <m:e>
              <m:r>
                <w:rPr>
                  <w:rFonts w:ascii="Cambria Math" w:hAnsi="Cambria Math"/>
                </w:rPr>
                <m:t>g</m:t>
              </m:r>
            </m:e>
            <m:sub>
              <m:r>
                <w:rPr>
                  <w:rFonts w:ascii="Cambria Math" w:hAnsi="Cambria Math"/>
                </w:rPr>
                <m:t>bar</m:t>
              </m:r>
            </m:sub>
          </m:sSub>
          <m:d>
            <m:dPr>
              <m:ctrlPr>
                <w:rPr>
                  <w:rFonts w:ascii="Cambria Math" w:hAnsi="Cambria Math"/>
                  <w:i/>
                  <w:iCs/>
                </w:rPr>
              </m:ctrlPr>
            </m:dPr>
            <m:e>
              <m:r>
                <w:rPr>
                  <w:rFonts w:ascii="Cambria Math" w:hAnsi="Cambria Math"/>
                </w:rPr>
                <m:t>R</m:t>
              </m:r>
            </m:e>
          </m:d>
          <m:r>
            <w:rPr>
              <w:rFonts w:ascii="Cambria Math" w:hAnsi="Cambria Math"/>
            </w:rPr>
            <m:t>+Q·</m:t>
          </m:r>
          <m:sSubSup>
            <m:sSubSupPr>
              <m:ctrlPr>
                <w:rPr>
                  <w:rFonts w:ascii="Cambria Math" w:hAnsi="Cambria Math"/>
                  <w:i/>
                  <w:iCs/>
                </w:rPr>
              </m:ctrlPr>
            </m:sSubSupPr>
            <m:e>
              <m:r>
                <w:rPr>
                  <w:rFonts w:ascii="Cambria Math" w:hAnsi="Cambria Math"/>
                </w:rPr>
                <m:t>χ</m:t>
              </m:r>
            </m:e>
            <m:sub>
              <m:r>
                <w:rPr>
                  <w:rFonts w:ascii="Cambria Math" w:hAnsi="Cambria Math"/>
                </w:rPr>
                <m:t>unit</m:t>
              </m:r>
            </m:sub>
            <m:sup>
              <m:r>
                <w:rPr>
                  <w:rFonts w:ascii="Cambria Math" w:hAnsi="Cambria Math"/>
                </w:rPr>
                <m:t>'</m:t>
              </m:r>
            </m:sup>
          </m:sSubSup>
          <m:d>
            <m:dPr>
              <m:ctrlPr>
                <w:rPr>
                  <w:rFonts w:ascii="Cambria Math" w:hAnsi="Cambria Math"/>
                  <w:i/>
                  <w:iCs/>
                </w:rPr>
              </m:ctrlPr>
            </m:dPr>
            <m:e>
              <m:r>
                <w:rPr>
                  <w:rFonts w:ascii="Cambria Math" w:hAnsi="Cambria Math"/>
                </w:rPr>
                <m:t>R</m:t>
              </m:r>
            </m:e>
          </m:d>
        </m:oMath>
      </m:oMathPara>
    </w:p>
    <w:p w14:paraId="778DA16D" w14:textId="14691470" w:rsidR="00E34C95" w:rsidRDefault="00000000">
      <w:pPr>
        <w:spacing w:before="60" w:after="100" w:line="340" w:lineRule="auto"/>
      </w:pPr>
      <w:r>
        <w:t xml:space="preserve">The single free parameter </w:t>
      </w:r>
      <m:oMath>
        <m:r>
          <w:rPr>
            <w:rFonts w:ascii="Cambria Math" w:hAnsi="Cambria Math"/>
          </w:rPr>
          <m:t>Q ≥ 0</m:t>
        </m:r>
      </m:oMath>
      <w:r>
        <w:t xml:space="preserve"> is fitted per galaxy by deterministic golden-section search on a weighted chi-squared objective. At large </w:t>
      </w:r>
      <m:oMath>
        <m:r>
          <w:rPr>
            <w:rFonts w:ascii="Cambria Math" w:hAnsi="Cambria Math"/>
          </w:rPr>
          <m:t>R</m:t>
        </m:r>
      </m:oMath>
      <w:r>
        <w:t xml:space="preserve">, </w:t>
      </w:r>
      <m:oMath>
        <m:rad>
          <m:radPr>
            <m:degHide m:val="1"/>
            <m:ctrlPr>
              <w:rPr>
                <w:rFonts w:ascii="Cambria Math" w:hAnsi="Cambria Math"/>
                <w:i/>
              </w:rPr>
            </m:ctrlPr>
          </m:radPr>
          <m:deg/>
          <m:e>
            <m:r>
              <w:rPr>
                <w:rFonts w:ascii="Cambria Math" w:hAnsi="Cambria Math"/>
              </w:rPr>
              <m:t>Q</m:t>
            </m:r>
          </m:e>
        </m:rad>
      </m:oMath>
      <w:r>
        <w:t xml:space="preserve"> approximates the asymptotic extra-velocity scale contributed by the auxiliary field. The minimality of this </w:t>
      </w:r>
      <w:r w:rsidR="006C7C5F">
        <w:t>parametrization</w:t>
      </w:r>
      <w:r>
        <w:t xml:space="preserve"> — one number per galaxy against typically 6 to 70 data points — makes the model stringently falsifiable.</w:t>
      </w:r>
    </w:p>
    <w:p w14:paraId="0F76BEB9" w14:textId="25AACD6B" w:rsidR="00E34C95" w:rsidRDefault="006C7C5F">
      <w:pPr>
        <w:pStyle w:val="Heading2"/>
        <w:spacing w:before="300"/>
      </w:pPr>
      <w:r>
        <w:t>1.4 The</w:t>
      </w:r>
      <w:r w:rsidR="00000000">
        <w:t xml:space="preserve"> Inverse-GR Perspective</w:t>
      </w:r>
    </w:p>
    <w:p w14:paraId="597F76E1" w14:textId="2D4AE92F" w:rsidR="00E34C95" w:rsidRDefault="00000000">
      <w:pPr>
        <w:spacing w:before="60" w:after="100" w:line="340" w:lineRule="auto"/>
      </w:pPr>
      <w:r>
        <w:t xml:space="preserve">A complementary analytical strand adopts an 'inverse-GR' stance: keeping the Einstein tensor standard and using observed kinematics to infer the effective stress-energy required. In the Newtonian gauge, rotation curves constrain the scalar potential </w:t>
      </w:r>
      <m:oMath>
        <m:r>
          <w:rPr>
            <w:rFonts w:ascii="Cambria Math" w:hAnsi="Cambria Math"/>
          </w:rPr>
          <m:t>Φ</m:t>
        </m:r>
      </m:oMath>
      <w:r>
        <w:t xml:space="preserve"> through </w:t>
      </w:r>
      <m:oMath>
        <m:r>
          <w:rPr>
            <w:rFonts w:ascii="Cambria Math" w:hAnsi="Cambria Math"/>
          </w:rPr>
          <m:t>∇Φ</m:t>
        </m:r>
      </m:oMath>
      <w:r>
        <w:t xml:space="preserve">, while gravitational lensing constrains the Weyl combination </w:t>
      </w:r>
      <m:oMath>
        <m:d>
          <m:dPr>
            <m:ctrlPr>
              <w:rPr>
                <w:rFonts w:ascii="Cambria Math" w:hAnsi="Cambria Math"/>
                <w:i/>
              </w:rPr>
            </m:ctrlPr>
          </m:dPr>
          <m:e>
            <m:r>
              <w:rPr>
                <w:rFonts w:ascii="Cambria Math" w:hAnsi="Cambria Math"/>
              </w:rPr>
              <m:t>Φ+Ψ</m:t>
            </m:r>
          </m:e>
        </m:d>
        <m:r>
          <m:rPr>
            <m:lit/>
          </m:rPr>
          <w:rPr>
            <w:rFonts w:ascii="Cambria Math" w:hAnsi="Cambria Math"/>
          </w:rPr>
          <m:t>/</m:t>
        </m:r>
        <m:r>
          <w:rPr>
            <w:rFonts w:ascii="Cambria Math" w:hAnsi="Cambria Math"/>
          </w:rPr>
          <m:t>2</m:t>
        </m:r>
      </m:oMath>
      <w:r>
        <w:t xml:space="preserve">. In the intrinsic-mechanics interpretation, the residual </w:t>
      </w:r>
      <m:oMath>
        <m:sSub>
          <m:sSubPr>
            <m:ctrlPr>
              <w:rPr>
                <w:rFonts w:ascii="Cambria Math" w:hAnsi="Cambria Math"/>
                <w:i/>
              </w:rPr>
            </m:ctrlPr>
          </m:sSubPr>
          <m:e>
            <m:r>
              <w:rPr>
                <w:rFonts w:ascii="Cambria Math" w:hAnsi="Cambria Math"/>
              </w:rPr>
              <m:t>g</m:t>
            </m:r>
          </m:e>
          <m:sub>
            <m:r>
              <w:rPr>
                <w:rFonts w:ascii="Cambria Math" w:hAnsi="Cambria Math"/>
              </w:rPr>
              <m:t>extra</m:t>
            </m:r>
          </m:sub>
        </m:sSub>
        <m:d>
          <m:dPr>
            <m:ctrlPr>
              <w:rPr>
                <w:rFonts w:ascii="Cambria Math" w:hAnsi="Cambria Math"/>
                <w:i/>
              </w:rPr>
            </m:ctrlPr>
          </m:dPr>
          <m:e>
            <m:r>
              <w:rPr>
                <w:rFonts w:ascii="Cambria Math" w:hAnsi="Cambria Math"/>
              </w:rPr>
              <m:t>R</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obs</m:t>
            </m:r>
          </m:sub>
        </m:sSub>
        <m:d>
          <m:dPr>
            <m:ctrlPr>
              <w:rPr>
                <w:rFonts w:ascii="Cambria Math" w:hAnsi="Cambria Math"/>
                <w:i/>
              </w:rPr>
            </m:ctrlPr>
          </m:dPr>
          <m:e>
            <m:r>
              <w:rPr>
                <w:rFonts w:ascii="Cambria Math" w:hAnsi="Cambria Math"/>
              </w:rPr>
              <m:t>R</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bar</m:t>
            </m:r>
          </m:sub>
        </m:sSub>
        <m:d>
          <m:dPr>
            <m:ctrlPr>
              <w:rPr>
                <w:rFonts w:ascii="Cambria Math" w:hAnsi="Cambria Math"/>
                <w:i/>
              </w:rPr>
            </m:ctrlPr>
          </m:dPr>
          <m:e>
            <m:r>
              <w:rPr>
                <w:rFonts w:ascii="Cambria Math" w:hAnsi="Cambria Math"/>
              </w:rPr>
              <m:t>R</m:t>
            </m:r>
          </m:e>
        </m:d>
      </m:oMath>
      <w:r>
        <w:t xml:space="preserve"> is not sourced by particulate CDM but by an effective geometric response — a '</w:t>
      </w:r>
      <m:oMath>
        <m:r>
          <w:rPr>
            <w:rFonts w:ascii="Cambria Math" w:hAnsi="Cambria Math"/>
          </w:rPr>
          <m:t>polarisation stress</m:t>
        </m:r>
      </m:oMath>
      <w:r>
        <w:t xml:space="preserve">' of the metric field — expressed as a constitutive closure tied to baryonic structure. For a flat outer rotation curve this implies an effective extra density </w:t>
      </w:r>
      <m:oMath>
        <m:sSub>
          <m:sSubPr>
            <m:ctrlPr>
              <w:rPr>
                <w:rFonts w:ascii="Cambria Math" w:hAnsi="Cambria Math"/>
                <w:i/>
              </w:rPr>
            </m:ctrlPr>
          </m:sSubPr>
          <m:e>
            <m:r>
              <w:rPr>
                <w:rFonts w:ascii="Cambria Math" w:hAnsi="Cambria Math"/>
              </w:rPr>
              <m:t>ρ</m:t>
            </m:r>
          </m:e>
          <m:sub>
            <m:r>
              <w:rPr>
                <w:rFonts w:ascii="Cambria Math" w:hAnsi="Cambria Math"/>
              </w:rPr>
              <m:t>extra</m:t>
            </m:r>
          </m:sub>
        </m:sSub>
        <m:d>
          <m:dPr>
            <m:ctrlPr>
              <w:rPr>
                <w:rFonts w:ascii="Cambria Math" w:hAnsi="Cambria Math"/>
                <w:i/>
              </w:rPr>
            </m:ctrlPr>
          </m:dPr>
          <m:e>
            <m:r>
              <w:rPr>
                <w:rFonts w:ascii="Cambria Math" w:hAnsi="Cambria Math"/>
              </w:rPr>
              <m:t>r</m:t>
            </m:r>
          </m:e>
        </m:d>
        <m:r>
          <w:rPr>
            <w:rFonts w:ascii="Cambria Math" w:hAnsi="Cambria Math"/>
          </w:rPr>
          <m:t>∝1</m:t>
        </m:r>
        <m:r>
          <m:rPr>
            <m:lit/>
          </m:rP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oMath>
      <w:r>
        <w:t>, indistinguishable kinematically from a classic NFW or isothermal halo but reinterpreted as intrinsic medium response rather than matter.</w:t>
      </w:r>
    </w:p>
    <w:p w14:paraId="0A006E02" w14:textId="7359E4EE" w:rsidR="00E34C95" w:rsidRDefault="00000000">
      <w:pPr>
        <w:pStyle w:val="Heading1"/>
      </w:pPr>
      <w:r>
        <w:t xml:space="preserve">2.  Atlas Architecture &amp; </w:t>
      </w:r>
      <w:r w:rsidR="0040415C">
        <w:t>Visualization</w:t>
      </w:r>
      <w:r>
        <w:t xml:space="preserve"> Methodology</w:t>
      </w:r>
    </w:p>
    <w:p w14:paraId="4D88F527" w14:textId="77777777" w:rsidR="00E34C95" w:rsidRDefault="00E34C95">
      <w:pPr>
        <w:pBdr>
          <w:bottom w:val="single" w:sz="4" w:space="1" w:color="2B4F76"/>
        </w:pBdr>
      </w:pPr>
    </w:p>
    <w:p w14:paraId="1A31BC60" w14:textId="77777777" w:rsidR="00E34C95" w:rsidRDefault="00E34C95">
      <w:pPr>
        <w:spacing w:line="60" w:lineRule="auto"/>
      </w:pPr>
    </w:p>
    <w:p w14:paraId="0114753D" w14:textId="3D1D7F15" w:rsidR="00E34C95" w:rsidRDefault="0040415C">
      <w:pPr>
        <w:pStyle w:val="Heading2"/>
        <w:spacing w:before="300"/>
      </w:pPr>
      <w:r>
        <w:t>2.1 Data</w:t>
      </w:r>
      <w:r w:rsidR="00000000">
        <w:t xml:space="preserve"> Provenance</w:t>
      </w:r>
    </w:p>
    <w:p w14:paraId="08E247C8" w14:textId="696DC44C" w:rsidR="00E34C95" w:rsidRDefault="00000000">
      <w:pPr>
        <w:spacing w:before="60" w:after="100" w:line="340" w:lineRule="auto"/>
      </w:pPr>
      <w:r>
        <w:t xml:space="preserve">All 175 atlas pages draw exclusively on real observational inputs: galactocentric radius </w:t>
      </w:r>
      <m:oMath>
        <m:r>
          <w:rPr>
            <w:rFonts w:ascii="Cambria Math" w:hAnsi="Cambria Math"/>
          </w:rPr>
          <m:t>R</m:t>
        </m:r>
      </m:oMath>
      <w:r>
        <w:t xml:space="preserve"> (kpc), observed circular speed </w:t>
      </w:r>
      <m:oMath>
        <m:sSub>
          <m:sSubPr>
            <m:ctrlPr>
              <w:rPr>
                <w:rFonts w:ascii="Cambria Math" w:hAnsi="Cambria Math"/>
                <w:i/>
              </w:rPr>
            </m:ctrlPr>
          </m:sSubPr>
          <m:e>
            <m:r>
              <w:rPr>
                <w:rFonts w:ascii="Cambria Math" w:hAnsi="Cambria Math"/>
              </w:rPr>
              <m:t>v</m:t>
            </m:r>
          </m:e>
          <m:sub>
            <m:r>
              <w:rPr>
                <w:rFonts w:ascii="Cambria Math" w:hAnsi="Cambria Math"/>
              </w:rPr>
              <m:t>obs</m:t>
            </m:r>
          </m:sub>
        </m:sSub>
      </m:oMath>
      <w:r>
        <w:t xml:space="preserve"> (km/s), and — where available — its </w:t>
      </w:r>
      <m:oMath>
        <m:r>
          <w:rPr>
            <w:rFonts w:ascii="Cambria Math" w:hAnsi="Cambria Math"/>
          </w:rPr>
          <m:t>1σ</m:t>
        </m:r>
      </m:oMath>
      <w:r>
        <w:t xml:space="preserve"> uncertainty </w:t>
      </w:r>
      <m:oMath>
        <m:sSub>
          <m:sSubPr>
            <m:ctrlPr>
              <w:rPr>
                <w:rFonts w:ascii="Cambria Math" w:hAnsi="Cambria Math"/>
                <w:i/>
              </w:rPr>
            </m:ctrlPr>
          </m:sSubPr>
          <m:e>
            <m:r>
              <w:rPr>
                <w:rFonts w:ascii="Cambria Math" w:hAnsi="Cambria Math"/>
              </w:rPr>
              <m:t>e</m:t>
            </m:r>
          </m:e>
          <m:sub>
            <m:r>
              <w:rPr>
                <w:rFonts w:ascii="Cambria Math" w:hAnsi="Cambria Math"/>
              </w:rPr>
              <m:t>vobs</m:t>
            </m:r>
          </m:sub>
        </m:sSub>
      </m:oMath>
      <w:r>
        <w:t xml:space="preserve">. These are extracted from SPARC-format rotmod files, which additionally supply gas, stellar-disc, and bulge velocity templates </w:t>
      </w:r>
      <m:oMath>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gas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disk</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bul</m:t>
                </m:r>
              </m:sub>
            </m:sSub>
          </m:e>
        </m:d>
      </m:oMath>
      <w:r>
        <w:t xml:space="preserve">. Baryonic mass-to-light scalings </w:t>
      </w:r>
      <m:oMath>
        <m:sSub>
          <m:sSubPr>
            <m:ctrlPr>
              <w:rPr>
                <w:rFonts w:ascii="Cambria Math" w:hAnsi="Cambria Math"/>
                <w:i/>
              </w:rPr>
            </m:ctrlPr>
          </m:sSubPr>
          <m:e>
            <m:r>
              <w:rPr>
                <w:rFonts w:ascii="Cambria Math" w:hAnsi="Cambria Math"/>
              </w:rPr>
              <m:t>Υ</m:t>
            </m:r>
          </m:e>
          <m:sub>
            <m:r>
              <w:rPr>
                <w:rFonts w:ascii="Cambria Math" w:hAnsi="Cambria Math"/>
              </w:rPr>
              <m:t>disk</m:t>
            </m:r>
          </m:sub>
        </m:sSub>
        <m:r>
          <w:rPr>
            <w:rFonts w:ascii="Cambria Math" w:hAnsi="Cambria Math"/>
          </w:rPr>
          <m:t>=0.5</m:t>
        </m:r>
      </m:oMath>
      <w:r>
        <w:t xml:space="preserve"> and </w:t>
      </w:r>
      <m:oMath>
        <m:sSub>
          <m:sSubPr>
            <m:ctrlPr>
              <w:rPr>
                <w:rFonts w:ascii="Cambria Math" w:hAnsi="Cambria Math"/>
                <w:i/>
              </w:rPr>
            </m:ctrlPr>
          </m:sSubPr>
          <m:e>
            <m:r>
              <w:rPr>
                <w:rFonts w:ascii="Cambria Math" w:hAnsi="Cambria Math"/>
              </w:rPr>
              <m:t>Υ</m:t>
            </m:r>
          </m:e>
          <m:sub>
            <m:r>
              <w:rPr>
                <w:rFonts w:ascii="Cambria Math" w:hAnsi="Cambria Math"/>
              </w:rPr>
              <m:t>bul</m:t>
            </m:r>
          </m:sub>
        </m:sSub>
        <m:r>
          <w:rPr>
            <w:rFonts w:ascii="Cambria Math" w:hAnsi="Cambria Math"/>
          </w:rPr>
          <m:t>=0.7</m:t>
        </m:r>
      </m:oMath>
      <w:r>
        <w:t xml:space="preserve"> are applied globally; they are not free parameters in the fit. The epistemic hierarchy of the atlas is clear and strictly maintained: measured inputs → deterministic kinematic reconstructions → one fitted parameter Q → visualisation-only panels.</w:t>
      </w:r>
    </w:p>
    <w:p w14:paraId="6BE873FC" w14:textId="70A4F34A" w:rsidR="00E34C95" w:rsidRDefault="0040415C">
      <w:pPr>
        <w:pStyle w:val="Heading2"/>
        <w:spacing w:before="300"/>
      </w:pPr>
      <w:r>
        <w:t>2.2 Six</w:t>
      </w:r>
      <w:r w:rsidR="00000000">
        <w:t>-Panel Layout</w:t>
      </w:r>
    </w:p>
    <w:p w14:paraId="4FB675F5" w14:textId="77777777" w:rsidR="00E34C95" w:rsidRDefault="00000000">
      <w:pPr>
        <w:spacing w:before="60" w:after="100" w:line="340" w:lineRule="auto"/>
      </w:pPr>
      <w:r>
        <w:t>Each galaxy page is a 2 × 3 composite. The panels proceed logically from raw observations to integrated field structure to diagnostics: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E34C95" w14:paraId="4E392DC6" w14:textId="77777777">
        <w:tblPrEx>
          <w:tblCellMar>
            <w:top w:w="0" w:type="dxa"/>
            <w:bottom w:w="0" w:type="dxa"/>
          </w:tblCellMar>
        </w:tblPrEx>
        <w:tc>
          <w:tcPr>
            <w:tcW w:w="2340" w:type="dxa"/>
            <w:tcBorders>
              <w:top w:val="single" w:sz="1" w:space="0" w:color="D8DCE2"/>
              <w:left w:val="single" w:sz="1" w:space="0" w:color="D8DCE2"/>
              <w:bottom w:val="single" w:sz="1" w:space="0" w:color="D8DCE2"/>
              <w:right w:val="single" w:sz="1" w:space="0" w:color="D8DCE2"/>
            </w:tcBorders>
            <w:shd w:val="clear" w:color="auto" w:fill="0D1B2A"/>
            <w:tcMar>
              <w:top w:w="80" w:type="dxa"/>
              <w:left w:w="140" w:type="dxa"/>
              <w:bottom w:w="80" w:type="dxa"/>
              <w:right w:w="140" w:type="dxa"/>
            </w:tcMar>
            <w:vAlign w:val="center"/>
          </w:tcPr>
          <w:p w14:paraId="25D80D59" w14:textId="77777777" w:rsidR="00E34C95" w:rsidRDefault="00000000">
            <w:r>
              <w:rPr>
                <w:b/>
                <w:bCs/>
                <w:color w:val="FFFFFF"/>
                <w:sz w:val="20"/>
                <w:szCs w:val="20"/>
              </w:rPr>
              <w:t>Panel</w:t>
            </w:r>
          </w:p>
        </w:tc>
        <w:tc>
          <w:tcPr>
            <w:tcW w:w="2340" w:type="dxa"/>
            <w:tcBorders>
              <w:top w:val="single" w:sz="1" w:space="0" w:color="D8DCE2"/>
              <w:left w:val="single" w:sz="1" w:space="0" w:color="D8DCE2"/>
              <w:bottom w:val="single" w:sz="1" w:space="0" w:color="D8DCE2"/>
              <w:right w:val="single" w:sz="1" w:space="0" w:color="D8DCE2"/>
            </w:tcBorders>
            <w:shd w:val="clear" w:color="auto" w:fill="0D1B2A"/>
            <w:tcMar>
              <w:top w:w="80" w:type="dxa"/>
              <w:left w:w="140" w:type="dxa"/>
              <w:bottom w:w="80" w:type="dxa"/>
              <w:right w:w="140" w:type="dxa"/>
            </w:tcMar>
            <w:vAlign w:val="center"/>
          </w:tcPr>
          <w:p w14:paraId="6C84E4E6" w14:textId="77777777" w:rsidR="00E34C95" w:rsidRDefault="00000000">
            <w:pPr>
              <w:jc w:val="center"/>
            </w:pPr>
            <w:r>
              <w:rPr>
                <w:b/>
                <w:bCs/>
                <w:color w:val="FFFFFF"/>
                <w:sz w:val="20"/>
                <w:szCs w:val="20"/>
              </w:rPr>
              <w:t>Position</w:t>
            </w:r>
          </w:p>
        </w:tc>
        <w:tc>
          <w:tcPr>
            <w:tcW w:w="2340" w:type="dxa"/>
            <w:tcBorders>
              <w:top w:val="single" w:sz="1" w:space="0" w:color="D8DCE2"/>
              <w:left w:val="single" w:sz="1" w:space="0" w:color="D8DCE2"/>
              <w:bottom w:val="single" w:sz="1" w:space="0" w:color="D8DCE2"/>
              <w:right w:val="single" w:sz="1" w:space="0" w:color="D8DCE2"/>
            </w:tcBorders>
            <w:shd w:val="clear" w:color="auto" w:fill="0D1B2A"/>
            <w:tcMar>
              <w:top w:w="80" w:type="dxa"/>
              <w:left w:w="140" w:type="dxa"/>
              <w:bottom w:w="80" w:type="dxa"/>
              <w:right w:w="140" w:type="dxa"/>
            </w:tcMar>
            <w:vAlign w:val="center"/>
          </w:tcPr>
          <w:p w14:paraId="414E3607" w14:textId="77777777" w:rsidR="00E34C95" w:rsidRDefault="00000000">
            <w:pPr>
              <w:jc w:val="center"/>
            </w:pPr>
            <w:r>
              <w:rPr>
                <w:b/>
                <w:bCs/>
                <w:color w:val="FFFFFF"/>
                <w:sz w:val="20"/>
                <w:szCs w:val="20"/>
              </w:rPr>
              <w:t>Content</w:t>
            </w:r>
          </w:p>
        </w:tc>
        <w:tc>
          <w:tcPr>
            <w:tcW w:w="2340" w:type="dxa"/>
            <w:tcBorders>
              <w:top w:val="single" w:sz="1" w:space="0" w:color="D8DCE2"/>
              <w:left w:val="single" w:sz="1" w:space="0" w:color="D8DCE2"/>
              <w:bottom w:val="single" w:sz="1" w:space="0" w:color="D8DCE2"/>
              <w:right w:val="single" w:sz="1" w:space="0" w:color="D8DCE2"/>
            </w:tcBorders>
            <w:shd w:val="clear" w:color="auto" w:fill="0D1B2A"/>
            <w:tcMar>
              <w:top w:w="80" w:type="dxa"/>
              <w:left w:w="140" w:type="dxa"/>
              <w:bottom w:w="80" w:type="dxa"/>
              <w:right w:w="140" w:type="dxa"/>
            </w:tcMar>
            <w:vAlign w:val="center"/>
          </w:tcPr>
          <w:p w14:paraId="707B88BA" w14:textId="77777777" w:rsidR="00E34C95" w:rsidRDefault="00000000">
            <w:pPr>
              <w:jc w:val="center"/>
            </w:pPr>
            <w:r>
              <w:rPr>
                <w:b/>
                <w:bCs/>
                <w:color w:val="FFFFFF"/>
                <w:sz w:val="20"/>
                <w:szCs w:val="20"/>
              </w:rPr>
              <w:t>Epistemic Status</w:t>
            </w:r>
          </w:p>
        </w:tc>
      </w:tr>
      <w:tr w:rsidR="00E34C95" w14:paraId="48829712" w14:textId="77777777">
        <w:tblPrEx>
          <w:tblCellMar>
            <w:top w:w="0" w:type="dxa"/>
            <w:bottom w:w="0" w:type="dxa"/>
          </w:tblCellMar>
        </w:tblPrEx>
        <w:tc>
          <w:tcPr>
            <w:tcW w:w="234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029DD57B" w14:textId="77777777" w:rsidR="00E34C95" w:rsidRDefault="00000000">
            <w:r>
              <w:rPr>
                <w:sz w:val="20"/>
                <w:szCs w:val="20"/>
              </w:rPr>
              <w:t>Rotation Curve</w:t>
            </w:r>
          </w:p>
        </w:tc>
        <w:tc>
          <w:tcPr>
            <w:tcW w:w="234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7C138D45" w14:textId="77777777" w:rsidR="00E34C95" w:rsidRDefault="00000000">
            <w:pPr>
              <w:jc w:val="center"/>
            </w:pPr>
            <w:r>
              <w:rPr>
                <w:sz w:val="20"/>
                <w:szCs w:val="20"/>
              </w:rPr>
              <w:t>Top-left</w:t>
            </w:r>
          </w:p>
        </w:tc>
        <w:tc>
          <w:tcPr>
            <w:tcW w:w="234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151F9C1D" w14:textId="004E89A0" w:rsidR="00E34C95" w:rsidRDefault="0040415C">
            <w:pPr>
              <w:jc w:val="center"/>
            </w:pP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obs</m:t>
                  </m:r>
                </m:sub>
              </m:sSub>
            </m:oMath>
            <w:r w:rsidR="00000000">
              <w:rPr>
                <w:sz w:val="20"/>
                <w:szCs w:val="20"/>
              </w:rPr>
              <w:t xml:space="preserve">, </w:t>
            </w: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bar</m:t>
                  </m:r>
                </m:sub>
              </m:sSub>
            </m:oMath>
            <w:r w:rsidR="00000000">
              <w:rPr>
                <w:sz w:val="20"/>
                <w:szCs w:val="20"/>
              </w:rPr>
              <w:t xml:space="preserve">, </w:t>
            </w: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model</m:t>
                  </m:r>
                </m:sub>
              </m:sSub>
            </m:oMath>
            <w:r w:rsidR="00000000">
              <w:rPr>
                <w:sz w:val="20"/>
                <w:szCs w:val="20"/>
              </w:rPr>
              <w:t xml:space="preserve"> vs </w:t>
            </w:r>
            <m:oMath>
              <m:r>
                <w:rPr>
                  <w:rFonts w:ascii="Cambria Math" w:hAnsi="Cambria Math"/>
                  <w:sz w:val="20"/>
                  <w:szCs w:val="20"/>
                </w:rPr>
                <m:t>R</m:t>
              </m:r>
            </m:oMath>
            <w:r w:rsidR="00000000">
              <w:rPr>
                <w:sz w:val="20"/>
                <w:szCs w:val="20"/>
              </w:rPr>
              <w:t xml:space="preserve">; </w:t>
            </w:r>
            <m:oMath>
              <m:r>
                <w:rPr>
                  <w:rFonts w:ascii="Cambria Math" w:hAnsi="Cambria Math"/>
                  <w:sz w:val="20"/>
                  <w:szCs w:val="20"/>
                </w:rPr>
                <m:t>±1σ</m:t>
              </m:r>
            </m:oMath>
            <w:r w:rsidR="00000000">
              <w:rPr>
                <w:sz w:val="20"/>
                <w:szCs w:val="20"/>
              </w:rPr>
              <w:t xml:space="preserve"> band</w:t>
            </w:r>
          </w:p>
        </w:tc>
        <w:tc>
          <w:tcPr>
            <w:tcW w:w="234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78B4BB4E" w14:textId="77777777" w:rsidR="00E34C95" w:rsidRDefault="00000000">
            <w:pPr>
              <w:jc w:val="center"/>
            </w:pPr>
            <w:r>
              <w:rPr>
                <w:sz w:val="20"/>
                <w:szCs w:val="20"/>
              </w:rPr>
              <w:t>Observed + fitted</w:t>
            </w:r>
          </w:p>
        </w:tc>
      </w:tr>
      <w:tr w:rsidR="00E34C95" w14:paraId="7D5D2612" w14:textId="77777777">
        <w:tblPrEx>
          <w:tblCellMar>
            <w:top w:w="0" w:type="dxa"/>
            <w:bottom w:w="0" w:type="dxa"/>
          </w:tblCellMar>
        </w:tblPrEx>
        <w:tc>
          <w:tcPr>
            <w:tcW w:w="234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54EA7191" w14:textId="77777777" w:rsidR="00E34C95" w:rsidRDefault="00000000">
            <w:r>
              <w:rPr>
                <w:sz w:val="20"/>
                <w:szCs w:val="20"/>
              </w:rPr>
              <w:t>Effective Potential</w:t>
            </w:r>
          </w:p>
        </w:tc>
        <w:tc>
          <w:tcPr>
            <w:tcW w:w="234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4113B452" w14:textId="52EA032A" w:rsidR="00E34C95" w:rsidRDefault="00000000">
            <w:pPr>
              <w:jc w:val="center"/>
            </w:pPr>
            <w:r>
              <w:rPr>
                <w:sz w:val="20"/>
                <w:szCs w:val="20"/>
              </w:rPr>
              <w:t>Top-</w:t>
            </w:r>
            <w:r w:rsidR="0040415C">
              <w:rPr>
                <w:sz w:val="20"/>
                <w:szCs w:val="20"/>
              </w:rPr>
              <w:t>center</w:t>
            </w:r>
          </w:p>
        </w:tc>
        <w:tc>
          <w:tcPr>
            <w:tcW w:w="234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2BF9962A" w14:textId="16427C9E" w:rsidR="00E34C95" w:rsidRDefault="0040415C">
            <w:pPr>
              <w:jc w:val="center"/>
            </w:pPr>
            <m:oMath>
              <m:sSub>
                <m:sSubPr>
                  <m:ctrlPr>
                    <w:rPr>
                      <w:rFonts w:ascii="Cambria Math" w:hAnsi="Cambria Math"/>
                      <w:i/>
                      <w:sz w:val="20"/>
                      <w:szCs w:val="20"/>
                    </w:rPr>
                  </m:ctrlPr>
                </m:sSubPr>
                <m:e>
                  <m:r>
                    <w:rPr>
                      <w:rFonts w:ascii="Cambria Math" w:hAnsi="Cambria Math"/>
                      <w:sz w:val="20"/>
                      <w:szCs w:val="20"/>
                    </w:rPr>
                    <m:t>Φ</m:t>
                  </m:r>
                </m:e>
                <m:sub>
                  <m:r>
                    <w:rPr>
                      <w:rFonts w:ascii="Cambria Math" w:hAnsi="Cambria Math"/>
                      <w:sz w:val="20"/>
                      <w:szCs w:val="20"/>
                    </w:rPr>
                    <m:t>obs</m:t>
                  </m:r>
                </m:sub>
              </m:sSub>
              <m:d>
                <m:dPr>
                  <m:ctrlPr>
                    <w:rPr>
                      <w:rFonts w:ascii="Cambria Math" w:hAnsi="Cambria Math"/>
                      <w:i/>
                      <w:sz w:val="20"/>
                      <w:szCs w:val="20"/>
                    </w:rPr>
                  </m:ctrlPr>
                </m:dPr>
                <m:e>
                  <m:r>
                    <w:rPr>
                      <w:rFonts w:ascii="Cambria Math" w:hAnsi="Cambria Math"/>
                      <w:sz w:val="20"/>
                      <w:szCs w:val="20"/>
                    </w:rPr>
                    <m:t>R</m:t>
                  </m:r>
                </m:e>
              </m:d>
            </m:oMath>
            <w:r w:rsidR="00000000">
              <w:rPr>
                <w:sz w:val="20"/>
                <w:szCs w:val="20"/>
              </w:rPr>
              <w:t xml:space="preserve">, </w:t>
            </w:r>
            <m:oMath>
              <m:sSub>
                <m:sSubPr>
                  <m:ctrlPr>
                    <w:rPr>
                      <w:rFonts w:ascii="Cambria Math" w:hAnsi="Cambria Math"/>
                      <w:i/>
                      <w:sz w:val="20"/>
                      <w:szCs w:val="20"/>
                    </w:rPr>
                  </m:ctrlPr>
                </m:sSubPr>
                <m:e>
                  <m:r>
                    <w:rPr>
                      <w:rFonts w:ascii="Cambria Math" w:hAnsi="Cambria Math"/>
                      <w:sz w:val="20"/>
                      <w:szCs w:val="20"/>
                    </w:rPr>
                    <m:t>Φ</m:t>
                  </m:r>
                </m:e>
                <m:sub>
                  <m:r>
                    <w:rPr>
                      <w:rFonts w:ascii="Cambria Math" w:hAnsi="Cambria Math"/>
                      <w:sz w:val="20"/>
                      <w:szCs w:val="20"/>
                    </w:rPr>
                    <m:t>bar</m:t>
                  </m:r>
                </m:sub>
              </m:sSub>
              <m:d>
                <m:dPr>
                  <m:ctrlPr>
                    <w:rPr>
                      <w:rFonts w:ascii="Cambria Math" w:hAnsi="Cambria Math"/>
                      <w:i/>
                      <w:sz w:val="20"/>
                      <w:szCs w:val="20"/>
                    </w:rPr>
                  </m:ctrlPr>
                </m:dPr>
                <m:e>
                  <m:r>
                    <w:rPr>
                      <w:rFonts w:ascii="Cambria Math" w:hAnsi="Cambria Math"/>
                      <w:sz w:val="20"/>
                      <w:szCs w:val="20"/>
                    </w:rPr>
                    <m:t>R</m:t>
                  </m:r>
                </m:e>
              </m:d>
            </m:oMath>
            <w:r w:rsidR="00000000">
              <w:rPr>
                <w:sz w:val="20"/>
                <w:szCs w:val="20"/>
              </w:rPr>
              <w:t>; propagated uncertainty</w:t>
            </w:r>
          </w:p>
        </w:tc>
        <w:tc>
          <w:tcPr>
            <w:tcW w:w="234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2102A413" w14:textId="77777777" w:rsidR="00E34C95" w:rsidRDefault="00000000">
            <w:pPr>
              <w:jc w:val="center"/>
            </w:pPr>
            <w:r>
              <w:rPr>
                <w:sz w:val="20"/>
                <w:szCs w:val="20"/>
              </w:rPr>
              <w:t>Derived</w:t>
            </w:r>
          </w:p>
        </w:tc>
      </w:tr>
      <w:tr w:rsidR="00E34C95" w14:paraId="668311FD" w14:textId="77777777">
        <w:tblPrEx>
          <w:tblCellMar>
            <w:top w:w="0" w:type="dxa"/>
            <w:bottom w:w="0" w:type="dxa"/>
          </w:tblCellMar>
        </w:tblPrEx>
        <w:tc>
          <w:tcPr>
            <w:tcW w:w="234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798A7114" w14:textId="77777777" w:rsidR="00E34C95" w:rsidRDefault="00000000">
            <w:r>
              <w:rPr>
                <w:sz w:val="20"/>
                <w:szCs w:val="20"/>
              </w:rPr>
              <w:t>Dyed Depth Map</w:t>
            </w:r>
          </w:p>
        </w:tc>
        <w:tc>
          <w:tcPr>
            <w:tcW w:w="234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4F2105E0" w14:textId="77777777" w:rsidR="00E34C95" w:rsidRDefault="00000000">
            <w:pPr>
              <w:jc w:val="center"/>
            </w:pPr>
            <w:r>
              <w:rPr>
                <w:sz w:val="20"/>
                <w:szCs w:val="20"/>
              </w:rPr>
              <w:t>Top-right</w:t>
            </w:r>
          </w:p>
        </w:tc>
        <w:tc>
          <w:tcPr>
            <w:tcW w:w="234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40EB34B9" w14:textId="1FEDAD0B" w:rsidR="00E34C95" w:rsidRDefault="00000000">
            <w:pPr>
              <w:jc w:val="center"/>
            </w:pPr>
            <w:r>
              <w:rPr>
                <w:sz w:val="20"/>
                <w:szCs w:val="20"/>
              </w:rPr>
              <w:t xml:space="preserve">2D radial depth </w:t>
            </w:r>
            <m:oMath>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R</m:t>
                  </m:r>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Φ</m:t>
                  </m:r>
                </m:e>
                <m:sub>
                  <m:r>
                    <w:rPr>
                      <w:rFonts w:ascii="Cambria Math" w:hAnsi="Cambria Math"/>
                      <w:sz w:val="20"/>
                      <w:szCs w:val="20"/>
                    </w:rPr>
                    <m:t>obs</m:t>
                  </m:r>
                </m:sub>
              </m:sSub>
            </m:oMath>
            <w:r>
              <w:rPr>
                <w:sz w:val="20"/>
                <w:szCs w:val="20"/>
              </w:rPr>
              <w:t>; global norm</w:t>
            </w:r>
          </w:p>
        </w:tc>
        <w:tc>
          <w:tcPr>
            <w:tcW w:w="234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1A526896" w14:textId="08E868FD" w:rsidR="00E34C95" w:rsidRDefault="0040415C">
            <w:pPr>
              <w:jc w:val="center"/>
            </w:pPr>
            <w:r>
              <w:rPr>
                <w:sz w:val="20"/>
                <w:szCs w:val="20"/>
              </w:rPr>
              <w:t>Visualization</w:t>
            </w:r>
          </w:p>
        </w:tc>
      </w:tr>
      <w:tr w:rsidR="00E34C95" w14:paraId="5D374A59" w14:textId="77777777">
        <w:tblPrEx>
          <w:tblCellMar>
            <w:top w:w="0" w:type="dxa"/>
            <w:bottom w:w="0" w:type="dxa"/>
          </w:tblCellMar>
        </w:tblPrEx>
        <w:tc>
          <w:tcPr>
            <w:tcW w:w="234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4D560C66" w14:textId="77777777" w:rsidR="00E34C95" w:rsidRDefault="00000000">
            <w:r>
              <w:rPr>
                <w:sz w:val="20"/>
                <w:szCs w:val="20"/>
              </w:rPr>
              <w:t>3D Proxy Surface</w:t>
            </w:r>
          </w:p>
        </w:tc>
        <w:tc>
          <w:tcPr>
            <w:tcW w:w="234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792677B3" w14:textId="77777777" w:rsidR="00E34C95" w:rsidRDefault="00000000">
            <w:pPr>
              <w:jc w:val="center"/>
            </w:pPr>
            <w:r>
              <w:rPr>
                <w:sz w:val="20"/>
                <w:szCs w:val="20"/>
              </w:rPr>
              <w:t>Bottom-left</w:t>
            </w:r>
          </w:p>
        </w:tc>
        <w:tc>
          <w:tcPr>
            <w:tcW w:w="234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53CAF547" w14:textId="77777777" w:rsidR="00E34C95" w:rsidRDefault="00000000">
            <w:pPr>
              <w:jc w:val="center"/>
            </w:pPr>
            <w:r>
              <w:rPr>
                <w:sz w:val="20"/>
                <w:szCs w:val="20"/>
              </w:rPr>
              <w:t>Same depth profile as 3D surface</w:t>
            </w:r>
          </w:p>
        </w:tc>
        <w:tc>
          <w:tcPr>
            <w:tcW w:w="234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2C308A53" w14:textId="2BAC8885" w:rsidR="00E34C95" w:rsidRDefault="0040415C">
            <w:pPr>
              <w:jc w:val="center"/>
            </w:pPr>
            <w:r>
              <w:rPr>
                <w:sz w:val="20"/>
                <w:szCs w:val="20"/>
              </w:rPr>
              <w:t>Visualization</w:t>
            </w:r>
          </w:p>
        </w:tc>
      </w:tr>
      <w:tr w:rsidR="00E34C95" w14:paraId="46421E29" w14:textId="77777777">
        <w:tblPrEx>
          <w:tblCellMar>
            <w:top w:w="0" w:type="dxa"/>
            <w:bottom w:w="0" w:type="dxa"/>
          </w:tblCellMar>
        </w:tblPrEx>
        <w:tc>
          <w:tcPr>
            <w:tcW w:w="234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2D2C1B04" w14:textId="77777777" w:rsidR="00E34C95" w:rsidRDefault="00000000">
            <w:r>
              <w:rPr>
                <w:sz w:val="20"/>
                <w:szCs w:val="20"/>
              </w:rPr>
              <w:t>Orbit Map</w:t>
            </w:r>
          </w:p>
        </w:tc>
        <w:tc>
          <w:tcPr>
            <w:tcW w:w="234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10152466" w14:textId="66431263" w:rsidR="00E34C95" w:rsidRDefault="00000000">
            <w:pPr>
              <w:jc w:val="center"/>
            </w:pPr>
            <w:r>
              <w:rPr>
                <w:sz w:val="20"/>
                <w:szCs w:val="20"/>
              </w:rPr>
              <w:t>Bottom-</w:t>
            </w:r>
            <w:r w:rsidR="0040415C">
              <w:rPr>
                <w:sz w:val="20"/>
                <w:szCs w:val="20"/>
              </w:rPr>
              <w:t>center</w:t>
            </w:r>
          </w:p>
        </w:tc>
        <w:tc>
          <w:tcPr>
            <w:tcW w:w="234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16221C86" w14:textId="77777777" w:rsidR="00E34C95" w:rsidRDefault="00000000">
            <w:pPr>
              <w:jc w:val="center"/>
            </w:pPr>
            <w:r>
              <w:rPr>
                <w:sz w:val="20"/>
                <w:szCs w:val="20"/>
              </w:rPr>
              <w:t>Illustrative test-particle trajectories</w:t>
            </w:r>
          </w:p>
        </w:tc>
        <w:tc>
          <w:tcPr>
            <w:tcW w:w="234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35ACEE63" w14:textId="77777777" w:rsidR="00E34C95" w:rsidRDefault="00000000">
            <w:pPr>
              <w:jc w:val="center"/>
            </w:pPr>
            <w:r>
              <w:rPr>
                <w:sz w:val="20"/>
                <w:szCs w:val="20"/>
              </w:rPr>
              <w:t>Illustrative</w:t>
            </w:r>
          </w:p>
        </w:tc>
      </w:tr>
      <w:tr w:rsidR="00E34C95" w14:paraId="11E7FE27" w14:textId="77777777">
        <w:tblPrEx>
          <w:tblCellMar>
            <w:top w:w="0" w:type="dxa"/>
            <w:bottom w:w="0" w:type="dxa"/>
          </w:tblCellMar>
        </w:tblPrEx>
        <w:tc>
          <w:tcPr>
            <w:tcW w:w="234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718BEEB2" w14:textId="77777777" w:rsidR="00E34C95" w:rsidRDefault="00000000">
            <w:r>
              <w:rPr>
                <w:sz w:val="20"/>
                <w:szCs w:val="20"/>
              </w:rPr>
              <w:t>Residuals</w:t>
            </w:r>
          </w:p>
        </w:tc>
        <w:tc>
          <w:tcPr>
            <w:tcW w:w="234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205120C5" w14:textId="77777777" w:rsidR="00E34C95" w:rsidRDefault="00000000">
            <w:pPr>
              <w:jc w:val="center"/>
            </w:pPr>
            <w:r>
              <w:rPr>
                <w:sz w:val="20"/>
                <w:szCs w:val="20"/>
              </w:rPr>
              <w:t>Bottom-right</w:t>
            </w:r>
          </w:p>
        </w:tc>
        <w:tc>
          <w:tcPr>
            <w:tcW w:w="234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6362F404" w14:textId="1A4C0D7D" w:rsidR="00E34C95" w:rsidRDefault="0040415C">
            <w:pPr>
              <w:jc w:val="center"/>
            </w:pPr>
            <m:oMath>
              <m: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model</m:t>
                  </m:r>
                </m:sub>
              </m:sSub>
            </m:oMath>
            <w:r w:rsidR="00000000">
              <w:rPr>
                <w:sz w:val="20"/>
                <w:szCs w:val="20"/>
              </w:rPr>
              <w:t xml:space="preserve">, </w:t>
            </w:r>
            <m:oMath>
              <m: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bar</m:t>
                  </m:r>
                </m:sub>
              </m:sSub>
            </m:oMath>
            <w:r w:rsidR="00000000">
              <w:rPr>
                <w:sz w:val="20"/>
                <w:szCs w:val="20"/>
              </w:rPr>
              <w:t xml:space="preserve"> vs </w:t>
            </w:r>
            <m:oMath>
              <m:r>
                <w:rPr>
                  <w:rFonts w:ascii="Cambria Math" w:hAnsi="Cambria Math"/>
                  <w:sz w:val="20"/>
                  <w:szCs w:val="20"/>
                </w:rPr>
                <m:t>R</m:t>
              </m:r>
            </m:oMath>
            <w:r w:rsidR="00000000">
              <w:rPr>
                <w:sz w:val="20"/>
                <w:szCs w:val="20"/>
              </w:rPr>
              <w:t xml:space="preserve">; </w:t>
            </w:r>
            <m:oMath>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e</m:t>
                  </m:r>
                </m:e>
                <m:sub>
                  <m:r>
                    <w:rPr>
                      <w:rFonts w:ascii="Cambria Math" w:hAnsi="Cambria Math"/>
                      <w:sz w:val="20"/>
                      <w:szCs w:val="20"/>
                    </w:rPr>
                    <m:t>vobs</m:t>
                  </m:r>
                </m:sub>
              </m:sSub>
            </m:oMath>
            <w:r w:rsidR="00000000">
              <w:rPr>
                <w:sz w:val="20"/>
                <w:szCs w:val="20"/>
              </w:rPr>
              <w:t xml:space="preserve"> bands</w:t>
            </w:r>
          </w:p>
        </w:tc>
        <w:tc>
          <w:tcPr>
            <w:tcW w:w="234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66381E1C" w14:textId="77777777" w:rsidR="00E34C95" w:rsidRDefault="00000000">
            <w:pPr>
              <w:jc w:val="center"/>
            </w:pPr>
            <w:r>
              <w:rPr>
                <w:sz w:val="20"/>
                <w:szCs w:val="20"/>
              </w:rPr>
              <w:t>Diagnostic</w:t>
            </w:r>
          </w:p>
        </w:tc>
      </w:tr>
    </w:tbl>
    <w:p w14:paraId="0C0DD9D0" w14:textId="77777777" w:rsidR="00E34C95" w:rsidRDefault="00E34C95">
      <w:pPr>
        <w:spacing w:line="80" w:lineRule="auto"/>
      </w:pPr>
    </w:p>
    <w:p w14:paraId="0A69CA85" w14:textId="09003EA2" w:rsidR="00E34C95" w:rsidRDefault="00000000">
      <w:pPr>
        <w:spacing w:before="60" w:after="100" w:line="340" w:lineRule="auto"/>
      </w:pPr>
      <w:r>
        <w:t xml:space="preserve">The effective potential </w:t>
      </w:r>
      <m:oMath>
        <m:sSub>
          <m:sSubPr>
            <m:ctrlPr>
              <w:rPr>
                <w:rFonts w:ascii="Cambria Math" w:hAnsi="Cambria Math"/>
                <w:i/>
              </w:rPr>
            </m:ctrlPr>
          </m:sSubPr>
          <m:e>
            <m:r>
              <w:rPr>
                <w:rFonts w:ascii="Cambria Math" w:hAnsi="Cambria Math"/>
              </w:rPr>
              <m:t>Φ</m:t>
            </m:r>
          </m:e>
          <m:sub>
            <m:r>
              <w:rPr>
                <w:rFonts w:ascii="Cambria Math" w:hAnsi="Cambria Math"/>
              </w:rPr>
              <m:t>obs</m:t>
            </m:r>
          </m:sub>
        </m:sSub>
      </m:oMath>
      <w:r>
        <w:t xml:space="preserve"> is computed by integrating the inferred centripetal acceleration </w:t>
      </w:r>
      <m:oMath>
        <m:sSub>
          <m:sSubPr>
            <m:ctrlPr>
              <w:rPr>
                <w:rFonts w:ascii="Cambria Math" w:hAnsi="Cambria Math"/>
                <w:i/>
              </w:rPr>
            </m:ctrlPr>
          </m:sSubPr>
          <m:e>
            <m:r>
              <w:rPr>
                <w:rFonts w:ascii="Cambria Math" w:hAnsi="Cambria Math"/>
              </w:rPr>
              <m:t>g</m:t>
            </m:r>
          </m:e>
          <m:sub>
            <m:r>
              <w:rPr>
                <w:rFonts w:ascii="Cambria Math" w:hAnsi="Cambria Math"/>
              </w:rPr>
              <m:t>obs</m:t>
            </m:r>
          </m:sub>
        </m:sSub>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o</m:t>
            </m:r>
          </m:sub>
          <m:sup>
            <m:r>
              <w:rPr>
                <w:rFonts w:ascii="Cambria Math" w:hAnsi="Cambria Math"/>
              </w:rPr>
              <m:t>2</m:t>
            </m:r>
          </m:sup>
        </m:sSubSup>
        <m:r>
          <w:rPr>
            <w:rFonts w:ascii="Cambria Math" w:hAnsi="Cambria Math"/>
          </w:rPr>
          <m:t>bs</m:t>
        </m:r>
        <m:r>
          <m:rPr>
            <m:lit/>
          </m:rPr>
          <w:rPr>
            <w:rFonts w:ascii="Cambria Math" w:hAnsi="Cambria Math"/>
          </w:rPr>
          <m:t>/</m:t>
        </m:r>
        <m:r>
          <w:rPr>
            <w:rFonts w:ascii="Cambria Math" w:hAnsi="Cambria Math"/>
          </w:rPr>
          <m:t>R</m:t>
        </m:r>
      </m:oMath>
      <w:r>
        <w:t xml:space="preserve"> using a trapezoid rule on the observed radial grid. The depth scalar </w:t>
      </w:r>
      <m:oMath>
        <m:r>
          <w:rPr>
            <w:rFonts w:ascii="Cambria Math" w:hAnsi="Cambria Math"/>
          </w:rPr>
          <m:t>f</m:t>
        </m:r>
        <m:d>
          <m:dPr>
            <m:ctrlPr>
              <w:rPr>
                <w:rFonts w:ascii="Cambria Math" w:hAnsi="Cambria Math"/>
                <w:i/>
              </w:rPr>
            </m:ctrlPr>
          </m:dPr>
          <m:e>
            <m:r>
              <w:rPr>
                <w:rFonts w:ascii="Cambria Math" w:hAnsi="Cambria Math"/>
              </w:rPr>
              <m:t>R</m:t>
            </m:r>
          </m:e>
        </m:d>
      </m:oMath>
      <w:r>
        <w:t xml:space="preserve"> is derived as </w:t>
      </w:r>
      <m:oMath>
        <m:r>
          <w:rPr>
            <w:rFonts w:ascii="Cambria Math" w:hAnsi="Cambria Math"/>
          </w:rPr>
          <m:t>f</m:t>
        </m:r>
        <m:d>
          <m:dPr>
            <m:ctrlPr>
              <w:rPr>
                <w:rFonts w:ascii="Cambria Math" w:hAnsi="Cambria Math"/>
                <w:i/>
              </w:rPr>
            </m:ctrlPr>
          </m:dPr>
          <m:e>
            <m:r>
              <w:rPr>
                <w:rFonts w:ascii="Cambria Math" w:hAnsi="Cambria Math"/>
              </w:rPr>
              <m:t>R</m:t>
            </m:r>
          </m:e>
        </m:d>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obs</m:t>
            </m:r>
          </m:sub>
        </m:sSub>
        <m:d>
          <m:dPr>
            <m:ctrlPr>
              <w:rPr>
                <w:rFonts w:ascii="Cambria Math" w:hAnsi="Cambria Math"/>
                <w:i/>
              </w:rPr>
            </m:ctrlPr>
          </m:dPr>
          <m:e>
            <m:r>
              <w:rPr>
                <w:rFonts w:ascii="Cambria Math" w:hAnsi="Cambria Math"/>
              </w:rPr>
              <m:t>R</m:t>
            </m:r>
          </m:e>
        </m:d>
      </m:oMath>
      <w:r>
        <w:t xml:space="preserve"> with a nonnegativity floor, then rendered on a rotationally symmetric 2D canvas. With the '--fabric-norm global --global-percentile 95' rendering flag, depth intensities are </w:t>
      </w:r>
      <w:r w:rsidR="0040415C">
        <w:t>normalized</w:t>
      </w:r>
      <w:r>
        <w:t xml:space="preserve"> across the full 175-galaxy catalogue, enabling cross-galaxy visual comparison of field-shape at a glance: brighter cores indicate deeper, steeper potentials.</w:t>
      </w:r>
    </w:p>
    <w:p w14:paraId="178B0E82" w14:textId="623FAD8D" w:rsidR="00E34C95" w:rsidRDefault="0040415C">
      <w:pPr>
        <w:pStyle w:val="Heading2"/>
        <w:spacing w:before="300"/>
      </w:pPr>
      <w:r>
        <w:t>2.3 Rendering</w:t>
      </w:r>
      <w:r w:rsidR="00000000">
        <w:t xml:space="preserve"> Parameters</w:t>
      </w:r>
    </w:p>
    <w:p w14:paraId="4CB861ED" w14:textId="77777777" w:rsidR="00E34C95" w:rsidRDefault="00000000">
      <w:pPr>
        <w:spacing w:before="60" w:after="100" w:line="340" w:lineRule="auto"/>
      </w:pPr>
      <w:r>
        <w:t>The six-panel atlas was generated with the following canonical rendering configuration:</w:t>
      </w:r>
    </w:p>
    <w:p w14:paraId="58918CA0" w14:textId="77777777" w:rsidR="00E34C95" w:rsidRDefault="00000000">
      <w:pPr>
        <w:pStyle w:val="ListParagraph"/>
        <w:numPr>
          <w:ilvl w:val="0"/>
          <w:numId w:val="2"/>
        </w:numPr>
        <w:spacing w:line="320" w:lineRule="auto"/>
      </w:pPr>
      <w:r>
        <w:t>Image resolution: 320 × 320 pixels per panel, rendered at 160 DPI</w:t>
      </w:r>
    </w:p>
    <w:p w14:paraId="62CCB38F" w14:textId="77777777" w:rsidR="00E34C95" w:rsidRDefault="00000000">
      <w:pPr>
        <w:pStyle w:val="ListParagraph"/>
        <w:numPr>
          <w:ilvl w:val="0"/>
          <w:numId w:val="2"/>
        </w:numPr>
        <w:spacing w:line="320" w:lineRule="auto"/>
      </w:pPr>
      <w:r>
        <w:t>Interpolation: bilinear — balances visual smoothness with computational efficiency</w:t>
      </w:r>
    </w:p>
    <w:p w14:paraId="62116231" w14:textId="3CC5AB73" w:rsidR="00E34C95" w:rsidRDefault="00000000">
      <w:pPr>
        <w:pStyle w:val="ListParagraph"/>
        <w:numPr>
          <w:ilvl w:val="0"/>
          <w:numId w:val="2"/>
        </w:numPr>
        <w:spacing w:line="320" w:lineRule="auto"/>
      </w:pPr>
      <w:r>
        <w:t xml:space="preserve">Fabric </w:t>
      </w:r>
      <w:r w:rsidR="0040415C">
        <w:t>normalization</w:t>
      </w:r>
      <w:r>
        <w:t>: global, 95th-percentile ceiling — ensures cross-galaxy comparability</w:t>
      </w:r>
    </w:p>
    <w:p w14:paraId="4FF0EB8F" w14:textId="77777777" w:rsidR="00E34C95" w:rsidRDefault="00000000">
      <w:pPr>
        <w:pStyle w:val="ListParagraph"/>
        <w:numPr>
          <w:ilvl w:val="0"/>
          <w:numId w:val="2"/>
        </w:numPr>
        <w:spacing w:line="320" w:lineRule="auto"/>
      </w:pPr>
      <w:r>
        <w:t>Fabric extent: per-galaxy — each panel spans the data range of that galaxy</w:t>
      </w:r>
    </w:p>
    <w:p w14:paraId="6889AD28" w14:textId="0A2DF26B" w:rsidR="00E34C95" w:rsidRDefault="00000000">
      <w:pPr>
        <w:pStyle w:val="ListParagraph"/>
        <w:numPr>
          <w:ilvl w:val="0"/>
          <w:numId w:val="2"/>
        </w:numPr>
        <w:spacing w:line="320" w:lineRule="auto"/>
      </w:pPr>
      <w:r>
        <w:t xml:space="preserve">3D surface height: manual at 35% of radial extent, per-galaxy </w:t>
      </w:r>
      <w:r w:rsidR="0040415C">
        <w:t>normalized</w:t>
      </w:r>
    </w:p>
    <w:p w14:paraId="04C4BA11" w14:textId="09AD96BF" w:rsidR="00E34C95" w:rsidRDefault="00000000">
      <w:pPr>
        <w:pStyle w:val="ListParagraph"/>
        <w:numPr>
          <w:ilvl w:val="0"/>
          <w:numId w:val="2"/>
        </w:numPr>
        <w:spacing w:line="320" w:lineRule="auto"/>
      </w:pPr>
      <w:r>
        <w:t xml:space="preserve">Vertical exaggeration: unity </w:t>
      </w:r>
      <m:oMath>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exag</m:t>
                </m:r>
              </m:sub>
            </m:sSub>
            <m:r>
              <w:rPr>
                <w:rFonts w:ascii="Cambria Math" w:hAnsi="Cambria Math"/>
              </w:rPr>
              <m:t>=1</m:t>
            </m:r>
          </m:e>
        </m:d>
      </m:oMath>
      <w:r>
        <w:t xml:space="preserve"> — no artificial depth inflation</w:t>
      </w:r>
    </w:p>
    <w:p w14:paraId="0A22CC2F" w14:textId="77777777" w:rsidR="00E34C95" w:rsidRDefault="00000000">
      <w:pPr>
        <w:pStyle w:val="Heading1"/>
      </w:pPr>
      <w:r>
        <w:t>3.  Quantitative Results Across the Full Catalogue</w:t>
      </w:r>
    </w:p>
    <w:p w14:paraId="73FFEEC7" w14:textId="77777777" w:rsidR="00E34C95" w:rsidRDefault="00E34C95">
      <w:pPr>
        <w:pBdr>
          <w:bottom w:val="single" w:sz="4" w:space="1" w:color="2B4F76"/>
        </w:pBdr>
      </w:pPr>
    </w:p>
    <w:p w14:paraId="3C7841FA" w14:textId="77777777" w:rsidR="00E34C95" w:rsidRDefault="00E34C95">
      <w:pPr>
        <w:spacing w:line="60" w:lineRule="auto"/>
      </w:pPr>
    </w:p>
    <w:p w14:paraId="6C87ED0F" w14:textId="27A8B5DB" w:rsidR="00E34C95" w:rsidRDefault="0040415C">
      <w:pPr>
        <w:pStyle w:val="Heading2"/>
        <w:spacing w:before="300"/>
      </w:pPr>
      <w:r>
        <w:t>3.1 Aggregate</w:t>
      </w:r>
      <w:r w:rsidR="00000000">
        <w:t xml:space="preserve"> </w:t>
      </w:r>
      <m:oMath>
        <m:r>
          <m:rPr>
            <m:sty m:val="bi"/>
          </m:rPr>
          <w:rPr>
            <w:rFonts w:ascii="Cambria Math" w:hAnsi="Cambria Math"/>
          </w:rPr>
          <m:t>Δ</m:t>
        </m:r>
        <m:sSup>
          <m:sSupPr>
            <m:ctrlPr>
              <w:rPr>
                <w:rFonts w:ascii="Cambria Math" w:hAnsi="Cambria Math"/>
                <w:i/>
              </w:rPr>
            </m:ctrlPr>
          </m:sSupPr>
          <m:e>
            <m:r>
              <m:rPr>
                <m:sty m:val="bi"/>
              </m:rPr>
              <w:rPr>
                <w:rFonts w:ascii="Cambria Math" w:hAnsi="Cambria Math"/>
              </w:rPr>
              <m:t>χ</m:t>
            </m:r>
          </m:e>
          <m:sup>
            <m:r>
              <m:rPr>
                <m:sty m:val="bi"/>
              </m:rPr>
              <w:rPr>
                <w:rFonts w:ascii="Cambria Math" w:hAnsi="Cambria Math"/>
              </w:rPr>
              <m:t>2</m:t>
            </m:r>
          </m:sup>
        </m:sSup>
      </m:oMath>
      <w:r w:rsidR="00000000">
        <w:t xml:space="preserve"> Improvement Classes</w:t>
      </w:r>
    </w:p>
    <w:p w14:paraId="359E3F1A" w14:textId="5C8E02A6" w:rsidR="00E34C95" w:rsidRDefault="00000000">
      <w:pPr>
        <w:spacing w:before="60" w:after="100" w:line="340" w:lineRule="auto"/>
      </w:pPr>
      <w:r>
        <w:t xml:space="preserve">For each galaxy the runner computes the nested </w:t>
      </w:r>
      <m:oMath>
        <m:r>
          <w:rPr>
            <w:rFonts w:ascii="Cambria Math" w:hAnsi="Cambria Math"/>
          </w:rPr>
          <m:t>Δ</m:t>
        </m:r>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statistic between the baryons-only model and the one-parameter augmented model. This is converted to a significance Z-score and classified into five improvement tiers. The table below </w:t>
      </w:r>
      <w:r w:rsidR="0040415C">
        <w:t>summarizes</w:t>
      </w:r>
      <w:r>
        <w:t xml:space="preserve"> the full 175-galaxy catalogue: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9"/>
        <w:gridCol w:w="1260"/>
        <w:gridCol w:w="2430"/>
        <w:gridCol w:w="3511"/>
      </w:tblGrid>
      <w:tr w:rsidR="00E34C95" w14:paraId="0F9B3B41" w14:textId="77777777" w:rsidTr="0040415C">
        <w:tblPrEx>
          <w:tblCellMar>
            <w:top w:w="0" w:type="dxa"/>
            <w:bottom w:w="0" w:type="dxa"/>
          </w:tblCellMar>
        </w:tblPrEx>
        <w:tc>
          <w:tcPr>
            <w:tcW w:w="2159" w:type="dxa"/>
            <w:tcBorders>
              <w:top w:val="single" w:sz="1" w:space="0" w:color="D8DCE2"/>
              <w:left w:val="single" w:sz="1" w:space="0" w:color="D8DCE2"/>
              <w:bottom w:val="single" w:sz="1" w:space="0" w:color="D8DCE2"/>
              <w:right w:val="single" w:sz="1" w:space="0" w:color="D8DCE2"/>
            </w:tcBorders>
            <w:shd w:val="clear" w:color="auto" w:fill="0D1B2A"/>
            <w:tcMar>
              <w:top w:w="80" w:type="dxa"/>
              <w:left w:w="140" w:type="dxa"/>
              <w:bottom w:w="80" w:type="dxa"/>
              <w:right w:w="140" w:type="dxa"/>
            </w:tcMar>
            <w:vAlign w:val="center"/>
          </w:tcPr>
          <w:p w14:paraId="12E79C98" w14:textId="77777777" w:rsidR="00E34C95" w:rsidRDefault="00000000">
            <w:r>
              <w:rPr>
                <w:b/>
                <w:bCs/>
                <w:color w:val="FFFFFF"/>
                <w:sz w:val="20"/>
                <w:szCs w:val="20"/>
              </w:rPr>
              <w:t>Improvement Class</w:t>
            </w:r>
          </w:p>
        </w:tc>
        <w:tc>
          <w:tcPr>
            <w:tcW w:w="1260" w:type="dxa"/>
            <w:tcBorders>
              <w:top w:val="single" w:sz="1" w:space="0" w:color="D8DCE2"/>
              <w:left w:val="single" w:sz="1" w:space="0" w:color="D8DCE2"/>
              <w:bottom w:val="single" w:sz="1" w:space="0" w:color="D8DCE2"/>
              <w:right w:val="single" w:sz="1" w:space="0" w:color="D8DCE2"/>
            </w:tcBorders>
            <w:shd w:val="clear" w:color="auto" w:fill="0D1B2A"/>
            <w:tcMar>
              <w:top w:w="80" w:type="dxa"/>
              <w:left w:w="140" w:type="dxa"/>
              <w:bottom w:w="80" w:type="dxa"/>
              <w:right w:w="140" w:type="dxa"/>
            </w:tcMar>
            <w:vAlign w:val="center"/>
          </w:tcPr>
          <w:p w14:paraId="5A6F2605" w14:textId="77777777" w:rsidR="00E34C95" w:rsidRDefault="00000000">
            <w:pPr>
              <w:jc w:val="center"/>
            </w:pPr>
            <w:r>
              <w:rPr>
                <w:b/>
                <w:bCs/>
                <w:color w:val="FFFFFF"/>
                <w:sz w:val="20"/>
                <w:szCs w:val="20"/>
              </w:rPr>
              <w:t>Count</w:t>
            </w:r>
          </w:p>
        </w:tc>
        <w:tc>
          <w:tcPr>
            <w:tcW w:w="2430" w:type="dxa"/>
            <w:tcBorders>
              <w:top w:val="single" w:sz="1" w:space="0" w:color="D8DCE2"/>
              <w:left w:val="single" w:sz="1" w:space="0" w:color="D8DCE2"/>
              <w:bottom w:val="single" w:sz="1" w:space="0" w:color="D8DCE2"/>
              <w:right w:val="single" w:sz="1" w:space="0" w:color="D8DCE2"/>
            </w:tcBorders>
            <w:shd w:val="clear" w:color="auto" w:fill="0D1B2A"/>
            <w:tcMar>
              <w:top w:w="80" w:type="dxa"/>
              <w:left w:w="140" w:type="dxa"/>
              <w:bottom w:w="80" w:type="dxa"/>
              <w:right w:w="140" w:type="dxa"/>
            </w:tcMar>
            <w:vAlign w:val="center"/>
          </w:tcPr>
          <w:p w14:paraId="75126D7F" w14:textId="77777777" w:rsidR="00E34C95" w:rsidRDefault="00000000">
            <w:pPr>
              <w:jc w:val="center"/>
            </w:pPr>
            <w:r>
              <w:rPr>
                <w:b/>
                <w:bCs/>
                <w:color w:val="FFFFFF"/>
                <w:sz w:val="20"/>
                <w:szCs w:val="20"/>
              </w:rPr>
              <w:t>Fraction</w:t>
            </w:r>
          </w:p>
        </w:tc>
        <w:tc>
          <w:tcPr>
            <w:tcW w:w="3511" w:type="dxa"/>
            <w:tcBorders>
              <w:top w:val="single" w:sz="1" w:space="0" w:color="D8DCE2"/>
              <w:left w:val="single" w:sz="1" w:space="0" w:color="D8DCE2"/>
              <w:bottom w:val="single" w:sz="1" w:space="0" w:color="D8DCE2"/>
              <w:right w:val="single" w:sz="1" w:space="0" w:color="D8DCE2"/>
            </w:tcBorders>
            <w:shd w:val="clear" w:color="auto" w:fill="0D1B2A"/>
            <w:tcMar>
              <w:top w:w="80" w:type="dxa"/>
              <w:left w:w="140" w:type="dxa"/>
              <w:bottom w:w="80" w:type="dxa"/>
              <w:right w:w="140" w:type="dxa"/>
            </w:tcMar>
            <w:vAlign w:val="center"/>
          </w:tcPr>
          <w:p w14:paraId="5EFF9F9D" w14:textId="77777777" w:rsidR="00E34C95" w:rsidRDefault="00000000">
            <w:pPr>
              <w:jc w:val="center"/>
            </w:pPr>
            <w:r>
              <w:rPr>
                <w:b/>
                <w:bCs/>
                <w:color w:val="FFFFFF"/>
                <w:sz w:val="20"/>
                <w:szCs w:val="20"/>
              </w:rPr>
              <w:t>Criterion</w:t>
            </w:r>
          </w:p>
        </w:tc>
      </w:tr>
      <w:tr w:rsidR="00E34C95" w14:paraId="3D363644" w14:textId="77777777" w:rsidTr="0040415C">
        <w:tblPrEx>
          <w:tblCellMar>
            <w:top w:w="0" w:type="dxa"/>
            <w:bottom w:w="0" w:type="dxa"/>
          </w:tblCellMar>
        </w:tblPrEx>
        <w:tc>
          <w:tcPr>
            <w:tcW w:w="2159"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513CF1B2" w14:textId="77777777" w:rsidR="00E34C95" w:rsidRDefault="00000000">
            <w:r>
              <w:rPr>
                <w:sz w:val="20"/>
                <w:szCs w:val="20"/>
              </w:rPr>
              <w:t>Very-Strong</w:t>
            </w:r>
          </w:p>
        </w:tc>
        <w:tc>
          <w:tcPr>
            <w:tcW w:w="126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2A1125A3" w14:textId="77777777" w:rsidR="00E34C95" w:rsidRDefault="00000000">
            <w:pPr>
              <w:jc w:val="center"/>
            </w:pPr>
            <w:r>
              <w:rPr>
                <w:sz w:val="20"/>
                <w:szCs w:val="20"/>
              </w:rPr>
              <w:t>161</w:t>
            </w:r>
          </w:p>
        </w:tc>
        <w:tc>
          <w:tcPr>
            <w:tcW w:w="243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6EDDAE3C" w14:textId="77777777" w:rsidR="00E34C95" w:rsidRDefault="00000000">
            <w:pPr>
              <w:jc w:val="center"/>
            </w:pPr>
            <w:r>
              <w:rPr>
                <w:sz w:val="20"/>
                <w:szCs w:val="20"/>
              </w:rPr>
              <w:t>92.0%</w:t>
            </w:r>
          </w:p>
        </w:tc>
        <w:tc>
          <w:tcPr>
            <w:tcW w:w="3511"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497233B3" w14:textId="2FABAFDB" w:rsidR="00E34C95" w:rsidRDefault="0040415C">
            <w:pPr>
              <w:jc w:val="center"/>
            </w:pPr>
            <m:oMathPara>
              <m:oMath>
                <m:r>
                  <w:rPr>
                    <w:rFonts w:ascii="Cambria Math" w:hAnsi="Cambria Math"/>
                    <w:sz w:val="20"/>
                    <w:szCs w:val="20"/>
                  </w:rPr>
                  <m:t>Z&gt;~5</m:t>
                </m:r>
                <m:d>
                  <m:dPr>
                    <m:ctrlPr>
                      <w:rPr>
                        <w:rFonts w:ascii="Cambria Math" w:hAnsi="Cambria Math"/>
                        <w:i/>
                        <w:sz w:val="20"/>
                        <w:szCs w:val="20"/>
                      </w:rPr>
                    </m:ctrlPr>
                  </m:dPr>
                  <m:e>
                    <m:r>
                      <w:rPr>
                        <w:rFonts w:ascii="Cambria Math" w:hAnsi="Cambria Math"/>
                        <w:sz w:val="20"/>
                        <w:szCs w:val="20"/>
                      </w:rPr>
                      <m:t>p&lt;1×</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-6</m:t>
                        </m:r>
                      </m:sup>
                    </m:sSup>
                  </m:e>
                </m:d>
              </m:oMath>
            </m:oMathPara>
          </w:p>
        </w:tc>
      </w:tr>
      <w:tr w:rsidR="00E34C95" w14:paraId="024D5E9D" w14:textId="77777777" w:rsidTr="0040415C">
        <w:tblPrEx>
          <w:tblCellMar>
            <w:top w:w="0" w:type="dxa"/>
            <w:bottom w:w="0" w:type="dxa"/>
          </w:tblCellMar>
        </w:tblPrEx>
        <w:tc>
          <w:tcPr>
            <w:tcW w:w="2159"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63CC992E" w14:textId="77777777" w:rsidR="00E34C95" w:rsidRDefault="00000000">
            <w:r>
              <w:rPr>
                <w:sz w:val="20"/>
                <w:szCs w:val="20"/>
              </w:rPr>
              <w:t>Strong</w:t>
            </w:r>
          </w:p>
        </w:tc>
        <w:tc>
          <w:tcPr>
            <w:tcW w:w="126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3B1D68AE" w14:textId="77777777" w:rsidR="00E34C95" w:rsidRDefault="00000000">
            <w:pPr>
              <w:jc w:val="center"/>
            </w:pPr>
            <w:r>
              <w:rPr>
                <w:sz w:val="20"/>
                <w:szCs w:val="20"/>
              </w:rPr>
              <w:t>5</w:t>
            </w:r>
          </w:p>
        </w:tc>
        <w:tc>
          <w:tcPr>
            <w:tcW w:w="243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7245B56C" w14:textId="77777777" w:rsidR="00E34C95" w:rsidRDefault="00000000">
            <w:pPr>
              <w:jc w:val="center"/>
            </w:pPr>
            <w:r>
              <w:rPr>
                <w:sz w:val="20"/>
                <w:szCs w:val="20"/>
              </w:rPr>
              <w:t>2.9%</w:t>
            </w:r>
          </w:p>
        </w:tc>
        <w:tc>
          <w:tcPr>
            <w:tcW w:w="3511"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774DE4BF" w14:textId="20854B72" w:rsidR="00E34C95" w:rsidRDefault="0040415C">
            <w:pPr>
              <w:jc w:val="center"/>
            </w:pPr>
            <m:oMathPara>
              <m:oMath>
                <m:r>
                  <w:rPr>
                    <w:rFonts w:ascii="Cambria Math" w:hAnsi="Cambria Math"/>
                    <w:sz w:val="20"/>
                    <w:szCs w:val="20"/>
                  </w:rPr>
                  <m:t>Z≈3.5-5</m:t>
                </m:r>
                <m:d>
                  <m:dPr>
                    <m:ctrlPr>
                      <w:rPr>
                        <w:rFonts w:ascii="Cambria Math" w:hAnsi="Cambria Math"/>
                        <w:i/>
                        <w:sz w:val="20"/>
                        <w:szCs w:val="20"/>
                      </w:rPr>
                    </m:ctrlPr>
                  </m:dPr>
                  <m:e>
                    <m:r>
                      <w:rPr>
                        <w:rFonts w:ascii="Cambria Math" w:hAnsi="Cambria Math"/>
                        <w:sz w:val="20"/>
                        <w:szCs w:val="20"/>
                      </w:rPr>
                      <m:t>p~</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-5</m:t>
                        </m:r>
                      </m:sup>
                    </m:sSup>
                    <m:r>
                      <w:rPr>
                        <w:rFonts w:ascii="Cambria Math" w:hAnsi="Cambria Math"/>
                        <w:sz w:val="20"/>
                        <w:szCs w:val="20"/>
                      </w:rPr>
                      <m:t>to</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-4</m:t>
                        </m:r>
                      </m:sup>
                    </m:sSup>
                  </m:e>
                </m:d>
              </m:oMath>
            </m:oMathPara>
          </w:p>
        </w:tc>
      </w:tr>
      <w:tr w:rsidR="00E34C95" w14:paraId="4B13EBB0" w14:textId="77777777" w:rsidTr="0040415C">
        <w:tblPrEx>
          <w:tblCellMar>
            <w:top w:w="0" w:type="dxa"/>
            <w:bottom w:w="0" w:type="dxa"/>
          </w:tblCellMar>
        </w:tblPrEx>
        <w:tc>
          <w:tcPr>
            <w:tcW w:w="2159"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6D335DD0" w14:textId="77777777" w:rsidR="00E34C95" w:rsidRDefault="00000000">
            <w:r>
              <w:rPr>
                <w:sz w:val="20"/>
                <w:szCs w:val="20"/>
              </w:rPr>
              <w:t>Moderate</w:t>
            </w:r>
          </w:p>
        </w:tc>
        <w:tc>
          <w:tcPr>
            <w:tcW w:w="126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66A2D7EB" w14:textId="77777777" w:rsidR="00E34C95" w:rsidRDefault="00000000">
            <w:pPr>
              <w:jc w:val="center"/>
            </w:pPr>
            <w:r>
              <w:rPr>
                <w:sz w:val="20"/>
                <w:szCs w:val="20"/>
              </w:rPr>
              <w:t>3</w:t>
            </w:r>
          </w:p>
        </w:tc>
        <w:tc>
          <w:tcPr>
            <w:tcW w:w="243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10423DBF" w14:textId="77777777" w:rsidR="00E34C95" w:rsidRDefault="00000000">
            <w:pPr>
              <w:jc w:val="center"/>
            </w:pPr>
            <w:r>
              <w:rPr>
                <w:sz w:val="20"/>
                <w:szCs w:val="20"/>
              </w:rPr>
              <w:t>1.7%</w:t>
            </w:r>
          </w:p>
        </w:tc>
        <w:tc>
          <w:tcPr>
            <w:tcW w:w="3511"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58478707" w14:textId="6D55C8BE" w:rsidR="00E34C95" w:rsidRDefault="0040415C">
            <w:pPr>
              <w:jc w:val="center"/>
            </w:pPr>
            <m:oMathPara>
              <m:oMath>
                <m:r>
                  <w:rPr>
                    <w:rFonts w:ascii="Cambria Math" w:hAnsi="Cambria Math"/>
                    <w:sz w:val="20"/>
                    <w:szCs w:val="20"/>
                  </w:rPr>
                  <m:t>Z≈2-3.5</m:t>
                </m:r>
                <m:d>
                  <m:dPr>
                    <m:ctrlPr>
                      <w:rPr>
                        <w:rFonts w:ascii="Cambria Math" w:hAnsi="Cambria Math"/>
                        <w:i/>
                        <w:sz w:val="20"/>
                        <w:szCs w:val="20"/>
                      </w:rPr>
                    </m:ctrlPr>
                  </m:dPr>
                  <m:e>
                    <m:r>
                      <w:rPr>
                        <w:rFonts w:ascii="Cambria Math" w:hAnsi="Cambria Math"/>
                        <w:sz w:val="20"/>
                        <w:szCs w:val="20"/>
                      </w:rPr>
                      <m:t>p~</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-2</m:t>
                        </m:r>
                      </m:sup>
                    </m:sSup>
                    <m:r>
                      <w:rPr>
                        <w:rFonts w:ascii="Cambria Math" w:hAnsi="Cambria Math"/>
                        <w:sz w:val="20"/>
                        <w:szCs w:val="20"/>
                      </w:rPr>
                      <m:t>to</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-3</m:t>
                        </m:r>
                      </m:sup>
                    </m:sSup>
                  </m:e>
                </m:d>
              </m:oMath>
            </m:oMathPara>
          </w:p>
        </w:tc>
      </w:tr>
      <w:tr w:rsidR="00E34C95" w14:paraId="785687EA" w14:textId="77777777" w:rsidTr="0040415C">
        <w:tblPrEx>
          <w:tblCellMar>
            <w:top w:w="0" w:type="dxa"/>
            <w:bottom w:w="0" w:type="dxa"/>
          </w:tblCellMar>
        </w:tblPrEx>
        <w:tc>
          <w:tcPr>
            <w:tcW w:w="2159"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5645981A" w14:textId="77777777" w:rsidR="00E34C95" w:rsidRDefault="00000000">
            <w:r>
              <w:rPr>
                <w:sz w:val="20"/>
                <w:szCs w:val="20"/>
              </w:rPr>
              <w:t>Weak</w:t>
            </w:r>
          </w:p>
        </w:tc>
        <w:tc>
          <w:tcPr>
            <w:tcW w:w="126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46E8FD21" w14:textId="77777777" w:rsidR="00E34C95" w:rsidRDefault="00000000">
            <w:pPr>
              <w:jc w:val="center"/>
            </w:pPr>
            <w:r>
              <w:rPr>
                <w:sz w:val="20"/>
                <w:szCs w:val="20"/>
              </w:rPr>
              <w:t>4</w:t>
            </w:r>
          </w:p>
        </w:tc>
        <w:tc>
          <w:tcPr>
            <w:tcW w:w="243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7343B31A" w14:textId="77777777" w:rsidR="00E34C95" w:rsidRDefault="00000000">
            <w:pPr>
              <w:jc w:val="center"/>
            </w:pPr>
            <w:r>
              <w:rPr>
                <w:sz w:val="20"/>
                <w:szCs w:val="20"/>
              </w:rPr>
              <w:t>2.3%</w:t>
            </w:r>
          </w:p>
        </w:tc>
        <w:tc>
          <w:tcPr>
            <w:tcW w:w="3511"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073ADDAA" w14:textId="018DECCD" w:rsidR="00E34C95" w:rsidRDefault="0040415C">
            <w:pPr>
              <w:jc w:val="center"/>
            </w:pPr>
            <m:oMathPara>
              <m:oMath>
                <m:r>
                  <w:rPr>
                    <w:rFonts w:ascii="Cambria Math" w:hAnsi="Cambria Math"/>
                    <w:sz w:val="20"/>
                    <w:szCs w:val="20"/>
                  </w:rPr>
                  <m:t>Z&lt;2</m:t>
                </m:r>
                <m:d>
                  <m:dPr>
                    <m:ctrlPr>
                      <w:rPr>
                        <w:rFonts w:ascii="Cambria Math" w:hAnsi="Cambria Math"/>
                        <w:i/>
                        <w:sz w:val="20"/>
                        <w:szCs w:val="20"/>
                      </w:rPr>
                    </m:ctrlPr>
                  </m:dPr>
                  <m:e>
                    <m:r>
                      <w:rPr>
                        <w:rFonts w:ascii="Cambria Math" w:hAnsi="Cambria Math"/>
                        <w:sz w:val="20"/>
                        <w:szCs w:val="20"/>
                      </w:rPr>
                      <m:t>p&gt;0.05</m:t>
                    </m:r>
                  </m:e>
                </m:d>
              </m:oMath>
            </m:oMathPara>
          </w:p>
        </w:tc>
      </w:tr>
      <w:tr w:rsidR="00E34C95" w14:paraId="21E1C8E1" w14:textId="77777777" w:rsidTr="0040415C">
        <w:tblPrEx>
          <w:tblCellMar>
            <w:top w:w="0" w:type="dxa"/>
            <w:bottom w:w="0" w:type="dxa"/>
          </w:tblCellMar>
        </w:tblPrEx>
        <w:tc>
          <w:tcPr>
            <w:tcW w:w="2159"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2AA90EF3" w14:textId="77777777" w:rsidR="00E34C95" w:rsidRDefault="00000000">
            <w:r>
              <w:rPr>
                <w:sz w:val="20"/>
                <w:szCs w:val="20"/>
              </w:rPr>
              <w:t>No Improvement</w:t>
            </w:r>
          </w:p>
        </w:tc>
        <w:tc>
          <w:tcPr>
            <w:tcW w:w="126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32AF4C55" w14:textId="77777777" w:rsidR="00E34C95" w:rsidRDefault="00000000">
            <w:pPr>
              <w:jc w:val="center"/>
            </w:pPr>
            <w:r>
              <w:rPr>
                <w:sz w:val="20"/>
                <w:szCs w:val="20"/>
              </w:rPr>
              <w:t>2</w:t>
            </w:r>
          </w:p>
        </w:tc>
        <w:tc>
          <w:tcPr>
            <w:tcW w:w="243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0A101A5F" w14:textId="77777777" w:rsidR="00E34C95" w:rsidRDefault="00000000">
            <w:pPr>
              <w:jc w:val="center"/>
            </w:pPr>
            <w:r>
              <w:rPr>
                <w:sz w:val="20"/>
                <w:szCs w:val="20"/>
              </w:rPr>
              <w:t>1.1%</w:t>
            </w:r>
          </w:p>
        </w:tc>
        <w:tc>
          <w:tcPr>
            <w:tcW w:w="3511"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26D0588C" w14:textId="1DCD7573" w:rsidR="00E34C95" w:rsidRDefault="0040415C">
            <w:pPr>
              <w:jc w:val="center"/>
            </w:pPr>
            <m:oMath>
              <m:r>
                <w:rPr>
                  <w:rFonts w:ascii="Cambria Math" w:hAnsi="Cambria Math"/>
                  <w:sz w:val="20"/>
                  <w:szCs w:val="20"/>
                </w:rPr>
                <m:t>Δ</m:t>
              </m:r>
              <m:sSup>
                <m:sSupPr>
                  <m:ctrlPr>
                    <w:rPr>
                      <w:rFonts w:ascii="Cambria Math" w:hAnsi="Cambria Math"/>
                      <w:i/>
                      <w:sz w:val="20"/>
                      <w:szCs w:val="20"/>
                    </w:rPr>
                  </m:ctrlPr>
                </m:sSupPr>
                <m:e>
                  <m:r>
                    <w:rPr>
                      <w:rFonts w:ascii="Cambria Math" w:hAnsi="Cambria Math"/>
                      <w:sz w:val="20"/>
                      <w:szCs w:val="20"/>
                    </w:rPr>
                    <m:t>χ</m:t>
                  </m:r>
                </m:e>
                <m:sup>
                  <m:r>
                    <w:rPr>
                      <w:rFonts w:ascii="Cambria Math" w:hAnsi="Cambria Math"/>
                      <w:sz w:val="20"/>
                      <w:szCs w:val="20"/>
                    </w:rPr>
                    <m:t>2</m:t>
                  </m:r>
                </m:sup>
              </m:sSup>
              <m:r>
                <w:rPr>
                  <w:rFonts w:ascii="Cambria Math" w:hAnsi="Cambria Math"/>
                  <w:sz w:val="20"/>
                  <w:szCs w:val="20"/>
                </w:rPr>
                <m:t>≤0</m:t>
              </m:r>
            </m:oMath>
            <w:r w:rsidR="00000000">
              <w:rPr>
                <w:sz w:val="20"/>
                <w:szCs w:val="20"/>
              </w:rPr>
              <w:t xml:space="preserve"> or negligible</w:t>
            </w:r>
          </w:p>
        </w:tc>
      </w:tr>
      <w:tr w:rsidR="00E34C95" w14:paraId="12916A47" w14:textId="77777777" w:rsidTr="0040415C">
        <w:tblPrEx>
          <w:tblCellMar>
            <w:top w:w="0" w:type="dxa"/>
            <w:bottom w:w="0" w:type="dxa"/>
          </w:tblCellMar>
        </w:tblPrEx>
        <w:tc>
          <w:tcPr>
            <w:tcW w:w="2159"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6DE4274B" w14:textId="77777777" w:rsidR="00E34C95" w:rsidRDefault="00000000">
            <w:r>
              <w:rPr>
                <w:sz w:val="20"/>
                <w:szCs w:val="20"/>
              </w:rPr>
              <w:t>Total</w:t>
            </w:r>
          </w:p>
        </w:tc>
        <w:tc>
          <w:tcPr>
            <w:tcW w:w="126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64C453FE" w14:textId="77777777" w:rsidR="00E34C95" w:rsidRDefault="00000000">
            <w:pPr>
              <w:jc w:val="center"/>
            </w:pPr>
            <w:r>
              <w:rPr>
                <w:sz w:val="20"/>
                <w:szCs w:val="20"/>
              </w:rPr>
              <w:t>175</w:t>
            </w:r>
          </w:p>
        </w:tc>
        <w:tc>
          <w:tcPr>
            <w:tcW w:w="243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5AD718E7" w14:textId="77777777" w:rsidR="00E34C95" w:rsidRDefault="00000000">
            <w:pPr>
              <w:jc w:val="center"/>
            </w:pPr>
            <w:r>
              <w:rPr>
                <w:sz w:val="20"/>
                <w:szCs w:val="20"/>
              </w:rPr>
              <w:t>100%</w:t>
            </w:r>
          </w:p>
        </w:tc>
        <w:tc>
          <w:tcPr>
            <w:tcW w:w="3511"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08E349C3" w14:textId="77777777" w:rsidR="00E34C95" w:rsidRDefault="00000000">
            <w:pPr>
              <w:jc w:val="center"/>
            </w:pPr>
            <w:r>
              <w:rPr>
                <w:sz w:val="20"/>
                <w:szCs w:val="20"/>
              </w:rPr>
              <w:t>—</w:t>
            </w:r>
          </w:p>
        </w:tc>
      </w:tr>
    </w:tbl>
    <w:p w14:paraId="6FA6CE40" w14:textId="77777777" w:rsidR="00E34C95" w:rsidRDefault="00E34C95">
      <w:pPr>
        <w:spacing w:line="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34C95" w14:paraId="493D3416" w14:textId="77777777">
        <w:tblPrEx>
          <w:tblCellMar>
            <w:top w:w="0" w:type="dxa"/>
            <w:bottom w:w="0" w:type="dxa"/>
          </w:tblCellMar>
        </w:tblPrEx>
        <w:tc>
          <w:tcPr>
            <w:tcW w:w="9360" w:type="dxa"/>
            <w:tcBorders>
              <w:left w:val="thick" w:sz="12" w:space="0" w:color="1A7B74"/>
            </w:tcBorders>
            <w:shd w:val="clear" w:color="auto" w:fill="EFF8F0"/>
            <w:tcMar>
              <w:top w:w="120" w:type="dxa"/>
              <w:left w:w="200" w:type="dxa"/>
              <w:bottom w:w="120" w:type="dxa"/>
              <w:right w:w="160" w:type="dxa"/>
            </w:tcMar>
          </w:tcPr>
          <w:p w14:paraId="6D4370BF" w14:textId="77777777" w:rsidR="00E34C95" w:rsidRDefault="00000000">
            <w:pPr>
              <w:spacing w:after="60"/>
            </w:pPr>
            <w:r>
              <w:rPr>
                <w:b/>
                <w:bCs/>
                <w:color w:val="1A7B74"/>
                <w:sz w:val="20"/>
                <w:szCs w:val="20"/>
              </w:rPr>
              <w:t>Key Interpretation</w:t>
            </w:r>
          </w:p>
          <w:p w14:paraId="4F494732" w14:textId="77777777" w:rsidR="00E34C95" w:rsidRDefault="00000000">
            <w:pPr>
              <w:spacing w:line="320" w:lineRule="auto"/>
            </w:pPr>
            <w:r>
              <w:rPr>
                <w:sz w:val="21"/>
                <w:szCs w:val="21"/>
              </w:rPr>
              <w:t>The 92% rate of very-strong improvement is particularly notable because the model has only one free parameter per galaxy (Q) and is therefore highly constrained. The baryons-only baseline chi-squared values span an extraordinary dynamic range — from ~0.4 to ~120,000 — across the catalogue, yet the augmented model consistently and dramatically reduces residuals. This robustness across morphological types, mass scales, and distance bins is a critical strength of the result.</w:t>
            </w:r>
          </w:p>
        </w:tc>
      </w:tr>
    </w:tbl>
    <w:p w14:paraId="4C04118C" w14:textId="77777777" w:rsidR="00E34C95" w:rsidRDefault="00E34C95">
      <w:pPr>
        <w:spacing w:line="80" w:lineRule="auto"/>
      </w:pPr>
    </w:p>
    <w:p w14:paraId="532214BB" w14:textId="17ECBA7C" w:rsidR="00E34C95" w:rsidRDefault="00FD1FFA">
      <w:pPr>
        <w:pStyle w:val="Heading2"/>
        <w:spacing w:before="300"/>
      </w:pPr>
      <w:r>
        <w:t>3.2 Dynamic</w:t>
      </w:r>
      <w:r w:rsidR="00000000">
        <w:t xml:space="preserve"> Range of Fit Improvement</w:t>
      </w:r>
    </w:p>
    <w:p w14:paraId="5D8220D9" w14:textId="77777777" w:rsidR="00E34C95" w:rsidRDefault="00000000">
      <w:pPr>
        <w:spacing w:before="60" w:after="100" w:line="340" w:lineRule="auto"/>
      </w:pPr>
      <w:r>
        <w:t>The catalogue spans a remarkable range of baryonic deficit severity. Representative extreme cases illustrate the breadth: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E34C95" w14:paraId="5843DEA5" w14:textId="77777777">
        <w:tblPrEx>
          <w:tblCellMar>
            <w:top w:w="0" w:type="dxa"/>
            <w:bottom w:w="0" w:type="dxa"/>
          </w:tblCellMar>
        </w:tblPrEx>
        <w:tc>
          <w:tcPr>
            <w:tcW w:w="1560" w:type="dxa"/>
            <w:tcBorders>
              <w:top w:val="single" w:sz="1" w:space="0" w:color="D8DCE2"/>
              <w:left w:val="single" w:sz="1" w:space="0" w:color="D8DCE2"/>
              <w:bottom w:val="single" w:sz="1" w:space="0" w:color="D8DCE2"/>
              <w:right w:val="single" w:sz="1" w:space="0" w:color="D8DCE2"/>
            </w:tcBorders>
            <w:shd w:val="clear" w:color="auto" w:fill="0D1B2A"/>
            <w:tcMar>
              <w:top w:w="80" w:type="dxa"/>
              <w:left w:w="140" w:type="dxa"/>
              <w:bottom w:w="80" w:type="dxa"/>
              <w:right w:w="140" w:type="dxa"/>
            </w:tcMar>
            <w:vAlign w:val="center"/>
          </w:tcPr>
          <w:p w14:paraId="643319A5" w14:textId="77777777" w:rsidR="00E34C95" w:rsidRDefault="00000000">
            <w:r>
              <w:rPr>
                <w:b/>
                <w:bCs/>
                <w:color w:val="FFFFFF"/>
                <w:sz w:val="20"/>
                <w:szCs w:val="20"/>
              </w:rPr>
              <w:t>Galaxy</w:t>
            </w:r>
          </w:p>
        </w:tc>
        <w:tc>
          <w:tcPr>
            <w:tcW w:w="1560" w:type="dxa"/>
            <w:tcBorders>
              <w:top w:val="single" w:sz="1" w:space="0" w:color="D8DCE2"/>
              <w:left w:val="single" w:sz="1" w:space="0" w:color="D8DCE2"/>
              <w:bottom w:val="single" w:sz="1" w:space="0" w:color="D8DCE2"/>
              <w:right w:val="single" w:sz="1" w:space="0" w:color="D8DCE2"/>
            </w:tcBorders>
            <w:shd w:val="clear" w:color="auto" w:fill="0D1B2A"/>
            <w:tcMar>
              <w:top w:w="80" w:type="dxa"/>
              <w:left w:w="140" w:type="dxa"/>
              <w:bottom w:w="80" w:type="dxa"/>
              <w:right w:w="140" w:type="dxa"/>
            </w:tcMar>
            <w:vAlign w:val="center"/>
          </w:tcPr>
          <w:p w14:paraId="176BAF9A" w14:textId="0308FD0F" w:rsidR="00E34C95" w:rsidRDefault="00FD1FFA">
            <w:pPr>
              <w:jc w:val="center"/>
            </w:pPr>
            <m:oMath>
              <m:r>
                <m:rPr>
                  <m:sty m:val="bi"/>
                </m:rPr>
                <w:rPr>
                  <w:rFonts w:ascii="Cambria Math" w:hAnsi="Cambria Math"/>
                  <w:color w:val="FFFFFF"/>
                  <w:sz w:val="20"/>
                  <w:szCs w:val="20"/>
                </w:rPr>
                <m:t>n</m:t>
              </m:r>
            </m:oMath>
            <w:r w:rsidR="00000000">
              <w:rPr>
                <w:b/>
                <w:bCs/>
                <w:color w:val="FFFFFF"/>
                <w:sz w:val="20"/>
                <w:szCs w:val="20"/>
              </w:rPr>
              <w:t xml:space="preserve"> pts</w:t>
            </w:r>
          </w:p>
        </w:tc>
        <w:tc>
          <w:tcPr>
            <w:tcW w:w="1560" w:type="dxa"/>
            <w:tcBorders>
              <w:top w:val="single" w:sz="1" w:space="0" w:color="D8DCE2"/>
              <w:left w:val="single" w:sz="1" w:space="0" w:color="D8DCE2"/>
              <w:bottom w:val="single" w:sz="1" w:space="0" w:color="D8DCE2"/>
              <w:right w:val="single" w:sz="1" w:space="0" w:color="D8DCE2"/>
            </w:tcBorders>
            <w:shd w:val="clear" w:color="auto" w:fill="0D1B2A"/>
            <w:tcMar>
              <w:top w:w="80" w:type="dxa"/>
              <w:left w:w="140" w:type="dxa"/>
              <w:bottom w:w="80" w:type="dxa"/>
              <w:right w:w="140" w:type="dxa"/>
            </w:tcMar>
            <w:vAlign w:val="center"/>
          </w:tcPr>
          <w:p w14:paraId="193C6690" w14:textId="62039EBD" w:rsidR="00E34C95" w:rsidRDefault="00FD1FFA">
            <w:pPr>
              <w:jc w:val="center"/>
            </w:pPr>
            <m:oMathPara>
              <m:oMath>
                <m:sSubSup>
                  <m:sSubSupPr>
                    <m:ctrlPr>
                      <w:rPr>
                        <w:rFonts w:ascii="Cambria Math" w:hAnsi="Cambria Math"/>
                        <w:b/>
                        <w:bCs/>
                        <w:i/>
                        <w:color w:val="FFFFFF"/>
                        <w:sz w:val="20"/>
                        <w:szCs w:val="20"/>
                      </w:rPr>
                    </m:ctrlPr>
                  </m:sSubSupPr>
                  <m:e>
                    <m:r>
                      <m:rPr>
                        <m:sty m:val="bi"/>
                      </m:rPr>
                      <w:rPr>
                        <w:rFonts w:ascii="Cambria Math" w:hAnsi="Cambria Math"/>
                        <w:color w:val="FFFFFF"/>
                        <w:sz w:val="20"/>
                        <w:szCs w:val="20"/>
                      </w:rPr>
                      <m:t>χ</m:t>
                    </m:r>
                  </m:e>
                  <m:sub>
                    <m:r>
                      <m:rPr>
                        <m:sty m:val="bi"/>
                      </m:rPr>
                      <w:rPr>
                        <w:rFonts w:ascii="Cambria Math" w:hAnsi="Cambria Math"/>
                        <w:color w:val="FFFFFF"/>
                        <w:sz w:val="20"/>
                        <w:szCs w:val="20"/>
                      </w:rPr>
                      <m:t>bar</m:t>
                    </m:r>
                  </m:sub>
                  <m:sup>
                    <m:r>
                      <m:rPr>
                        <m:sty m:val="bi"/>
                      </m:rPr>
                      <w:rPr>
                        <w:rFonts w:ascii="Cambria Math" w:hAnsi="Cambria Math"/>
                        <w:color w:val="FFFFFF"/>
                        <w:sz w:val="20"/>
                        <w:szCs w:val="20"/>
                      </w:rPr>
                      <m:t>2</m:t>
                    </m:r>
                  </m:sup>
                </m:sSubSup>
              </m:oMath>
            </m:oMathPara>
          </w:p>
        </w:tc>
        <w:tc>
          <w:tcPr>
            <w:tcW w:w="1560" w:type="dxa"/>
            <w:tcBorders>
              <w:top w:val="single" w:sz="1" w:space="0" w:color="D8DCE2"/>
              <w:left w:val="single" w:sz="1" w:space="0" w:color="D8DCE2"/>
              <w:bottom w:val="single" w:sz="1" w:space="0" w:color="D8DCE2"/>
              <w:right w:val="single" w:sz="1" w:space="0" w:color="D8DCE2"/>
            </w:tcBorders>
            <w:shd w:val="clear" w:color="auto" w:fill="0D1B2A"/>
            <w:tcMar>
              <w:top w:w="80" w:type="dxa"/>
              <w:left w:w="140" w:type="dxa"/>
              <w:bottom w:w="80" w:type="dxa"/>
              <w:right w:w="140" w:type="dxa"/>
            </w:tcMar>
            <w:vAlign w:val="center"/>
          </w:tcPr>
          <w:p w14:paraId="3D375DF5" w14:textId="309EAF60" w:rsidR="00E34C95" w:rsidRDefault="00FD1FFA">
            <w:pPr>
              <w:jc w:val="center"/>
            </w:pPr>
            <m:oMathPara>
              <m:oMath>
                <m:sSubSup>
                  <m:sSubSupPr>
                    <m:ctrlPr>
                      <w:rPr>
                        <w:rFonts w:ascii="Cambria Math" w:hAnsi="Cambria Math"/>
                        <w:b/>
                        <w:bCs/>
                        <w:i/>
                        <w:color w:val="FFFFFF"/>
                        <w:sz w:val="20"/>
                        <w:szCs w:val="20"/>
                      </w:rPr>
                    </m:ctrlPr>
                  </m:sSubSupPr>
                  <m:e>
                    <m:r>
                      <m:rPr>
                        <m:sty m:val="bi"/>
                      </m:rPr>
                      <w:rPr>
                        <w:rFonts w:ascii="Cambria Math" w:hAnsi="Cambria Math"/>
                        <w:color w:val="FFFFFF"/>
                        <w:sz w:val="20"/>
                        <w:szCs w:val="20"/>
                      </w:rPr>
                      <m:t>χ</m:t>
                    </m:r>
                  </m:e>
                  <m:sub>
                    <m:r>
                      <m:rPr>
                        <m:sty m:val="bi"/>
                      </m:rPr>
                      <w:rPr>
                        <w:rFonts w:ascii="Cambria Math" w:hAnsi="Cambria Math"/>
                        <w:color w:val="FFFFFF"/>
                        <w:sz w:val="20"/>
                        <w:szCs w:val="20"/>
                      </w:rPr>
                      <m:t>model</m:t>
                    </m:r>
                  </m:sub>
                  <m:sup>
                    <m:r>
                      <m:rPr>
                        <m:sty m:val="bi"/>
                      </m:rPr>
                      <w:rPr>
                        <w:rFonts w:ascii="Cambria Math" w:hAnsi="Cambria Math"/>
                        <w:color w:val="FFFFFF"/>
                        <w:sz w:val="20"/>
                        <w:szCs w:val="20"/>
                      </w:rPr>
                      <m:t>2</m:t>
                    </m:r>
                  </m:sup>
                </m:sSubSup>
              </m:oMath>
            </m:oMathPara>
          </w:p>
        </w:tc>
        <w:tc>
          <w:tcPr>
            <w:tcW w:w="1560" w:type="dxa"/>
            <w:tcBorders>
              <w:top w:val="single" w:sz="1" w:space="0" w:color="D8DCE2"/>
              <w:left w:val="single" w:sz="1" w:space="0" w:color="D8DCE2"/>
              <w:bottom w:val="single" w:sz="1" w:space="0" w:color="D8DCE2"/>
              <w:right w:val="single" w:sz="1" w:space="0" w:color="D8DCE2"/>
            </w:tcBorders>
            <w:shd w:val="clear" w:color="auto" w:fill="0D1B2A"/>
            <w:tcMar>
              <w:top w:w="80" w:type="dxa"/>
              <w:left w:w="140" w:type="dxa"/>
              <w:bottom w:w="80" w:type="dxa"/>
              <w:right w:w="140" w:type="dxa"/>
            </w:tcMar>
            <w:vAlign w:val="center"/>
          </w:tcPr>
          <w:p w14:paraId="101C49F6" w14:textId="72D54D38" w:rsidR="00E34C95" w:rsidRDefault="0040415C">
            <w:pPr>
              <w:jc w:val="center"/>
            </w:pPr>
            <m:oMathPara>
              <m:oMath>
                <m:r>
                  <m:rPr>
                    <m:sty m:val="bi"/>
                  </m:rPr>
                  <w:rPr>
                    <w:rFonts w:ascii="Cambria Math" w:hAnsi="Cambria Math"/>
                    <w:color w:val="FFFFFF"/>
                    <w:sz w:val="20"/>
                    <w:szCs w:val="20"/>
                  </w:rPr>
                  <m:t>ΔZ-score</m:t>
                </m:r>
              </m:oMath>
            </m:oMathPara>
          </w:p>
        </w:tc>
        <w:tc>
          <w:tcPr>
            <w:tcW w:w="1560" w:type="dxa"/>
            <w:tcBorders>
              <w:top w:val="single" w:sz="1" w:space="0" w:color="D8DCE2"/>
              <w:left w:val="single" w:sz="1" w:space="0" w:color="D8DCE2"/>
              <w:bottom w:val="single" w:sz="1" w:space="0" w:color="D8DCE2"/>
              <w:right w:val="single" w:sz="1" w:space="0" w:color="D8DCE2"/>
            </w:tcBorders>
            <w:shd w:val="clear" w:color="auto" w:fill="0D1B2A"/>
            <w:tcMar>
              <w:top w:w="80" w:type="dxa"/>
              <w:left w:w="140" w:type="dxa"/>
              <w:bottom w:w="80" w:type="dxa"/>
              <w:right w:w="140" w:type="dxa"/>
            </w:tcMar>
            <w:vAlign w:val="center"/>
          </w:tcPr>
          <w:p w14:paraId="284E208F" w14:textId="6A53F287" w:rsidR="00E34C95" w:rsidRDefault="0040415C">
            <w:pPr>
              <w:jc w:val="center"/>
            </w:pPr>
            <m:oMath>
              <m:sSub>
                <m:sSubPr>
                  <m:ctrlPr>
                    <w:rPr>
                      <w:rFonts w:ascii="Cambria Math" w:hAnsi="Cambria Math"/>
                      <w:b/>
                      <w:bCs/>
                      <w:i/>
                      <w:color w:val="FFFFFF"/>
                      <w:sz w:val="20"/>
                      <w:szCs w:val="20"/>
                    </w:rPr>
                  </m:ctrlPr>
                </m:sSubPr>
                <m:e>
                  <m:r>
                    <m:rPr>
                      <m:sty m:val="bi"/>
                    </m:rPr>
                    <w:rPr>
                      <w:rFonts w:ascii="Cambria Math" w:hAnsi="Cambria Math"/>
                      <w:color w:val="FFFFFF"/>
                      <w:sz w:val="20"/>
                      <w:szCs w:val="20"/>
                    </w:rPr>
                    <m:t>v</m:t>
                  </m:r>
                </m:e>
                <m:sub>
                  <m:r>
                    <m:rPr>
                      <m:sty m:val="bi"/>
                    </m:rPr>
                    <w:rPr>
                      <w:rFonts w:ascii="Cambria Math" w:hAnsi="Cambria Math"/>
                      <w:color w:val="FFFFFF"/>
                      <w:sz w:val="20"/>
                      <w:szCs w:val="20"/>
                    </w:rPr>
                    <m:t>extra</m:t>
                  </m:r>
                </m:sub>
              </m:sSub>
            </m:oMath>
            <w:r w:rsidR="00000000">
              <w:rPr>
                <w:b/>
                <w:bCs/>
                <w:color w:val="FFFFFF"/>
                <w:sz w:val="20"/>
                <w:szCs w:val="20"/>
              </w:rPr>
              <w:t xml:space="preserve"> (km/s)</w:t>
            </w:r>
          </w:p>
        </w:tc>
      </w:tr>
      <w:tr w:rsidR="00E34C95" w14:paraId="05911E5D" w14:textId="77777777">
        <w:tblPrEx>
          <w:tblCellMar>
            <w:top w:w="0" w:type="dxa"/>
            <w:bottom w:w="0" w:type="dxa"/>
          </w:tblCellMar>
        </w:tblPrEx>
        <w:tc>
          <w:tcPr>
            <w:tcW w:w="156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3EC151D5" w14:textId="77777777" w:rsidR="00E34C95" w:rsidRDefault="00000000">
            <w:r>
              <w:rPr>
                <w:sz w:val="20"/>
                <w:szCs w:val="20"/>
              </w:rPr>
              <w:t>UGC09133</w:t>
            </w:r>
          </w:p>
        </w:tc>
        <w:tc>
          <w:tcPr>
            <w:tcW w:w="156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196D35D1" w14:textId="77777777" w:rsidR="00E34C95" w:rsidRDefault="00000000">
            <w:pPr>
              <w:jc w:val="center"/>
            </w:pPr>
            <w:r>
              <w:rPr>
                <w:sz w:val="20"/>
                <w:szCs w:val="20"/>
              </w:rPr>
              <w:t>68</w:t>
            </w:r>
          </w:p>
        </w:tc>
        <w:tc>
          <w:tcPr>
            <w:tcW w:w="156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0DB659D0" w14:textId="77777777" w:rsidR="00E34C95" w:rsidRDefault="00000000">
            <w:pPr>
              <w:jc w:val="center"/>
            </w:pPr>
            <w:r>
              <w:rPr>
                <w:sz w:val="20"/>
                <w:szCs w:val="20"/>
              </w:rPr>
              <w:t>119,700</w:t>
            </w:r>
          </w:p>
        </w:tc>
        <w:tc>
          <w:tcPr>
            <w:tcW w:w="156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27A02D99" w14:textId="77777777" w:rsidR="00E34C95" w:rsidRDefault="00000000">
            <w:pPr>
              <w:jc w:val="center"/>
            </w:pPr>
            <w:r>
              <w:rPr>
                <w:sz w:val="20"/>
                <w:szCs w:val="20"/>
              </w:rPr>
              <w:t>1,533</w:t>
            </w:r>
          </w:p>
        </w:tc>
        <w:tc>
          <w:tcPr>
            <w:tcW w:w="156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4702006D" w14:textId="77777777" w:rsidR="00E34C95" w:rsidRDefault="00000000">
            <w:pPr>
              <w:jc w:val="center"/>
            </w:pPr>
            <w:r>
              <w:rPr>
                <w:sz w:val="20"/>
                <w:szCs w:val="20"/>
              </w:rPr>
              <w:t>344</w:t>
            </w:r>
          </w:p>
        </w:tc>
        <w:tc>
          <w:tcPr>
            <w:tcW w:w="156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32D73821" w14:textId="77777777" w:rsidR="00E34C95" w:rsidRDefault="00000000">
            <w:pPr>
              <w:jc w:val="center"/>
            </w:pPr>
            <w:r>
              <w:rPr>
                <w:sz w:val="20"/>
                <w:szCs w:val="20"/>
              </w:rPr>
              <w:t>199</w:t>
            </w:r>
          </w:p>
        </w:tc>
      </w:tr>
      <w:tr w:rsidR="00E34C95" w14:paraId="0F711A49" w14:textId="77777777">
        <w:tblPrEx>
          <w:tblCellMar>
            <w:top w:w="0" w:type="dxa"/>
            <w:bottom w:w="0" w:type="dxa"/>
          </w:tblCellMar>
        </w:tblPrEx>
        <w:tc>
          <w:tcPr>
            <w:tcW w:w="156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2B467721" w14:textId="77777777" w:rsidR="00E34C95" w:rsidRDefault="00000000">
            <w:r>
              <w:rPr>
                <w:sz w:val="20"/>
                <w:szCs w:val="20"/>
              </w:rPr>
              <w:t>UGC06787</w:t>
            </w:r>
          </w:p>
        </w:tc>
        <w:tc>
          <w:tcPr>
            <w:tcW w:w="156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4955004F" w14:textId="77777777" w:rsidR="00E34C95" w:rsidRDefault="00000000">
            <w:pPr>
              <w:jc w:val="center"/>
            </w:pPr>
            <w:r>
              <w:rPr>
                <w:sz w:val="20"/>
                <w:szCs w:val="20"/>
              </w:rPr>
              <w:t>71</w:t>
            </w:r>
          </w:p>
        </w:tc>
        <w:tc>
          <w:tcPr>
            <w:tcW w:w="156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5CF9AFF0" w14:textId="77777777" w:rsidR="00E34C95" w:rsidRDefault="00000000">
            <w:pPr>
              <w:jc w:val="center"/>
            </w:pPr>
            <w:r>
              <w:rPr>
                <w:sz w:val="20"/>
                <w:szCs w:val="20"/>
              </w:rPr>
              <w:t>104,200</w:t>
            </w:r>
          </w:p>
        </w:tc>
        <w:tc>
          <w:tcPr>
            <w:tcW w:w="156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71DF70D6" w14:textId="77777777" w:rsidR="00E34C95" w:rsidRDefault="00000000">
            <w:pPr>
              <w:jc w:val="center"/>
            </w:pPr>
            <w:r>
              <w:rPr>
                <w:sz w:val="20"/>
                <w:szCs w:val="20"/>
              </w:rPr>
              <w:t>6,664</w:t>
            </w:r>
          </w:p>
        </w:tc>
        <w:tc>
          <w:tcPr>
            <w:tcW w:w="156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23F8BC1A" w14:textId="77777777" w:rsidR="00E34C95" w:rsidRDefault="00000000">
            <w:pPr>
              <w:jc w:val="center"/>
            </w:pPr>
            <w:r>
              <w:rPr>
                <w:sz w:val="20"/>
                <w:szCs w:val="20"/>
              </w:rPr>
              <w:t>312</w:t>
            </w:r>
          </w:p>
        </w:tc>
        <w:tc>
          <w:tcPr>
            <w:tcW w:w="156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1854FCC0" w14:textId="77777777" w:rsidR="00E34C95" w:rsidRDefault="00000000">
            <w:pPr>
              <w:jc w:val="center"/>
            </w:pPr>
            <w:r>
              <w:rPr>
                <w:sz w:val="20"/>
                <w:szCs w:val="20"/>
              </w:rPr>
              <w:t>213</w:t>
            </w:r>
          </w:p>
        </w:tc>
      </w:tr>
      <w:tr w:rsidR="00E34C95" w14:paraId="493BDFFC" w14:textId="77777777">
        <w:tblPrEx>
          <w:tblCellMar>
            <w:top w:w="0" w:type="dxa"/>
            <w:bottom w:w="0" w:type="dxa"/>
          </w:tblCellMar>
        </w:tblPrEx>
        <w:tc>
          <w:tcPr>
            <w:tcW w:w="156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010A0F68" w14:textId="77777777" w:rsidR="00E34C95" w:rsidRDefault="00000000">
            <w:r>
              <w:rPr>
                <w:sz w:val="20"/>
                <w:szCs w:val="20"/>
              </w:rPr>
              <w:t>UGC06786</w:t>
            </w:r>
          </w:p>
        </w:tc>
        <w:tc>
          <w:tcPr>
            <w:tcW w:w="156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79FDB4B0" w14:textId="77777777" w:rsidR="00E34C95" w:rsidRDefault="00000000">
            <w:pPr>
              <w:jc w:val="center"/>
            </w:pPr>
            <w:r>
              <w:rPr>
                <w:sz w:val="20"/>
                <w:szCs w:val="20"/>
              </w:rPr>
              <w:t>45</w:t>
            </w:r>
          </w:p>
        </w:tc>
        <w:tc>
          <w:tcPr>
            <w:tcW w:w="156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1509AEB7" w14:textId="77777777" w:rsidR="00E34C95" w:rsidRDefault="00000000">
            <w:pPr>
              <w:jc w:val="center"/>
            </w:pPr>
            <w:r>
              <w:rPr>
                <w:sz w:val="20"/>
                <w:szCs w:val="20"/>
              </w:rPr>
              <w:t>58,780</w:t>
            </w:r>
          </w:p>
        </w:tc>
        <w:tc>
          <w:tcPr>
            <w:tcW w:w="156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2F805B5A" w14:textId="77777777" w:rsidR="00E34C95" w:rsidRDefault="00000000">
            <w:pPr>
              <w:jc w:val="center"/>
            </w:pPr>
            <w:r>
              <w:rPr>
                <w:sz w:val="20"/>
                <w:szCs w:val="20"/>
              </w:rPr>
              <w:t>2,597</w:t>
            </w:r>
          </w:p>
        </w:tc>
        <w:tc>
          <w:tcPr>
            <w:tcW w:w="156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6A3D605D" w14:textId="77777777" w:rsidR="00E34C95" w:rsidRDefault="00000000">
            <w:pPr>
              <w:jc w:val="center"/>
            </w:pPr>
            <w:r>
              <w:rPr>
                <w:sz w:val="20"/>
                <w:szCs w:val="20"/>
              </w:rPr>
              <w:t>237</w:t>
            </w:r>
          </w:p>
        </w:tc>
        <w:tc>
          <w:tcPr>
            <w:tcW w:w="156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4FA6B35D" w14:textId="77777777" w:rsidR="00E34C95" w:rsidRDefault="00000000">
            <w:pPr>
              <w:jc w:val="center"/>
            </w:pPr>
            <w:r>
              <w:rPr>
                <w:sz w:val="20"/>
                <w:szCs w:val="20"/>
              </w:rPr>
              <w:t>202</w:t>
            </w:r>
          </w:p>
        </w:tc>
      </w:tr>
      <w:tr w:rsidR="00E34C95" w14:paraId="5CC723EA" w14:textId="77777777">
        <w:tblPrEx>
          <w:tblCellMar>
            <w:top w:w="0" w:type="dxa"/>
            <w:bottom w:w="0" w:type="dxa"/>
          </w:tblCellMar>
        </w:tblPrEx>
        <w:tc>
          <w:tcPr>
            <w:tcW w:w="156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190CA14A" w14:textId="77777777" w:rsidR="00E34C95" w:rsidRDefault="00000000">
            <w:r>
              <w:rPr>
                <w:sz w:val="20"/>
                <w:szCs w:val="20"/>
              </w:rPr>
              <w:t>ESO563-G021</w:t>
            </w:r>
          </w:p>
        </w:tc>
        <w:tc>
          <w:tcPr>
            <w:tcW w:w="156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14944616" w14:textId="77777777" w:rsidR="00E34C95" w:rsidRDefault="00000000">
            <w:pPr>
              <w:jc w:val="center"/>
            </w:pPr>
            <w:r>
              <w:rPr>
                <w:sz w:val="20"/>
                <w:szCs w:val="20"/>
              </w:rPr>
              <w:t>30</w:t>
            </w:r>
          </w:p>
        </w:tc>
        <w:tc>
          <w:tcPr>
            <w:tcW w:w="156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1751884C" w14:textId="77777777" w:rsidR="00E34C95" w:rsidRDefault="00000000">
            <w:pPr>
              <w:jc w:val="center"/>
            </w:pPr>
            <w:r>
              <w:rPr>
                <w:sz w:val="20"/>
                <w:szCs w:val="20"/>
              </w:rPr>
              <w:t>7,372</w:t>
            </w:r>
          </w:p>
        </w:tc>
        <w:tc>
          <w:tcPr>
            <w:tcW w:w="156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2DE677F8" w14:textId="77777777" w:rsidR="00E34C95" w:rsidRDefault="00000000">
            <w:pPr>
              <w:jc w:val="center"/>
            </w:pPr>
            <w:r>
              <w:rPr>
                <w:sz w:val="20"/>
                <w:szCs w:val="20"/>
              </w:rPr>
              <w:t>708</w:t>
            </w:r>
          </w:p>
        </w:tc>
        <w:tc>
          <w:tcPr>
            <w:tcW w:w="156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7D952CF2" w14:textId="77777777" w:rsidR="00E34C95" w:rsidRDefault="00000000">
            <w:pPr>
              <w:jc w:val="center"/>
            </w:pPr>
            <w:r>
              <w:rPr>
                <w:sz w:val="20"/>
                <w:szCs w:val="20"/>
              </w:rPr>
              <w:t>82</w:t>
            </w:r>
          </w:p>
        </w:tc>
        <w:tc>
          <w:tcPr>
            <w:tcW w:w="156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5EEA4788" w14:textId="77777777" w:rsidR="00E34C95" w:rsidRDefault="00000000">
            <w:pPr>
              <w:jc w:val="center"/>
            </w:pPr>
            <w:r>
              <w:rPr>
                <w:sz w:val="20"/>
                <w:szCs w:val="20"/>
              </w:rPr>
              <w:t>220</w:t>
            </w:r>
          </w:p>
        </w:tc>
      </w:tr>
      <w:tr w:rsidR="00E34C95" w14:paraId="33F0B620" w14:textId="77777777">
        <w:tblPrEx>
          <w:tblCellMar>
            <w:top w:w="0" w:type="dxa"/>
            <w:bottom w:w="0" w:type="dxa"/>
          </w:tblCellMar>
        </w:tblPrEx>
        <w:tc>
          <w:tcPr>
            <w:tcW w:w="156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5EB9BD58" w14:textId="77777777" w:rsidR="00E34C95" w:rsidRDefault="00000000">
            <w:r>
              <w:rPr>
                <w:sz w:val="20"/>
                <w:szCs w:val="20"/>
              </w:rPr>
              <w:t>NGC7814</w:t>
            </w:r>
          </w:p>
        </w:tc>
        <w:tc>
          <w:tcPr>
            <w:tcW w:w="156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16A1C40B" w14:textId="77777777" w:rsidR="00E34C95" w:rsidRDefault="00000000">
            <w:pPr>
              <w:jc w:val="center"/>
            </w:pPr>
            <w:r>
              <w:rPr>
                <w:sz w:val="20"/>
                <w:szCs w:val="20"/>
              </w:rPr>
              <w:t>18</w:t>
            </w:r>
          </w:p>
        </w:tc>
        <w:tc>
          <w:tcPr>
            <w:tcW w:w="156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56EAA320" w14:textId="77777777" w:rsidR="00E34C95" w:rsidRDefault="00000000">
            <w:pPr>
              <w:jc w:val="center"/>
            </w:pPr>
            <w:r>
              <w:rPr>
                <w:sz w:val="20"/>
                <w:szCs w:val="20"/>
              </w:rPr>
              <w:t>7,283</w:t>
            </w:r>
          </w:p>
        </w:tc>
        <w:tc>
          <w:tcPr>
            <w:tcW w:w="156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0280E742" w14:textId="77777777" w:rsidR="00E34C95" w:rsidRDefault="00000000">
            <w:pPr>
              <w:jc w:val="center"/>
            </w:pPr>
            <w:r>
              <w:rPr>
                <w:sz w:val="20"/>
                <w:szCs w:val="20"/>
              </w:rPr>
              <w:t>169</w:t>
            </w:r>
          </w:p>
        </w:tc>
        <w:tc>
          <w:tcPr>
            <w:tcW w:w="156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26348048" w14:textId="77777777" w:rsidR="00E34C95" w:rsidRDefault="00000000">
            <w:pPr>
              <w:jc w:val="center"/>
            </w:pPr>
            <w:r>
              <w:rPr>
                <w:sz w:val="20"/>
                <w:szCs w:val="20"/>
              </w:rPr>
              <w:t>84</w:t>
            </w:r>
          </w:p>
        </w:tc>
        <w:tc>
          <w:tcPr>
            <w:tcW w:w="156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472A1191" w14:textId="77777777" w:rsidR="00E34C95" w:rsidRDefault="00000000">
            <w:pPr>
              <w:jc w:val="center"/>
            </w:pPr>
            <w:r>
              <w:rPr>
                <w:sz w:val="20"/>
                <w:szCs w:val="20"/>
              </w:rPr>
              <w:t>179</w:t>
            </w:r>
          </w:p>
        </w:tc>
      </w:tr>
      <w:tr w:rsidR="00E34C95" w14:paraId="3D191CEC" w14:textId="77777777">
        <w:tblPrEx>
          <w:tblCellMar>
            <w:top w:w="0" w:type="dxa"/>
            <w:bottom w:w="0" w:type="dxa"/>
          </w:tblCellMar>
        </w:tblPrEx>
        <w:tc>
          <w:tcPr>
            <w:tcW w:w="156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3487CA49" w14:textId="77777777" w:rsidR="00E34C95" w:rsidRDefault="00000000">
            <w:r>
              <w:rPr>
                <w:sz w:val="20"/>
                <w:szCs w:val="20"/>
              </w:rPr>
              <w:t>D631-7</w:t>
            </w:r>
          </w:p>
        </w:tc>
        <w:tc>
          <w:tcPr>
            <w:tcW w:w="156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58681222" w14:textId="77777777" w:rsidR="00E34C95" w:rsidRDefault="00000000">
            <w:pPr>
              <w:jc w:val="center"/>
            </w:pPr>
            <w:r>
              <w:rPr>
                <w:sz w:val="20"/>
                <w:szCs w:val="20"/>
              </w:rPr>
              <w:t>16</w:t>
            </w:r>
          </w:p>
        </w:tc>
        <w:tc>
          <w:tcPr>
            <w:tcW w:w="156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2B8C845C" w14:textId="77777777" w:rsidR="00E34C95" w:rsidRDefault="00000000">
            <w:pPr>
              <w:jc w:val="center"/>
            </w:pPr>
            <w:r>
              <w:rPr>
                <w:sz w:val="20"/>
                <w:szCs w:val="20"/>
              </w:rPr>
              <w:t>1,693</w:t>
            </w:r>
          </w:p>
        </w:tc>
        <w:tc>
          <w:tcPr>
            <w:tcW w:w="156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48BE8760" w14:textId="77777777" w:rsidR="00E34C95" w:rsidRDefault="00000000">
            <w:pPr>
              <w:jc w:val="center"/>
            </w:pPr>
            <w:r>
              <w:rPr>
                <w:sz w:val="20"/>
                <w:szCs w:val="20"/>
              </w:rPr>
              <w:t>15.4</w:t>
            </w:r>
          </w:p>
        </w:tc>
        <w:tc>
          <w:tcPr>
            <w:tcW w:w="156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505C526E" w14:textId="77777777" w:rsidR="00E34C95" w:rsidRDefault="00000000">
            <w:pPr>
              <w:jc w:val="center"/>
            </w:pPr>
            <w:r>
              <w:rPr>
                <w:sz w:val="20"/>
                <w:szCs w:val="20"/>
              </w:rPr>
              <w:t>41</w:t>
            </w:r>
          </w:p>
        </w:tc>
        <w:tc>
          <w:tcPr>
            <w:tcW w:w="156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00D316AA" w14:textId="77777777" w:rsidR="00E34C95" w:rsidRDefault="00000000">
            <w:pPr>
              <w:jc w:val="center"/>
            </w:pPr>
            <w:r>
              <w:rPr>
                <w:sz w:val="20"/>
                <w:szCs w:val="20"/>
              </w:rPr>
              <w:t>51.3</w:t>
            </w:r>
          </w:p>
        </w:tc>
      </w:tr>
      <w:tr w:rsidR="00E34C95" w14:paraId="1FC435C7" w14:textId="77777777">
        <w:tblPrEx>
          <w:tblCellMar>
            <w:top w:w="0" w:type="dxa"/>
            <w:bottom w:w="0" w:type="dxa"/>
          </w:tblCellMar>
        </w:tblPrEx>
        <w:tc>
          <w:tcPr>
            <w:tcW w:w="156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0777672D" w14:textId="77777777" w:rsidR="00E34C95" w:rsidRDefault="00000000">
            <w:r>
              <w:rPr>
                <w:sz w:val="20"/>
                <w:szCs w:val="20"/>
              </w:rPr>
              <w:t>CamB</w:t>
            </w:r>
          </w:p>
        </w:tc>
        <w:tc>
          <w:tcPr>
            <w:tcW w:w="156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0ABDD556" w14:textId="77777777" w:rsidR="00E34C95" w:rsidRDefault="00000000">
            <w:pPr>
              <w:jc w:val="center"/>
            </w:pPr>
            <w:r>
              <w:rPr>
                <w:sz w:val="20"/>
                <w:szCs w:val="20"/>
              </w:rPr>
              <w:t>9</w:t>
            </w:r>
          </w:p>
        </w:tc>
        <w:tc>
          <w:tcPr>
            <w:tcW w:w="156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2FADE942" w14:textId="77777777" w:rsidR="00E34C95" w:rsidRDefault="00000000">
            <w:pPr>
              <w:jc w:val="center"/>
            </w:pPr>
            <w:r>
              <w:rPr>
                <w:sz w:val="20"/>
                <w:szCs w:val="20"/>
              </w:rPr>
              <w:t>45</w:t>
            </w:r>
          </w:p>
        </w:tc>
        <w:tc>
          <w:tcPr>
            <w:tcW w:w="156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3DDA587A" w14:textId="77777777" w:rsidR="00E34C95" w:rsidRDefault="00000000">
            <w:pPr>
              <w:jc w:val="center"/>
            </w:pPr>
            <w:r>
              <w:rPr>
                <w:sz w:val="20"/>
                <w:szCs w:val="20"/>
              </w:rPr>
              <w:t>31.3</w:t>
            </w:r>
          </w:p>
        </w:tc>
        <w:tc>
          <w:tcPr>
            <w:tcW w:w="156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7C810F71" w14:textId="77777777" w:rsidR="00E34C95" w:rsidRDefault="00000000">
            <w:pPr>
              <w:jc w:val="center"/>
            </w:pPr>
            <w:r>
              <w:rPr>
                <w:sz w:val="20"/>
                <w:szCs w:val="20"/>
              </w:rPr>
              <w:t>3.7</w:t>
            </w:r>
          </w:p>
        </w:tc>
        <w:tc>
          <w:tcPr>
            <w:tcW w:w="156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7E3A5B0E" w14:textId="77777777" w:rsidR="00E34C95" w:rsidRDefault="00000000">
            <w:pPr>
              <w:jc w:val="center"/>
            </w:pPr>
            <w:r>
              <w:rPr>
                <w:sz w:val="20"/>
                <w:szCs w:val="20"/>
              </w:rPr>
              <w:t>10.6</w:t>
            </w:r>
          </w:p>
        </w:tc>
      </w:tr>
      <w:tr w:rsidR="00E34C95" w14:paraId="3E90A7F1" w14:textId="77777777">
        <w:tblPrEx>
          <w:tblCellMar>
            <w:top w:w="0" w:type="dxa"/>
            <w:bottom w:w="0" w:type="dxa"/>
          </w:tblCellMar>
        </w:tblPrEx>
        <w:tc>
          <w:tcPr>
            <w:tcW w:w="156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454FD95A" w14:textId="77777777" w:rsidR="00E34C95" w:rsidRDefault="00000000">
            <w:r>
              <w:rPr>
                <w:sz w:val="20"/>
                <w:szCs w:val="20"/>
              </w:rPr>
              <w:t>PGC51017</w:t>
            </w:r>
          </w:p>
        </w:tc>
        <w:tc>
          <w:tcPr>
            <w:tcW w:w="156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2352252B" w14:textId="77777777" w:rsidR="00E34C95" w:rsidRDefault="00000000">
            <w:pPr>
              <w:jc w:val="center"/>
            </w:pPr>
            <w:r>
              <w:rPr>
                <w:sz w:val="20"/>
                <w:szCs w:val="20"/>
              </w:rPr>
              <w:t>6</w:t>
            </w:r>
          </w:p>
        </w:tc>
        <w:tc>
          <w:tcPr>
            <w:tcW w:w="156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2168A370" w14:textId="77777777" w:rsidR="00E34C95" w:rsidRDefault="00000000">
            <w:pPr>
              <w:jc w:val="center"/>
            </w:pPr>
            <w:r>
              <w:rPr>
                <w:sz w:val="20"/>
                <w:szCs w:val="20"/>
              </w:rPr>
              <w:t>9.3</w:t>
            </w:r>
          </w:p>
        </w:tc>
        <w:tc>
          <w:tcPr>
            <w:tcW w:w="156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4652B7BC" w14:textId="77777777" w:rsidR="00E34C95" w:rsidRDefault="00000000">
            <w:pPr>
              <w:jc w:val="center"/>
            </w:pPr>
            <w:r>
              <w:rPr>
                <w:sz w:val="20"/>
                <w:szCs w:val="20"/>
              </w:rPr>
              <w:t>8.8</w:t>
            </w:r>
          </w:p>
        </w:tc>
        <w:tc>
          <w:tcPr>
            <w:tcW w:w="156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6E5F7C0A" w14:textId="77777777" w:rsidR="00E34C95" w:rsidRDefault="00000000">
            <w:pPr>
              <w:jc w:val="center"/>
            </w:pPr>
            <w:r>
              <w:rPr>
                <w:sz w:val="20"/>
                <w:szCs w:val="20"/>
              </w:rPr>
              <w:t>0.7</w:t>
            </w:r>
          </w:p>
        </w:tc>
        <w:tc>
          <w:tcPr>
            <w:tcW w:w="156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6026762E" w14:textId="77777777" w:rsidR="00E34C95" w:rsidRDefault="00000000">
            <w:pPr>
              <w:jc w:val="center"/>
            </w:pPr>
            <w:r>
              <w:rPr>
                <w:sz w:val="20"/>
                <w:szCs w:val="20"/>
              </w:rPr>
              <w:t>6.2 (weak)</w:t>
            </w:r>
          </w:p>
        </w:tc>
      </w:tr>
    </w:tbl>
    <w:p w14:paraId="4E878B3D" w14:textId="77777777" w:rsidR="00E34C95" w:rsidRDefault="00E34C95">
      <w:pPr>
        <w:spacing w:line="80" w:lineRule="auto"/>
      </w:pPr>
    </w:p>
    <w:p w14:paraId="40F56FF6" w14:textId="58C6DB4A" w:rsidR="00E34C95" w:rsidRDefault="00000000">
      <w:pPr>
        <w:spacing w:before="60" w:after="100" w:line="340" w:lineRule="auto"/>
      </w:pPr>
      <w:r>
        <w:t>The largest improvements (</w:t>
      </w:r>
      <m:oMath>
        <m:r>
          <w:rPr>
            <w:rFonts w:ascii="Cambria Math" w:hAnsi="Cambria Math"/>
          </w:rPr>
          <m:t>Z &gt; 200</m:t>
        </m:r>
      </m:oMath>
      <w:r>
        <w:t>) occur in massive, well-sampled galaxies with dense data and severe baryonic underprediction. The weakest cases (</w:t>
      </w:r>
      <m:oMath>
        <m:r>
          <w:rPr>
            <w:rFonts w:ascii="Cambria Math" w:hAnsi="Cambria Math"/>
          </w:rPr>
          <m:t>Z &lt; 2</m:t>
        </m:r>
      </m:oMath>
      <w:r>
        <w:t xml:space="preserve">) tend to be sparsely sampled dwarfs where </w:t>
      </w:r>
      <m:oMath>
        <m:sSub>
          <m:sSubPr>
            <m:ctrlPr>
              <w:rPr>
                <w:rFonts w:ascii="Cambria Math" w:hAnsi="Cambria Math"/>
                <w:i/>
              </w:rPr>
            </m:ctrlPr>
          </m:sSubPr>
          <m:e>
            <m:r>
              <w:rPr>
                <w:rFonts w:ascii="Cambria Math" w:hAnsi="Cambria Math"/>
              </w:rPr>
              <m:t>v</m:t>
            </m:r>
          </m:e>
          <m:sub>
            <m:r>
              <w:rPr>
                <w:rFonts w:ascii="Cambria Math" w:hAnsi="Cambria Math"/>
              </w:rPr>
              <m:t>bar</m:t>
            </m:r>
          </m:sub>
        </m:sSub>
      </m:oMath>
      <w:r>
        <w:t xml:space="preserve"> already nearly accounts for </w:t>
      </w:r>
      <m:oMath>
        <m:sSub>
          <m:sSubPr>
            <m:ctrlPr>
              <w:rPr>
                <w:rFonts w:ascii="Cambria Math" w:hAnsi="Cambria Math"/>
                <w:i/>
              </w:rPr>
            </m:ctrlPr>
          </m:sSubPr>
          <m:e>
            <m:r>
              <w:rPr>
                <w:rFonts w:ascii="Cambria Math" w:hAnsi="Cambria Math"/>
              </w:rPr>
              <m:t>v</m:t>
            </m:r>
          </m:e>
          <m:sub>
            <m:r>
              <w:rPr>
                <w:rFonts w:ascii="Cambria Math" w:hAnsi="Cambria Math"/>
              </w:rPr>
              <m:t>obs</m:t>
            </m:r>
          </m:sub>
        </m:sSub>
      </m:oMath>
      <w:r>
        <w:t>, or where observational uncertainties are large enough to absorb the residual. This pattern is physically coherent: systems with larger baryonic deficit naturally show a larger edge-response amplitude.</w:t>
      </w:r>
    </w:p>
    <w:p w14:paraId="22D5112D" w14:textId="220A5652" w:rsidR="00E34C95" w:rsidRDefault="00FD1FFA">
      <w:pPr>
        <w:pStyle w:val="Heading2"/>
        <w:spacing w:before="300"/>
      </w:pPr>
      <w:r>
        <w:t>3.3 The</w:t>
      </w:r>
      <w:r w:rsidR="00000000">
        <w:t xml:space="preserve"> Extra-Velocity Scale </w:t>
      </w:r>
      <m:oMath>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extra</m:t>
            </m:r>
          </m:sub>
        </m:sSub>
      </m:oMath>
    </w:p>
    <w:p w14:paraId="6300B8E6" w14:textId="364DF843" w:rsidR="00E34C95" w:rsidRDefault="00000000">
      <w:pPr>
        <w:spacing w:before="60" w:after="100" w:line="340" w:lineRule="auto"/>
      </w:pPr>
      <w:r>
        <w:t xml:space="preserve">The best-fit auxiliary-field amplitude Q is interpretable as an asymptotic extra flat-rotation contribution: at large </w:t>
      </w:r>
      <m:oMath>
        <m:r>
          <w:rPr>
            <w:rFonts w:ascii="Cambria Math" w:hAnsi="Cambria Math"/>
          </w:rPr>
          <m:t>R</m:t>
        </m:r>
      </m:oMath>
      <w:r>
        <w:t xml:space="preserve">, </w:t>
      </w:r>
      <m:oMath>
        <m:sSubSup>
          <m:sSubSupPr>
            <m:ctrlPr>
              <w:rPr>
                <w:rFonts w:ascii="Cambria Math" w:hAnsi="Cambria Math"/>
                <w:i/>
              </w:rPr>
            </m:ctrlPr>
          </m:sSubSupPr>
          <m:e>
            <m:r>
              <w:rPr>
                <w:rFonts w:ascii="Cambria Math" w:hAnsi="Cambria Math"/>
              </w:rPr>
              <m:t>V</m:t>
            </m:r>
          </m:e>
          <m:sub>
            <m:r>
              <w:rPr>
                <w:rFonts w:ascii="Cambria Math" w:hAnsi="Cambria Math"/>
              </w:rPr>
              <m:t>extra</m:t>
            </m:r>
          </m:sub>
          <m:sup>
            <m:r>
              <w:rPr>
                <w:rFonts w:ascii="Cambria Math" w:hAnsi="Cambria Math"/>
              </w:rPr>
              <m:t>2</m:t>
            </m:r>
          </m:sup>
        </m:sSubSup>
        <m:r>
          <w:rPr>
            <w:rFonts w:ascii="Cambria Math" w:hAnsi="Cambria Math"/>
          </w:rPr>
          <m:t>→Q</m:t>
        </m:r>
      </m:oMath>
      <w:r>
        <w:t xml:space="preserve">, so </w:t>
      </w:r>
      <m:oMath>
        <m:rad>
          <m:radPr>
            <m:degHide m:val="1"/>
            <m:ctrlPr>
              <w:rPr>
                <w:rFonts w:ascii="Cambria Math" w:hAnsi="Cambria Math"/>
                <w:i/>
              </w:rPr>
            </m:ctrlPr>
          </m:radPr>
          <m:deg/>
          <m:e>
            <m:r>
              <w:rPr>
                <w:rFonts w:ascii="Cambria Math" w:hAnsi="Cambria Math"/>
              </w:rPr>
              <m:t>Q</m:t>
            </m:r>
          </m:e>
        </m:ra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extra</m:t>
            </m:r>
          </m:sub>
        </m:sSub>
      </m:oMath>
      <w:r>
        <w:t xml:space="preserve"> (km/s) is the effective 'edge velocity scale' generated by the auxiliary field. Across the catalogue, </w:t>
      </w:r>
      <w:r w:rsidR="00FD1FFA">
        <w:t>v_{extra}</w:t>
      </w:r>
      <w:r>
        <w:t xml:space="preserve"> spans a wide range:</w:t>
      </w:r>
    </w:p>
    <w:p w14:paraId="2DC22952" w14:textId="61E9D9A0" w:rsidR="00E34C95" w:rsidRDefault="00000000">
      <w:pPr>
        <w:pStyle w:val="ListParagraph"/>
        <w:numPr>
          <w:ilvl w:val="0"/>
          <w:numId w:val="2"/>
        </w:numPr>
        <w:spacing w:line="320" w:lineRule="auto"/>
      </w:pPr>
      <w:r>
        <w:t xml:space="preserve">Compact dwarfs (CamB, PGC51017): </w:t>
      </w:r>
      <m:oMath>
        <m:sSub>
          <m:sSubPr>
            <m:ctrlPr>
              <w:rPr>
                <w:rFonts w:ascii="Cambria Math" w:hAnsi="Cambria Math"/>
                <w:i/>
              </w:rPr>
            </m:ctrlPr>
          </m:sSubPr>
          <m:e>
            <m:r>
              <w:rPr>
                <w:rFonts w:ascii="Cambria Math" w:hAnsi="Cambria Math"/>
              </w:rPr>
              <m:t>v</m:t>
            </m:r>
          </m:e>
          <m:sub>
            <m:r>
              <w:rPr>
                <w:rFonts w:ascii="Cambria Math" w:hAnsi="Cambria Math"/>
              </w:rPr>
              <m:t>extra</m:t>
            </m:r>
          </m:sub>
        </m:sSub>
        <m:r>
          <w:rPr>
            <w:rFonts w:ascii="Cambria Math" w:hAnsi="Cambria Math"/>
          </w:rPr>
          <m:t>~6-11</m:t>
        </m:r>
      </m:oMath>
      <w:r>
        <w:t xml:space="preserve"> km/s</w:t>
      </w:r>
    </w:p>
    <w:p w14:paraId="0CB7F97F" w14:textId="2F58A499" w:rsidR="00E34C95" w:rsidRDefault="00000000">
      <w:pPr>
        <w:pStyle w:val="ListParagraph"/>
        <w:numPr>
          <w:ilvl w:val="0"/>
          <w:numId w:val="2"/>
        </w:numPr>
        <w:spacing w:line="320" w:lineRule="auto"/>
      </w:pPr>
      <w:r>
        <w:t xml:space="preserve">Typical late-type spirals (D631-7, UGCA442): </w:t>
      </w:r>
      <m:oMath>
        <m:sSub>
          <m:sSubPr>
            <m:ctrlPr>
              <w:rPr>
                <w:rFonts w:ascii="Cambria Math" w:hAnsi="Cambria Math"/>
                <w:i/>
              </w:rPr>
            </m:ctrlPr>
          </m:sSubPr>
          <m:e>
            <m:r>
              <w:rPr>
                <w:rFonts w:ascii="Cambria Math" w:hAnsi="Cambria Math"/>
              </w:rPr>
              <m:t>v</m:t>
            </m:r>
          </m:e>
          <m:sub>
            <m:r>
              <w:rPr>
                <w:rFonts w:ascii="Cambria Math" w:hAnsi="Cambria Math"/>
              </w:rPr>
              <m:t>extra</m:t>
            </m:r>
          </m:sub>
        </m:sSub>
        <m:r>
          <w:rPr>
            <w:rFonts w:ascii="Cambria Math" w:hAnsi="Cambria Math"/>
          </w:rPr>
          <m:t>~50-65km</m:t>
        </m:r>
        <m:r>
          <m:rPr>
            <m:lit/>
          </m:rPr>
          <w:rPr>
            <w:rFonts w:ascii="Cambria Math" w:hAnsi="Cambria Math"/>
          </w:rPr>
          <m:t>/</m:t>
        </m:r>
        <m:r>
          <w:rPr>
            <w:rFonts w:ascii="Cambria Math" w:hAnsi="Cambria Math"/>
          </w:rPr>
          <m:t>s</m:t>
        </m:r>
      </m:oMath>
    </w:p>
    <w:p w14:paraId="08EB344A" w14:textId="089861B5" w:rsidR="00E34C95" w:rsidRDefault="00000000">
      <w:pPr>
        <w:pStyle w:val="ListParagraph"/>
        <w:numPr>
          <w:ilvl w:val="0"/>
          <w:numId w:val="2"/>
        </w:numPr>
        <w:spacing w:line="320" w:lineRule="auto"/>
      </w:pPr>
      <w:r>
        <w:t xml:space="preserve">Massive early-type spirals (NGC7814, UGC06787): </w:t>
      </w:r>
      <m:oMath>
        <m:sSub>
          <m:sSubPr>
            <m:ctrlPr>
              <w:rPr>
                <w:rFonts w:ascii="Cambria Math" w:hAnsi="Cambria Math"/>
                <w:i/>
              </w:rPr>
            </m:ctrlPr>
          </m:sSubPr>
          <m:e>
            <m:r>
              <w:rPr>
                <w:rFonts w:ascii="Cambria Math" w:hAnsi="Cambria Math"/>
              </w:rPr>
              <m:t>v</m:t>
            </m:r>
          </m:e>
          <m:sub>
            <m:r>
              <w:rPr>
                <w:rFonts w:ascii="Cambria Math" w:hAnsi="Cambria Math"/>
              </w:rPr>
              <m:t>extra</m:t>
            </m:r>
          </m:sub>
        </m:sSub>
        <m:r>
          <w:rPr>
            <w:rFonts w:ascii="Cambria Math" w:hAnsi="Cambria Math"/>
          </w:rPr>
          <m:t>~165-215km</m:t>
        </m:r>
        <m:r>
          <m:rPr>
            <m:lit/>
          </m:rPr>
          <w:rPr>
            <w:rFonts w:ascii="Cambria Math" w:hAnsi="Cambria Math"/>
          </w:rPr>
          <m:t>/</m:t>
        </m:r>
        <m:r>
          <w:rPr>
            <w:rFonts w:ascii="Cambria Math" w:hAnsi="Cambria Math"/>
          </w:rPr>
          <m:t>s</m:t>
        </m:r>
      </m:oMath>
    </w:p>
    <w:p w14:paraId="4241A25F" w14:textId="77777777" w:rsidR="00E34C95" w:rsidRDefault="00000000">
      <w:pPr>
        <w:spacing w:before="60" w:after="100" w:line="340" w:lineRule="auto"/>
      </w:pPr>
      <w:r>
        <w:t>This scaling with galaxy mass and size is qualitatively consistent with the Baryonic Tully-Fisher relation, a hallmark of both MOND and dark-matter phenomenology. Within the intrinsic-mechanics framework, larger baryonic systems are expected to source a stronger boundary-layer response, in parallel with how a deeper gravitational potential sources stronger EFT corrections.</w:t>
      </w:r>
    </w:p>
    <w:p w14:paraId="6AFEE5C9" w14:textId="3BB32E31" w:rsidR="00E34C95" w:rsidRDefault="00000000">
      <w:pPr>
        <w:pStyle w:val="Heading1"/>
      </w:pPr>
      <w:r>
        <w:t xml:space="preserve">4.  Morphological Diversity &amp; Type-Dependent </w:t>
      </w:r>
      <w:r w:rsidR="00FD1FFA">
        <w:t>Behavior</w:t>
      </w:r>
    </w:p>
    <w:p w14:paraId="4FC2309A" w14:textId="77777777" w:rsidR="00E34C95" w:rsidRDefault="00E34C95">
      <w:pPr>
        <w:pBdr>
          <w:bottom w:val="single" w:sz="4" w:space="1" w:color="2B4F76"/>
        </w:pBdr>
      </w:pPr>
    </w:p>
    <w:p w14:paraId="67CF6307" w14:textId="77777777" w:rsidR="00E34C95" w:rsidRDefault="00E34C95">
      <w:pPr>
        <w:spacing w:line="60" w:lineRule="auto"/>
      </w:pPr>
    </w:p>
    <w:p w14:paraId="1A16F0A4" w14:textId="6D1F8C6F" w:rsidR="00E34C95" w:rsidRDefault="00FD1FFA">
      <w:pPr>
        <w:pStyle w:val="Heading2"/>
        <w:spacing w:before="300"/>
      </w:pPr>
      <w:r>
        <w:t>4.1 High</w:t>
      </w:r>
      <w:r w:rsidR="00000000">
        <w:t>-Surface-Brightness Massive Spirals</w:t>
      </w:r>
    </w:p>
    <w:p w14:paraId="7D1A8909" w14:textId="77777777" w:rsidR="00E34C95" w:rsidRDefault="00000000">
      <w:pPr>
        <w:spacing w:before="60" w:after="100" w:line="340" w:lineRule="auto"/>
      </w:pPr>
      <w:r>
        <w:t>The atlas includes many well-known high-surface-brightness (HSB) spirals with dense radial coverage and tight photometric constraints: NGC 2841, NGC 5055, NGC 7331, UGC06786, UGC06787, NGC 0891, NGC 5907, among others. These galaxies typically show:</w:t>
      </w:r>
    </w:p>
    <w:p w14:paraId="7E0806B7" w14:textId="77777777" w:rsidR="00E34C95" w:rsidRDefault="00000000">
      <w:pPr>
        <w:pStyle w:val="ListParagraph"/>
        <w:numPr>
          <w:ilvl w:val="0"/>
          <w:numId w:val="2"/>
        </w:numPr>
        <w:spacing w:line="320" w:lineRule="auto"/>
      </w:pPr>
      <w:r>
        <w:t>Compact dyed-fabric cores with high peak depth values (orange-to-white kernel in Panel 3)</w:t>
      </w:r>
    </w:p>
    <w:p w14:paraId="14F6A2C7" w14:textId="5ABE99C1" w:rsidR="00E34C95" w:rsidRDefault="00000000">
      <w:pPr>
        <w:pStyle w:val="ListParagraph"/>
        <w:numPr>
          <w:ilvl w:val="0"/>
          <w:numId w:val="2"/>
        </w:numPr>
        <w:spacing w:line="320" w:lineRule="auto"/>
      </w:pPr>
      <w:r>
        <w:t xml:space="preserve">Large separation between </w:t>
      </w:r>
      <m:oMath>
        <m:sSub>
          <m:sSubPr>
            <m:ctrlPr>
              <w:rPr>
                <w:rFonts w:ascii="Cambria Math" w:hAnsi="Cambria Math"/>
                <w:i/>
              </w:rPr>
            </m:ctrlPr>
          </m:sSubPr>
          <m:e>
            <m:r>
              <w:rPr>
                <w:rFonts w:ascii="Cambria Math" w:hAnsi="Cambria Math"/>
              </w:rPr>
              <m:t>Φ</m:t>
            </m:r>
          </m:e>
          <m:sub>
            <m:r>
              <w:rPr>
                <w:rFonts w:ascii="Cambria Math" w:hAnsi="Cambria Math"/>
              </w:rPr>
              <m:t>obs</m:t>
            </m:r>
          </m:sub>
        </m:sSub>
      </m:oMath>
      <w:r>
        <w:t xml:space="preserve"> and </w:t>
      </w:r>
      <m:oMath>
        <m:sSub>
          <m:sSubPr>
            <m:ctrlPr>
              <w:rPr>
                <w:rFonts w:ascii="Cambria Math" w:hAnsi="Cambria Math"/>
                <w:i/>
              </w:rPr>
            </m:ctrlPr>
          </m:sSubPr>
          <m:e>
            <m:r>
              <w:rPr>
                <w:rFonts w:ascii="Cambria Math" w:hAnsi="Cambria Math"/>
              </w:rPr>
              <m:t>Φ</m:t>
            </m:r>
          </m:e>
          <m:sub>
            <m:r>
              <w:rPr>
                <w:rFonts w:ascii="Cambria Math" w:hAnsi="Cambria Math"/>
              </w:rPr>
              <m:t>bar</m:t>
            </m:r>
          </m:sub>
        </m:sSub>
      </m:oMath>
      <w:r>
        <w:t xml:space="preserve"> in Panel 2, indicating a severe potential deficit beyond </w:t>
      </w:r>
      <m:oMath>
        <m:r>
          <w:rPr>
            <w:rFonts w:ascii="Cambria Math" w:hAnsi="Cambria Math"/>
          </w:rPr>
          <m:t>R ≈ 5-15 kpc</m:t>
        </m:r>
      </m:oMath>
    </w:p>
    <w:p w14:paraId="54CF6F5A" w14:textId="4348706D" w:rsidR="00E34C95" w:rsidRDefault="00000000">
      <w:pPr>
        <w:pStyle w:val="ListParagraph"/>
        <w:numPr>
          <w:ilvl w:val="0"/>
          <w:numId w:val="2"/>
        </w:numPr>
        <w:spacing w:line="320" w:lineRule="auto"/>
      </w:pPr>
      <w:r>
        <w:t xml:space="preserve">Model residuals (red curve, Panel 6) tracking </w:t>
      </w:r>
      <m:oMath>
        <m:sSub>
          <m:sSubPr>
            <m:ctrlPr>
              <w:rPr>
                <w:rFonts w:ascii="Cambria Math" w:hAnsi="Cambria Math"/>
                <w:i/>
              </w:rPr>
            </m:ctrlPr>
          </m:sSubPr>
          <m:e>
            <m:r>
              <w:rPr>
                <w:rFonts w:ascii="Cambria Math" w:hAnsi="Cambria Math"/>
              </w:rPr>
              <m:t>v</m:t>
            </m:r>
          </m:e>
          <m:sub>
            <m:r>
              <w:rPr>
                <w:rFonts w:ascii="Cambria Math" w:hAnsi="Cambria Math"/>
              </w:rPr>
              <m:t>obs</m:t>
            </m:r>
          </m:sub>
        </m:sSub>
      </m:oMath>
      <w:r>
        <w:t xml:space="preserve"> within </w:t>
      </w:r>
      <m:oMath>
        <m:r>
          <w:rPr>
            <w:rFonts w:ascii="Cambria Math" w:hAnsi="Cambria Math"/>
          </w:rPr>
          <m:t>±1-2σ</m:t>
        </m:r>
      </m:oMath>
      <w:r>
        <w:t xml:space="preserve"> across almost the full radial range</w:t>
      </w:r>
    </w:p>
    <w:p w14:paraId="34EFBF57" w14:textId="48D61CF5" w:rsidR="00E34C95" w:rsidRDefault="00000000">
      <w:pPr>
        <w:pStyle w:val="ListParagraph"/>
        <w:numPr>
          <w:ilvl w:val="0"/>
          <w:numId w:val="2"/>
        </w:numPr>
        <w:spacing w:line="320" w:lineRule="auto"/>
      </w:pPr>
      <w:r>
        <w:t xml:space="preserve">Transition radii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t xml:space="preserve"> at 5–12 kpc — consistent with the canonical inner-to-outer transition in HSB discs</w:t>
      </w:r>
    </w:p>
    <w:p w14:paraId="6C8C38CE" w14:textId="3BBCA4AE" w:rsidR="00E34C95" w:rsidRDefault="00FD1FFA">
      <w:pPr>
        <w:pStyle w:val="Heading2"/>
        <w:spacing w:before="300"/>
      </w:pPr>
      <w:r>
        <w:t>4.2 Low</w:t>
      </w:r>
      <w:r w:rsidR="00000000">
        <w:t>-Surface-Brightness and Ultra-Diffuse Systems</w:t>
      </w:r>
    </w:p>
    <w:p w14:paraId="5A6C2C9F" w14:textId="77777777" w:rsidR="00E34C95" w:rsidRDefault="00000000">
      <w:pPr>
        <w:spacing w:before="60" w:after="100" w:line="340" w:lineRule="auto"/>
      </w:pPr>
      <w:r>
        <w:t>The catalogue's inclusion of low-surface-brightness (LSB) galaxies — F-series (F563-1, F568-V1, F571-8, F583-1), NGC 3741, NGC 2915, DDO series — provides a stringent test of universality. LSB galaxies are dark-matter-dominated even at small radii and are therefore particularly diagnostic. Key observations:</w:t>
      </w:r>
    </w:p>
    <w:p w14:paraId="02F8BE49" w14:textId="31A0E5F2" w:rsidR="00E34C95" w:rsidRDefault="00000000">
      <w:pPr>
        <w:pStyle w:val="ListParagraph"/>
        <w:numPr>
          <w:ilvl w:val="0"/>
          <w:numId w:val="2"/>
        </w:numPr>
        <w:spacing w:line="320" w:lineRule="auto"/>
      </w:pPr>
      <w:r>
        <w:t>Transition radii are very small (</w:t>
      </w:r>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≈1-4kpc</m:t>
        </m:r>
      </m:oMath>
      <w:r>
        <w:t>), indicating a baryonic deficit that begins almost from the galaxy centre</w:t>
      </w:r>
    </w:p>
    <w:p w14:paraId="1BA8A6ED" w14:textId="71E3EBF4" w:rsidR="00E34C95" w:rsidRDefault="00000000">
      <w:pPr>
        <w:pStyle w:val="ListParagraph"/>
        <w:numPr>
          <w:ilvl w:val="0"/>
          <w:numId w:val="2"/>
        </w:numPr>
        <w:spacing w:line="320" w:lineRule="auto"/>
      </w:pPr>
      <w:r>
        <w:t xml:space="preserve">The baryonic potential </w:t>
      </w:r>
      <m:oMath>
        <m:sSub>
          <m:sSubPr>
            <m:ctrlPr>
              <w:rPr>
                <w:rFonts w:ascii="Cambria Math" w:hAnsi="Cambria Math"/>
                <w:i/>
              </w:rPr>
            </m:ctrlPr>
          </m:sSubPr>
          <m:e>
            <m:r>
              <w:rPr>
                <w:rFonts w:ascii="Cambria Math" w:hAnsi="Cambria Math"/>
              </w:rPr>
              <m:t>Φ</m:t>
            </m:r>
          </m:e>
          <m:sub>
            <m:r>
              <w:rPr>
                <w:rFonts w:ascii="Cambria Math" w:hAnsi="Cambria Math"/>
              </w:rPr>
              <m:t>bar</m:t>
            </m:r>
          </m:sub>
        </m:sSub>
      </m:oMath>
      <w:r>
        <w:t xml:space="preserve"> curves away sharply from </w:t>
      </w:r>
      <m:oMath>
        <m:sSub>
          <m:sSubPr>
            <m:ctrlPr>
              <w:rPr>
                <w:rFonts w:ascii="Cambria Math" w:hAnsi="Cambria Math"/>
                <w:i/>
              </w:rPr>
            </m:ctrlPr>
          </m:sSubPr>
          <m:e>
            <m:r>
              <w:rPr>
                <w:rFonts w:ascii="Cambria Math" w:hAnsi="Cambria Math"/>
              </w:rPr>
              <m:t>Φ</m:t>
            </m:r>
          </m:e>
          <m:sub>
            <m:r>
              <w:rPr>
                <w:rFonts w:ascii="Cambria Math" w:hAnsi="Cambria Math"/>
              </w:rPr>
              <m:t>obs</m:t>
            </m:r>
          </m:sub>
        </m:sSub>
      </m:oMath>
      <w:r>
        <w:t xml:space="preserve"> even in the inner disc, producing a wide departure in Panel 2</w:t>
      </w:r>
    </w:p>
    <w:p w14:paraId="3018929D" w14:textId="77777777" w:rsidR="00E34C95" w:rsidRDefault="00000000">
      <w:pPr>
        <w:pStyle w:val="ListParagraph"/>
        <w:numPr>
          <w:ilvl w:val="0"/>
          <w:numId w:val="2"/>
        </w:numPr>
        <w:spacing w:line="320" w:lineRule="auto"/>
      </w:pPr>
      <w:r>
        <w:t>Dyed-fabric panels show extended low-depth halos occupying much of the field, reflecting the shallow but broad effective potential</w:t>
      </w:r>
    </w:p>
    <w:p w14:paraId="39BD6A93" w14:textId="77777777" w:rsidR="00E34C95" w:rsidRDefault="00000000">
      <w:pPr>
        <w:pStyle w:val="ListParagraph"/>
        <w:numPr>
          <w:ilvl w:val="0"/>
          <w:numId w:val="2"/>
        </w:numPr>
        <w:spacing w:line="320" w:lineRule="auto"/>
      </w:pPr>
      <w:r>
        <w:t>Despite these challenging conditions, 17 of the 18 F-series galaxies achieve very-strong or strong classification</w:t>
      </w:r>
    </w:p>
    <w:p w14:paraId="32AE6591" w14:textId="56C08BC6" w:rsidR="00E34C95" w:rsidRDefault="00FD1FFA">
      <w:pPr>
        <w:pStyle w:val="Heading2"/>
        <w:spacing w:before="300"/>
      </w:pPr>
      <w:r>
        <w:t>4.3 Dwarf</w:t>
      </w:r>
      <w:r w:rsidR="00000000">
        <w:t xml:space="preserve"> and Irregular Galaxies</w:t>
      </w:r>
    </w:p>
    <w:p w14:paraId="677B2F2F" w14:textId="481F65EB" w:rsidR="00E34C95" w:rsidRDefault="00000000">
      <w:pPr>
        <w:spacing w:before="60" w:after="100" w:line="340" w:lineRule="auto"/>
      </w:pPr>
      <w:r>
        <w:t xml:space="preserve">Dwarf irregulars and dwarf spheroidals (DDO 154, DDO 161, DDO 168, DDO 170, IC 2574, NGC 3741, CamB, KK98-251, etc.) constitute the most observationally challenging subsample: sparse radial coverage, large fractional uncertainties, and often </w:t>
      </w:r>
      <m:oMath>
        <m:sSub>
          <m:sSubPr>
            <m:ctrlPr>
              <w:rPr>
                <w:rFonts w:ascii="Cambria Math" w:hAnsi="Cambria Math"/>
                <w:i/>
              </w:rPr>
            </m:ctrlPr>
          </m:sSubPr>
          <m:e>
            <m:r>
              <w:rPr>
                <w:rFonts w:ascii="Cambria Math" w:hAnsi="Cambria Math"/>
              </w:rPr>
              <m:t>V</m:t>
            </m:r>
          </m:e>
          <m:sub>
            <m:r>
              <w:rPr>
                <w:rFonts w:ascii="Cambria Math" w:hAnsi="Cambria Math"/>
              </w:rPr>
              <m:t>flat</m:t>
            </m:r>
          </m:sub>
        </m:sSub>
        <m:r>
          <w:rPr>
            <w:rFonts w:ascii="Cambria Math" w:hAnsi="Cambria Math"/>
          </w:rPr>
          <m:t>=0</m:t>
        </m:r>
      </m:oMath>
      <w:r>
        <w:t xml:space="preserve"> (the rotation curve has not converged to a plateau within the observed radial range). These systems push the model to its limits:</w:t>
      </w:r>
    </w:p>
    <w:p w14:paraId="7BCE1129" w14:textId="3136052E" w:rsidR="00E34C95" w:rsidRDefault="00000000">
      <w:pPr>
        <w:pStyle w:val="ListParagraph"/>
        <w:numPr>
          <w:ilvl w:val="0"/>
          <w:numId w:val="2"/>
        </w:numPr>
        <w:spacing w:line="320" w:lineRule="auto"/>
      </w:pPr>
      <w:r>
        <w:t xml:space="preserve">DDO 154: </w:t>
      </w:r>
      <m:oMath>
        <m:sSub>
          <m:sSubPr>
            <m:ctrlPr>
              <w:rPr>
                <w:rFonts w:ascii="Cambria Math" w:hAnsi="Cambria Math"/>
                <w:i/>
              </w:rPr>
            </m:ctrlPr>
          </m:sSubPr>
          <m:e>
            <m:r>
              <w:rPr>
                <w:rFonts w:ascii="Cambria Math" w:hAnsi="Cambria Math"/>
              </w:rPr>
              <m:t>Q</m:t>
            </m:r>
          </m:e>
          <m:sub>
            <m:r>
              <w:rPr>
                <w:rFonts w:ascii="Cambria Math" w:hAnsi="Cambria Math"/>
              </w:rPr>
              <m:t>flag</m:t>
            </m:r>
          </m:sub>
        </m:sSub>
        <m:r>
          <w:rPr>
            <w:rFonts w:ascii="Cambria Math" w:hAnsi="Cambria Math"/>
          </w:rPr>
          <m:t>=1</m:t>
        </m:r>
      </m:oMath>
      <w:r>
        <w:t xml:space="preserve"> (highest quality), very-strong fit — a benchmark dwarf</w:t>
      </w:r>
    </w:p>
    <w:p w14:paraId="2B755219" w14:textId="699432EB" w:rsidR="00E34C95" w:rsidRDefault="00000000">
      <w:pPr>
        <w:pStyle w:val="ListParagraph"/>
        <w:numPr>
          <w:ilvl w:val="0"/>
          <w:numId w:val="2"/>
        </w:numPr>
        <w:spacing w:line="320" w:lineRule="auto"/>
      </w:pPr>
      <w:r>
        <w:t xml:space="preserve">IC 2574: </w:t>
      </w:r>
      <m:oMath>
        <m:r>
          <w:rPr>
            <w:rFonts w:ascii="Cambria Math" w:hAnsi="Cambria Math"/>
          </w:rPr>
          <m:t>n = 24</m:t>
        </m:r>
      </m:oMath>
      <w:r>
        <w:t>, very-strong classification despite a rising-velocity profile suggesting a complex inner structure</w:t>
      </w:r>
    </w:p>
    <w:p w14:paraId="4EDB5AD4" w14:textId="4FC4AB6B" w:rsidR="00E34C95" w:rsidRDefault="00000000">
      <w:pPr>
        <w:pStyle w:val="ListParagraph"/>
        <w:numPr>
          <w:ilvl w:val="0"/>
          <w:numId w:val="2"/>
        </w:numPr>
        <w:spacing w:line="320" w:lineRule="auto"/>
      </w:pPr>
      <w:r>
        <w:t>CamB: only 9 data points yet achieves strong class (</w:t>
      </w:r>
      <m:oMath>
        <m:r>
          <w:rPr>
            <w:rFonts w:ascii="Cambria Math" w:hAnsi="Cambria Math"/>
          </w:rPr>
          <m:t>Z ≈ 3.7</m:t>
        </m:r>
      </m:oMath>
      <w:r>
        <w:t>) — remarkable given the sparse sampling</w:t>
      </w:r>
    </w:p>
    <w:p w14:paraId="5038575F" w14:textId="1B06D6AC" w:rsidR="00E34C95" w:rsidRDefault="00000000">
      <w:pPr>
        <w:pStyle w:val="ListParagraph"/>
        <w:numPr>
          <w:ilvl w:val="0"/>
          <w:numId w:val="2"/>
        </w:numPr>
        <w:spacing w:line="320" w:lineRule="auto"/>
      </w:pPr>
      <w:r>
        <w:t xml:space="preserve">The weakest cases (weak/no-improvement) tend to be ultra-faint dwarfs with fewer than 6 data points and </w:t>
      </w:r>
      <w:r w:rsidR="00FD1FFA">
        <w:t>v_{extra}</w:t>
      </w:r>
      <w:r>
        <w:t xml:space="preserve"> &lt; 10 km/s</w:t>
      </w:r>
    </w:p>
    <w:p w14:paraId="1C7CC7FB" w14:textId="7646DF99" w:rsidR="00E34C95" w:rsidRDefault="00365735">
      <w:pPr>
        <w:pStyle w:val="Heading2"/>
        <w:spacing w:before="300"/>
      </w:pPr>
      <w:r>
        <w:t>4.4 Bulge-less</w:t>
      </w:r>
      <w:r w:rsidR="00000000">
        <w:t xml:space="preserve"> vs. Bulge-Dominated Systems</w:t>
      </w:r>
    </w:p>
    <w:p w14:paraId="7A10B44F" w14:textId="4CB9652D" w:rsidR="00E34C95" w:rsidRDefault="00000000">
      <w:pPr>
        <w:spacing w:before="60" w:after="100" w:line="340" w:lineRule="auto"/>
      </w:pPr>
      <w:r>
        <w:t xml:space="preserve">The baryonic composition metrics tracked in the runner — bulge fraction </w:t>
      </w:r>
      <m:oMath>
        <m:r>
          <w:rPr>
            <w:rFonts w:ascii="Cambria Math" w:hAnsi="Cambria Math"/>
          </w:rPr>
          <m:t>fra</m:t>
        </m:r>
        <m:sSub>
          <m:sSubPr>
            <m:ctrlPr>
              <w:rPr>
                <w:rFonts w:ascii="Cambria Math" w:hAnsi="Cambria Math"/>
                <w:i/>
              </w:rPr>
            </m:ctrlPr>
          </m:sSubPr>
          <m:e>
            <m:r>
              <w:rPr>
                <w:rFonts w:ascii="Cambria Math" w:hAnsi="Cambria Math"/>
              </w:rPr>
              <m:t>c</m:t>
            </m:r>
          </m:e>
          <m:sub>
            <m:r>
              <w:rPr>
                <w:rFonts w:ascii="Cambria Math" w:hAnsi="Cambria Math"/>
              </w:rPr>
              <m:t>bu</m:t>
            </m:r>
            <m:sSub>
              <m:sSubPr>
                <m:ctrlPr>
                  <w:rPr>
                    <w:rFonts w:ascii="Cambria Math" w:hAnsi="Cambria Math"/>
                    <w:i/>
                  </w:rPr>
                </m:ctrlPr>
              </m:sSubPr>
              <m:e>
                <m:r>
                  <w:rPr>
                    <w:rFonts w:ascii="Cambria Math" w:hAnsi="Cambria Math"/>
                  </w:rPr>
                  <m:t>l</m:t>
                </m:r>
              </m:e>
              <m:sub>
                <m:r>
                  <w:rPr>
                    <w:rFonts w:ascii="Cambria Math" w:hAnsi="Cambria Math"/>
                  </w:rPr>
                  <m:t>peak</m:t>
                </m:r>
              </m:sub>
            </m:sSub>
          </m:sub>
        </m:sSub>
      </m:oMath>
      <w:r>
        <w:t xml:space="preserve">, gas fractions at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t>, inner logarithmic slope — provide composition-sensitive diagnostics. Bulgeless late-type spirals (</w:t>
      </w:r>
      <m:oMath>
        <m:r>
          <w:rPr>
            <w:rFonts w:ascii="Cambria Math" w:hAnsi="Cambria Math"/>
          </w:rPr>
          <m:t>T ≥ 7</m:t>
        </m:r>
      </m:oMath>
      <w:r>
        <w:t xml:space="preserve">) and gas-dominated dwarfs tend to show earlier transition radii (lower </w:t>
      </w:r>
      <m:oMath>
        <m:sSub>
          <m:sSubPr>
            <m:ctrlPr>
              <w:rPr>
                <w:rFonts w:ascii="Cambria Math" w:hAnsi="Cambria Math"/>
                <w:i/>
              </w:rPr>
            </m:ctrlPr>
          </m:sSubPr>
          <m:e>
            <m:r>
              <w:rPr>
                <w:rFonts w:ascii="Cambria Math" w:hAnsi="Cambria Math"/>
              </w:rPr>
              <m:t>R</m:t>
            </m:r>
          </m:e>
          <m:sub>
            <m:r>
              <w:rPr>
                <w:rFonts w:ascii="Cambria Math" w:hAnsi="Cambria Math"/>
              </w:rPr>
              <m:t>t</m:t>
            </m:r>
          </m:sub>
        </m:sSub>
        <m:r>
          <m:rPr>
            <m:lit/>
          </m:rP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disk</m:t>
            </m:r>
          </m:sub>
        </m:sSub>
      </m:oMath>
      <w:r>
        <w:t xml:space="preserve"> ratio), while bulge-dominated early-type systems (</w:t>
      </w:r>
      <m:oMath>
        <m:r>
          <w:rPr>
            <w:rFonts w:ascii="Cambria Math" w:hAnsi="Cambria Math"/>
          </w:rPr>
          <m:t>T ≤ 2</m:t>
        </m:r>
      </m:oMath>
      <w:r>
        <w:t xml:space="preserve">) such as NGC 7814 and NGC 0891 show very large absolute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t xml:space="preserve"> (up to </w:t>
      </w:r>
      <m:oMath>
        <m:r>
          <w:rPr>
            <w:rFonts w:ascii="Cambria Math" w:hAnsi="Cambria Math"/>
          </w:rPr>
          <m:t>~12 kpc</m:t>
        </m:r>
      </m:oMath>
      <w:r>
        <w:t>) — reflecting the greater radial extent of their baryonic mass concentration. Both morphological extremes achieve very-strong improvement, suggesting the edge-response mechanism is morphologically universal.</w:t>
      </w:r>
    </w:p>
    <w:p w14:paraId="6DE22984" w14:textId="77777777" w:rsidR="00E34C95" w:rsidRDefault="00000000">
      <w:pPr>
        <w:pStyle w:val="Heading1"/>
      </w:pPr>
      <w:r>
        <w:t>5.  Panel-by-Panel Visual Impressions Across the Atlas</w:t>
      </w:r>
    </w:p>
    <w:p w14:paraId="185F9FAC" w14:textId="77777777" w:rsidR="00E34C95" w:rsidRDefault="00E34C95">
      <w:pPr>
        <w:pBdr>
          <w:bottom w:val="single" w:sz="4" w:space="1" w:color="2B4F76"/>
        </w:pBdr>
      </w:pPr>
    </w:p>
    <w:p w14:paraId="277D408F" w14:textId="77777777" w:rsidR="00E34C95" w:rsidRDefault="00E34C95">
      <w:pPr>
        <w:spacing w:line="60" w:lineRule="auto"/>
      </w:pPr>
    </w:p>
    <w:p w14:paraId="0B2274D6" w14:textId="44B62DF3" w:rsidR="00E34C95" w:rsidRDefault="00FD1FFA">
      <w:pPr>
        <w:pStyle w:val="Heading2"/>
        <w:spacing w:before="300"/>
      </w:pPr>
      <w:r>
        <w:t>5.1 Rotation</w:t>
      </w:r>
      <w:r w:rsidR="00000000">
        <w:t xml:space="preserve"> Curve Panel (Panel 1)</w:t>
      </w:r>
    </w:p>
    <w:p w14:paraId="43E8E2C6" w14:textId="08C27321" w:rsidR="00E34C95" w:rsidRDefault="00000000">
      <w:pPr>
        <w:spacing w:before="60" w:after="100" w:line="340" w:lineRule="auto"/>
      </w:pPr>
      <w:r>
        <w:t xml:space="preserve">Across the full atlas, Panel 1 consistently exhibits the canonical dark-matter signature: the black </w:t>
      </w:r>
      <m:oMath>
        <m:sSub>
          <m:sSubPr>
            <m:ctrlPr>
              <w:rPr>
                <w:rFonts w:ascii="Cambria Math" w:hAnsi="Cambria Math"/>
                <w:i/>
              </w:rPr>
            </m:ctrlPr>
          </m:sSubPr>
          <m:e>
            <m:r>
              <w:rPr>
                <w:rFonts w:ascii="Cambria Math" w:hAnsi="Cambria Math"/>
              </w:rPr>
              <m:t>v</m:t>
            </m:r>
          </m:e>
          <m:sub>
            <m:r>
              <w:rPr>
                <w:rFonts w:ascii="Cambria Math" w:hAnsi="Cambria Math"/>
              </w:rPr>
              <m:t>obs</m:t>
            </m:r>
          </m:sub>
        </m:sSub>
      </m:oMath>
      <w:r>
        <w:t xml:space="preserve"> curve lies systematically above the blue </w:t>
      </w:r>
      <m:oMath>
        <m:sSub>
          <m:sSubPr>
            <m:ctrlPr>
              <w:rPr>
                <w:rFonts w:ascii="Cambria Math" w:hAnsi="Cambria Math"/>
                <w:i/>
              </w:rPr>
            </m:ctrlPr>
          </m:sSubPr>
          <m:e>
            <m:r>
              <w:rPr>
                <w:rFonts w:ascii="Cambria Math" w:hAnsi="Cambria Math"/>
              </w:rPr>
              <m:t>v</m:t>
            </m:r>
          </m:e>
          <m:sub>
            <m:r>
              <w:rPr>
                <w:rFonts w:ascii="Cambria Math" w:hAnsi="Cambria Math"/>
              </w:rPr>
              <m:t>bar</m:t>
            </m:r>
          </m:sub>
        </m:sSub>
      </m:oMath>
      <w:r>
        <w:t xml:space="preserve"> curve at intermediate and outer radii, with the gap widening monotonically in many systems. The red </w:t>
      </w:r>
      <m:oMath>
        <m:sSub>
          <m:sSubPr>
            <m:ctrlPr>
              <w:rPr>
                <w:rFonts w:ascii="Cambria Math" w:hAnsi="Cambria Math"/>
                <w:i/>
              </w:rPr>
            </m:ctrlPr>
          </m:sSubPr>
          <m:e>
            <m:r>
              <w:rPr>
                <w:rFonts w:ascii="Cambria Math" w:hAnsi="Cambria Math"/>
              </w:rPr>
              <m:t>v</m:t>
            </m:r>
          </m:e>
          <m:sub>
            <m:r>
              <w:rPr>
                <w:rFonts w:ascii="Cambria Math" w:hAnsi="Cambria Math"/>
              </w:rPr>
              <m:t>model</m:t>
            </m:r>
          </m:sub>
        </m:sSub>
      </m:oMath>
      <w:r>
        <w:t xml:space="preserve"> curve, fitted with a single </w:t>
      </w:r>
      <m:oMath>
        <m:r>
          <w:rPr>
            <w:rFonts w:ascii="Cambria Math" w:hAnsi="Cambria Math"/>
          </w:rPr>
          <m:t>Q</m:t>
        </m:r>
      </m:oMath>
      <w:r>
        <w:t xml:space="preserve">, typically tracks </w:t>
      </w:r>
      <m:oMath>
        <m:sSub>
          <m:sSubPr>
            <m:ctrlPr>
              <w:rPr>
                <w:rFonts w:ascii="Cambria Math" w:hAnsi="Cambria Math"/>
                <w:i/>
              </w:rPr>
            </m:ctrlPr>
          </m:sSubPr>
          <m:e>
            <m:r>
              <w:rPr>
                <w:rFonts w:ascii="Cambria Math" w:hAnsi="Cambria Math"/>
              </w:rPr>
              <m:t>v</m:t>
            </m:r>
          </m:e>
          <m:sub>
            <m:r>
              <w:rPr>
                <w:rFonts w:ascii="Cambria Math" w:hAnsi="Cambria Math"/>
              </w:rPr>
              <m:t>obs</m:t>
            </m:r>
          </m:sub>
        </m:sSub>
      </m:oMath>
      <w:r>
        <w:t xml:space="preserve"> within the grey </w:t>
      </w:r>
      <m:oMath>
        <m:r>
          <w:rPr>
            <w:rFonts w:ascii="Cambria Math" w:hAnsi="Cambria Math"/>
          </w:rPr>
          <m:t>±1σ</m:t>
        </m:r>
      </m:oMath>
      <w:r>
        <w:t xml:space="preserve"> band. Three broad visual archetypes recur:</w:t>
      </w:r>
    </w:p>
    <w:p w14:paraId="5850A623" w14:textId="6A833803" w:rsidR="00E34C95" w:rsidRDefault="00000000">
      <w:pPr>
        <w:pStyle w:val="ListParagraph"/>
        <w:numPr>
          <w:ilvl w:val="0"/>
          <w:numId w:val="2"/>
        </w:numPr>
        <w:spacing w:line="320" w:lineRule="auto"/>
      </w:pPr>
      <w:r>
        <w:t xml:space="preserve">Monotonically rising outer curves (LSBs): </w:t>
      </w:r>
      <m:oMath>
        <m:sSub>
          <m:sSubPr>
            <m:ctrlPr>
              <w:rPr>
                <w:rFonts w:ascii="Cambria Math" w:hAnsi="Cambria Math"/>
                <w:i/>
              </w:rPr>
            </m:ctrlPr>
          </m:sSubPr>
          <m:e>
            <m:r>
              <w:rPr>
                <w:rFonts w:ascii="Cambria Math" w:hAnsi="Cambria Math"/>
              </w:rPr>
              <m:t>v</m:t>
            </m:r>
          </m:e>
          <m:sub>
            <m:r>
              <w:rPr>
                <w:rFonts w:ascii="Cambria Math" w:hAnsi="Cambria Math"/>
              </w:rPr>
              <m:t>bar</m:t>
            </m:r>
          </m:sub>
        </m:sSub>
      </m:oMath>
      <w:r>
        <w:t xml:space="preserve"> falls while </w:t>
      </w:r>
      <m:oMath>
        <m:sSub>
          <m:sSubPr>
            <m:ctrlPr>
              <w:rPr>
                <w:rFonts w:ascii="Cambria Math" w:hAnsi="Cambria Math"/>
                <w:i/>
              </w:rPr>
            </m:ctrlPr>
          </m:sSubPr>
          <m:e>
            <m:r>
              <w:rPr>
                <w:rFonts w:ascii="Cambria Math" w:hAnsi="Cambria Math"/>
              </w:rPr>
              <m:t>v</m:t>
            </m:r>
          </m:e>
          <m:sub>
            <m:r>
              <w:rPr>
                <w:rFonts w:ascii="Cambria Math" w:hAnsi="Cambria Math"/>
              </w:rPr>
              <m:t>obs</m:t>
            </m:r>
          </m:sub>
        </m:sSub>
      </m:oMath>
      <w:r>
        <w:t xml:space="preserve"> plateaus or rises — largest absolute baryonic deficit</w:t>
      </w:r>
    </w:p>
    <w:p w14:paraId="29026F3F" w14:textId="515D6302" w:rsidR="00E34C95" w:rsidRDefault="00000000">
      <w:pPr>
        <w:pStyle w:val="ListParagraph"/>
        <w:numPr>
          <w:ilvl w:val="0"/>
          <w:numId w:val="2"/>
        </w:numPr>
        <w:spacing w:line="320" w:lineRule="auto"/>
      </w:pPr>
      <w:r>
        <w:t xml:space="preserve">Classic flat-rotation spirals (most NGC galaxies): </w:t>
      </w:r>
      <m:oMath>
        <m:sSub>
          <m:sSubPr>
            <m:ctrlPr>
              <w:rPr>
                <w:rFonts w:ascii="Cambria Math" w:hAnsi="Cambria Math"/>
                <w:i/>
              </w:rPr>
            </m:ctrlPr>
          </m:sSubPr>
          <m:e>
            <m:r>
              <w:rPr>
                <w:rFonts w:ascii="Cambria Math" w:hAnsi="Cambria Math"/>
              </w:rPr>
              <m:t>v</m:t>
            </m:r>
          </m:e>
          <m:sub>
            <m:r>
              <w:rPr>
                <w:rFonts w:ascii="Cambria Math" w:hAnsi="Cambria Math"/>
              </w:rPr>
              <m:t>obs</m:t>
            </m:r>
          </m:sub>
        </m:sSub>
      </m:oMath>
      <w:r>
        <w:t xml:space="preserve"> plateau is well above </w:t>
      </w:r>
      <m:oMath>
        <m:sSub>
          <m:sSubPr>
            <m:ctrlPr>
              <w:rPr>
                <w:rFonts w:ascii="Cambria Math" w:hAnsi="Cambria Math"/>
                <w:i/>
              </w:rPr>
            </m:ctrlPr>
          </m:sSubPr>
          <m:e>
            <m:r>
              <w:rPr>
                <w:rFonts w:ascii="Cambria Math" w:hAnsi="Cambria Math"/>
              </w:rPr>
              <m:t>v</m:t>
            </m:r>
          </m:e>
          <m:sub>
            <m:r>
              <w:rPr>
                <w:rFonts w:ascii="Cambria Math" w:hAnsi="Cambria Math"/>
              </w:rPr>
              <m:t>bar</m:t>
            </m:r>
          </m:sub>
        </m:sSub>
      </m:oMath>
      <w:r>
        <w:t xml:space="preserve"> plateau; </w:t>
      </w:r>
      <m:oMath>
        <m:sSub>
          <m:sSubPr>
            <m:ctrlPr>
              <w:rPr>
                <w:rFonts w:ascii="Cambria Math" w:hAnsi="Cambria Math"/>
                <w:i/>
              </w:rPr>
            </m:ctrlPr>
          </m:sSubPr>
          <m:e>
            <m:r>
              <w:rPr>
                <w:rFonts w:ascii="Cambria Math" w:hAnsi="Cambria Math"/>
              </w:rPr>
              <m:t>v</m:t>
            </m:r>
          </m:e>
          <m:sub>
            <m:r>
              <w:rPr>
                <w:rFonts w:ascii="Cambria Math" w:hAnsi="Cambria Math"/>
              </w:rPr>
              <m:t>model</m:t>
            </m:r>
          </m:sub>
        </m:sSub>
      </m:oMath>
      <w:r>
        <w:t xml:space="preserve"> matches across </w:t>
      </w:r>
      <m:oMath>
        <m:r>
          <w:rPr>
            <w:rFonts w:ascii="Cambria Math" w:hAnsi="Cambria Math"/>
          </w:rPr>
          <m:t>10-50+ kpc</m:t>
        </m:r>
      </m:oMath>
    </w:p>
    <w:p w14:paraId="5D729841" w14:textId="0D53DD61" w:rsidR="00E34C95" w:rsidRDefault="00000000">
      <w:pPr>
        <w:pStyle w:val="ListParagraph"/>
        <w:numPr>
          <w:ilvl w:val="0"/>
          <w:numId w:val="2"/>
        </w:numPr>
        <w:spacing w:line="320" w:lineRule="auto"/>
      </w:pPr>
      <w:r>
        <w:t xml:space="preserve">Peaked inner profiles (bulge-dominated): a prominent inner peak in both </w:t>
      </w:r>
      <m:oMath>
        <m:sSub>
          <m:sSubPr>
            <m:ctrlPr>
              <w:rPr>
                <w:rFonts w:ascii="Cambria Math" w:hAnsi="Cambria Math"/>
                <w:i/>
              </w:rPr>
            </m:ctrlPr>
          </m:sSubPr>
          <m:e>
            <m:r>
              <w:rPr>
                <w:rFonts w:ascii="Cambria Math" w:hAnsi="Cambria Math"/>
              </w:rPr>
              <m:t>v</m:t>
            </m:r>
          </m:e>
          <m:sub>
            <m:r>
              <w:rPr>
                <w:rFonts w:ascii="Cambria Math" w:hAnsi="Cambria Math"/>
              </w:rPr>
              <m:t>obs</m:t>
            </m:r>
          </m:sub>
        </m:sSub>
      </m:oMath>
      <w:r>
        <w:t xml:space="preserve"> and </w:t>
      </w:r>
      <m:oMath>
        <m:sSub>
          <m:sSubPr>
            <m:ctrlPr>
              <w:rPr>
                <w:rFonts w:ascii="Cambria Math" w:hAnsi="Cambria Math"/>
                <w:i/>
              </w:rPr>
            </m:ctrlPr>
          </m:sSubPr>
          <m:e>
            <m:r>
              <w:rPr>
                <w:rFonts w:ascii="Cambria Math" w:hAnsi="Cambria Math"/>
              </w:rPr>
              <m:t>v</m:t>
            </m:r>
          </m:e>
          <m:sub>
            <m:r>
              <w:rPr>
                <w:rFonts w:ascii="Cambria Math" w:hAnsi="Cambria Math"/>
              </w:rPr>
              <m:t>bar</m:t>
            </m:r>
          </m:sub>
        </m:sSub>
      </m:oMath>
      <w:r>
        <w:t>, with the model capturing the post-peak decline</w:t>
      </w:r>
    </w:p>
    <w:p w14:paraId="1047E3B0" w14:textId="1793901E" w:rsidR="00E34C95" w:rsidRDefault="00000000">
      <w:pPr>
        <w:spacing w:before="60" w:after="100" w:line="340" w:lineRule="auto"/>
      </w:pPr>
      <w:r>
        <w:t xml:space="preserve">Notable cases where the model shows residual excess at small </w:t>
      </w:r>
      <m:oMath>
        <m:r>
          <w:rPr>
            <w:rFonts w:ascii="Cambria Math" w:hAnsi="Cambria Math"/>
          </w:rPr>
          <m:t>R</m:t>
        </m:r>
      </m:oMath>
      <w:r>
        <w:t xml:space="preserve"> (high inner chi-squared remaining) — e.g. NGC 3953, UGC09133 — reflect genuine limitations of the </w:t>
      </w:r>
      <m:oMath>
        <m:r>
          <w:rPr>
            <w:rFonts w:ascii="Cambria Math" w:hAnsi="Cambria Math"/>
          </w:rPr>
          <m:t>1</m:t>
        </m:r>
        <m:r>
          <m:rPr>
            <m:lit/>
          </m:rPr>
          <w:rPr>
            <w:rFonts w:ascii="Cambria Math" w:hAnsi="Cambria Math"/>
          </w:rPr>
          <m:t>/</m:t>
        </m:r>
        <m:r>
          <w:rPr>
            <w:rFonts w:ascii="Cambria Math" w:hAnsi="Cambria Math"/>
          </w:rPr>
          <m:t>R</m:t>
        </m:r>
      </m:oMath>
      <w:r>
        <w:t xml:space="preserve">-tail </w:t>
      </w:r>
      <w:r w:rsidR="00365735">
        <w:t>parametrization</w:t>
      </w:r>
      <w:r>
        <w:t xml:space="preserve"> in capturing inner structural complexity. These exceptions are scientifically informative: they suggest that a richer model (e.g., a two-component closure) may be needed for systems with highly concentrated bulges.</w:t>
      </w:r>
    </w:p>
    <w:p w14:paraId="30F683E5" w14:textId="643154AE" w:rsidR="00E34C95" w:rsidRDefault="00365735">
      <w:pPr>
        <w:pStyle w:val="Heading2"/>
        <w:spacing w:before="300"/>
      </w:pPr>
      <w:r>
        <w:t>5.2 Effective</w:t>
      </w:r>
      <w:r w:rsidR="00000000">
        <w:t xml:space="preserve"> Potential Panel (Panel 2)</w:t>
      </w:r>
    </w:p>
    <w:p w14:paraId="7C2EC16D" w14:textId="2F7C9E78" w:rsidR="00E34C95" w:rsidRDefault="00000000">
      <w:pPr>
        <w:spacing w:before="60" w:after="100" w:line="340" w:lineRule="auto"/>
      </w:pPr>
      <w:r>
        <w:t xml:space="preserve">Panel 2 is perhaps the most theoretically eloquent in the atlas. The divergence between </w:t>
      </w:r>
      <m:oMath>
        <m:sSub>
          <m:sSubPr>
            <m:ctrlPr>
              <w:rPr>
                <w:rFonts w:ascii="Cambria Math" w:hAnsi="Cambria Math"/>
                <w:i/>
              </w:rPr>
            </m:ctrlPr>
          </m:sSubPr>
          <m:e>
            <m:r>
              <w:rPr>
                <w:rFonts w:ascii="Cambria Math" w:hAnsi="Cambria Math"/>
              </w:rPr>
              <m:t>Φ</m:t>
            </m:r>
          </m:e>
          <m:sub>
            <m:r>
              <w:rPr>
                <w:rFonts w:ascii="Cambria Math" w:hAnsi="Cambria Math"/>
              </w:rPr>
              <m:t>obs</m:t>
            </m:r>
          </m:sub>
        </m:sSub>
      </m:oMath>
      <w:r>
        <w:t xml:space="preserve"> and </w:t>
      </w:r>
      <m:oMath>
        <m:sSub>
          <m:sSubPr>
            <m:ctrlPr>
              <w:rPr>
                <w:rFonts w:ascii="Cambria Math" w:hAnsi="Cambria Math"/>
                <w:i/>
              </w:rPr>
            </m:ctrlPr>
          </m:sSubPr>
          <m:e>
            <m:r>
              <w:rPr>
                <w:rFonts w:ascii="Cambria Math" w:hAnsi="Cambria Math"/>
              </w:rPr>
              <m:t>Φ</m:t>
            </m:r>
          </m:e>
          <m:sub>
            <m:r>
              <w:rPr>
                <w:rFonts w:ascii="Cambria Math" w:hAnsi="Cambria Math"/>
              </w:rPr>
              <m:t>bar</m:t>
            </m:r>
          </m:sub>
        </m:sSub>
      </m:oMath>
      <w:r>
        <w:t xml:space="preserve"> is immediately legible as a 'potential deficit' — the missing curvature that must be supplied by either dark matter or intrinsic metric response. Key visual signatures:</w:t>
      </w:r>
    </w:p>
    <w:p w14:paraId="28BF7F9D" w14:textId="0ABAF39C" w:rsidR="00E34C95" w:rsidRDefault="00000000">
      <w:pPr>
        <w:pStyle w:val="ListParagraph"/>
        <w:numPr>
          <w:ilvl w:val="0"/>
          <w:numId w:val="2"/>
        </w:numPr>
        <w:spacing w:line="320" w:lineRule="auto"/>
      </w:pPr>
      <w:r>
        <w:t xml:space="preserve">Steep </w:t>
      </w:r>
      <m:oMath>
        <m:sSub>
          <m:sSubPr>
            <m:ctrlPr>
              <w:rPr>
                <w:rFonts w:ascii="Cambria Math" w:hAnsi="Cambria Math"/>
                <w:i/>
              </w:rPr>
            </m:ctrlPr>
          </m:sSubPr>
          <m:e>
            <m:r>
              <w:rPr>
                <w:rFonts w:ascii="Cambria Math" w:hAnsi="Cambria Math"/>
              </w:rPr>
              <m:t>Φ</m:t>
            </m:r>
          </m:e>
          <m:sub>
            <m:r>
              <w:rPr>
                <w:rFonts w:ascii="Cambria Math" w:hAnsi="Cambria Math"/>
              </w:rPr>
              <m:t>obs</m:t>
            </m:r>
          </m:sub>
        </m:sSub>
      </m:oMath>
      <w:r>
        <w:t xml:space="preserve"> curves with slowly growing </w:t>
      </w:r>
      <m:oMath>
        <m:sSub>
          <m:sSubPr>
            <m:ctrlPr>
              <w:rPr>
                <w:rFonts w:ascii="Cambria Math" w:hAnsi="Cambria Math"/>
                <w:i/>
              </w:rPr>
            </m:ctrlPr>
          </m:sSubPr>
          <m:e>
            <m:r>
              <w:rPr>
                <w:rFonts w:ascii="Cambria Math" w:hAnsi="Cambria Math"/>
              </w:rPr>
              <m:t>Φ</m:t>
            </m:r>
          </m:e>
          <m:sub>
            <m:r>
              <w:rPr>
                <w:rFonts w:ascii="Cambria Math" w:hAnsi="Cambria Math"/>
              </w:rPr>
              <m:t>bar</m:t>
            </m:r>
          </m:sub>
        </m:sSub>
      </m:oMath>
      <w:r>
        <w:t xml:space="preserve"> indicate a dominant extra-acceleration regime across most of the disc</w:t>
      </w:r>
    </w:p>
    <w:p w14:paraId="558F7E2E" w14:textId="0868E376" w:rsidR="00E34C95" w:rsidRDefault="00000000">
      <w:pPr>
        <w:pStyle w:val="ListParagraph"/>
        <w:numPr>
          <w:ilvl w:val="0"/>
          <w:numId w:val="2"/>
        </w:numPr>
        <w:spacing w:line="320" w:lineRule="auto"/>
      </w:pPr>
      <w:r>
        <w:t xml:space="preserve">The marked transition radius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t xml:space="preserve"> typically aligns with the kink or inflection where </w:t>
      </w:r>
      <m:oMath>
        <m:sSub>
          <m:sSubPr>
            <m:ctrlPr>
              <w:rPr>
                <w:rFonts w:ascii="Cambria Math" w:hAnsi="Cambria Math"/>
                <w:i/>
              </w:rPr>
            </m:ctrlPr>
          </m:sSubPr>
          <m:e>
            <m:r>
              <w:rPr>
                <w:rFonts w:ascii="Cambria Math" w:hAnsi="Cambria Math"/>
              </w:rPr>
              <m:t>Φ</m:t>
            </m:r>
          </m:e>
          <m:sub>
            <m:r>
              <w:rPr>
                <w:rFonts w:ascii="Cambria Math" w:hAnsi="Cambria Math"/>
              </w:rPr>
              <m:t>obs</m:t>
            </m:r>
          </m:sub>
        </m:sSub>
      </m:oMath>
      <w:r>
        <w:t xml:space="preserve"> begins to outpace </w:t>
      </w:r>
      <m:oMath>
        <m:sSub>
          <m:sSubPr>
            <m:ctrlPr>
              <w:rPr>
                <w:rFonts w:ascii="Cambria Math" w:hAnsi="Cambria Math"/>
                <w:i/>
              </w:rPr>
            </m:ctrlPr>
          </m:sSubPr>
          <m:e>
            <m:r>
              <w:rPr>
                <w:rFonts w:ascii="Cambria Math" w:hAnsi="Cambria Math"/>
              </w:rPr>
              <m:t>Φ</m:t>
            </m:r>
          </m:e>
          <m:sub>
            <m:r>
              <w:rPr>
                <w:rFonts w:ascii="Cambria Math" w:hAnsi="Cambria Math"/>
              </w:rPr>
              <m:t>bar</m:t>
            </m:r>
          </m:sub>
        </m:sSub>
      </m:oMath>
      <w:r>
        <w:t xml:space="preserve"> substantially</w:t>
      </w:r>
    </w:p>
    <w:p w14:paraId="7CE883DF" w14:textId="37AF1CBB" w:rsidR="00E34C95" w:rsidRDefault="00000000">
      <w:pPr>
        <w:pStyle w:val="ListParagraph"/>
        <w:numPr>
          <w:ilvl w:val="0"/>
          <w:numId w:val="2"/>
        </w:numPr>
        <w:spacing w:line="320" w:lineRule="auto"/>
      </w:pPr>
      <w:r>
        <w:t xml:space="preserve">Propagated uncertainty bands on </w:t>
      </w:r>
      <m:oMath>
        <m:sSub>
          <m:sSubPr>
            <m:ctrlPr>
              <w:rPr>
                <w:rFonts w:ascii="Cambria Math" w:hAnsi="Cambria Math"/>
                <w:i/>
              </w:rPr>
            </m:ctrlPr>
          </m:sSubPr>
          <m:e>
            <m:r>
              <w:rPr>
                <w:rFonts w:ascii="Cambria Math" w:hAnsi="Cambria Math"/>
              </w:rPr>
              <m:t>Φ</m:t>
            </m:r>
          </m:e>
          <m:sub>
            <m:r>
              <w:rPr>
                <w:rFonts w:ascii="Cambria Math" w:hAnsi="Cambria Math"/>
              </w:rPr>
              <m:t>obs</m:t>
            </m:r>
          </m:sub>
        </m:sSub>
      </m:oMath>
      <w:r>
        <w:t xml:space="preserve"> (grey shading) are generally narrow for well-observed systems, giving the potential reconstruction genuine diagnostic value</w:t>
      </w:r>
    </w:p>
    <w:p w14:paraId="7F18080E" w14:textId="58A7175D" w:rsidR="00E34C95" w:rsidRDefault="00000000">
      <w:pPr>
        <w:pStyle w:val="ListParagraph"/>
        <w:numPr>
          <w:ilvl w:val="0"/>
          <w:numId w:val="2"/>
        </w:numPr>
        <w:spacing w:line="320" w:lineRule="auto"/>
      </w:pPr>
      <w:r>
        <w:t xml:space="preserve">The baryonic potential </w:t>
      </w:r>
      <m:oMath>
        <m:sSub>
          <m:sSubPr>
            <m:ctrlPr>
              <w:rPr>
                <w:rFonts w:ascii="Cambria Math" w:hAnsi="Cambria Math"/>
                <w:i/>
              </w:rPr>
            </m:ctrlPr>
          </m:sSubPr>
          <m:e>
            <m:r>
              <w:rPr>
                <w:rFonts w:ascii="Cambria Math" w:hAnsi="Cambria Math"/>
              </w:rPr>
              <m:t>Φ</m:t>
            </m:r>
          </m:e>
          <m:sub>
            <m:r>
              <w:rPr>
                <w:rFonts w:ascii="Cambria Math" w:hAnsi="Cambria Math"/>
              </w:rPr>
              <m:t>bar</m:t>
            </m:r>
          </m:sub>
        </m:sSub>
      </m:oMath>
      <w:r>
        <w:t xml:space="preserve"> in dwarf galaxies is nearly flat from small R — a telling signature of low baryonic compactness</w:t>
      </w:r>
    </w:p>
    <w:p w14:paraId="57F9FFA4" w14:textId="13247C64" w:rsidR="00E34C95" w:rsidRDefault="00365735">
      <w:pPr>
        <w:pStyle w:val="Heading2"/>
        <w:spacing w:before="300"/>
      </w:pPr>
      <w:r>
        <w:t>5.3 Dyed</w:t>
      </w:r>
      <w:r w:rsidR="00000000">
        <w:t xml:space="preserve"> Depth Map (Panel 3)</w:t>
      </w:r>
    </w:p>
    <w:p w14:paraId="2CD1087A" w14:textId="7D652E2C" w:rsidR="00E34C95" w:rsidRDefault="00000000">
      <w:pPr>
        <w:spacing w:before="60" w:after="100" w:line="340" w:lineRule="auto"/>
      </w:pPr>
      <w:r>
        <w:t xml:space="preserve">The 2D dyed-fabric </w:t>
      </w:r>
      <w:r w:rsidR="00365735">
        <w:t>visualization</w:t>
      </w:r>
      <w:r>
        <w:t xml:space="preserve"> is the atlas's most visually distinctive element. With global </w:t>
      </w:r>
      <w:r w:rsidR="00365735">
        <w:t>normalization</w:t>
      </w:r>
      <w:r>
        <w:t xml:space="preserve">, the depth </w:t>
      </w:r>
      <w:r w:rsidR="00365735">
        <w:t>color</w:t>
      </w:r>
      <w:r>
        <w:t xml:space="preserve"> scale is the same across all 175 pages, enabling immediate cross-galaxy comparison:</w:t>
      </w:r>
    </w:p>
    <w:p w14:paraId="6A3EF840" w14:textId="77777777" w:rsidR="00E34C95" w:rsidRDefault="00000000">
      <w:pPr>
        <w:pStyle w:val="ListParagraph"/>
        <w:numPr>
          <w:ilvl w:val="0"/>
          <w:numId w:val="2"/>
        </w:numPr>
        <w:spacing w:line="320" w:lineRule="auto"/>
      </w:pPr>
      <w:r>
        <w:t>Massive galaxies (NGC 2841, NGC 5055, UGC06787) display brilliant orange-to-white cores — deep effective wells extending to 20+ kpc</w:t>
      </w:r>
    </w:p>
    <w:p w14:paraId="0CC6977B" w14:textId="77777777" w:rsidR="00E34C95" w:rsidRDefault="00000000">
      <w:pPr>
        <w:pStyle w:val="ListParagraph"/>
        <w:numPr>
          <w:ilvl w:val="0"/>
          <w:numId w:val="2"/>
        </w:numPr>
        <w:spacing w:line="320" w:lineRule="auto"/>
      </w:pPr>
      <w:r>
        <w:t>Dwarf galaxies (DDO 154, KK98-251, UGC07232) show cool purple/blue hues with small, dim central kernels — shallow wells</w:t>
      </w:r>
    </w:p>
    <w:p w14:paraId="39ADF033" w14:textId="1B09B7C9" w:rsidR="00E34C95" w:rsidRDefault="00000000">
      <w:pPr>
        <w:pStyle w:val="ListParagraph"/>
        <w:numPr>
          <w:ilvl w:val="0"/>
          <w:numId w:val="2"/>
        </w:numPr>
        <w:spacing w:line="320" w:lineRule="auto"/>
      </w:pPr>
      <w:r>
        <w:t xml:space="preserve">The 'halo radius' encoded in the outer white circle corresponds to </w:t>
      </w:r>
      <m:oMath>
        <m:sSub>
          <m:sSubPr>
            <m:ctrlPr>
              <w:rPr>
                <w:rFonts w:ascii="Cambria Math" w:hAnsi="Cambria Math"/>
                <w:i/>
              </w:rPr>
            </m:ctrlPr>
          </m:sSubPr>
          <m:e>
            <m:r>
              <w:rPr>
                <w:rFonts w:ascii="Cambria Math" w:hAnsi="Cambria Math"/>
              </w:rPr>
              <m:t>R</m:t>
            </m:r>
          </m:e>
          <m:sub>
            <m:r>
              <w:rPr>
                <w:rFonts w:ascii="Cambria Math" w:hAnsi="Cambria Math"/>
              </w:rPr>
              <m:t>max</m:t>
            </m:r>
          </m:sub>
        </m:sSub>
      </m:oMath>
      <w:r>
        <w:t xml:space="preserve"> (the outermost observed data point), providing a physical spatial reference</w:t>
      </w:r>
    </w:p>
    <w:p w14:paraId="60E495F0" w14:textId="77777777" w:rsidR="00E34C95" w:rsidRDefault="00000000">
      <w:pPr>
        <w:pStyle w:val="ListParagraph"/>
        <w:numPr>
          <w:ilvl w:val="0"/>
          <w:numId w:val="2"/>
        </w:numPr>
        <w:spacing w:line="320" w:lineRule="auto"/>
      </w:pPr>
      <w:r>
        <w:t>Azimuthal symmetry is by construction — the map encodes a 1D profile, not a 2D structure measurement</w:t>
      </w:r>
    </w:p>
    <w:p w14:paraId="3C5907FB" w14:textId="235DFEB7" w:rsidR="00E34C95" w:rsidRDefault="00365735">
      <w:pPr>
        <w:pStyle w:val="Heading2"/>
        <w:spacing w:before="300"/>
      </w:pPr>
      <w:r>
        <w:t>5.4 3</w:t>
      </w:r>
      <w:r w:rsidR="00000000">
        <w:t>D Proxy Surface (Panel 4)</w:t>
      </w:r>
    </w:p>
    <w:p w14:paraId="3E940253" w14:textId="4CE26B19" w:rsidR="00E34C95" w:rsidRDefault="00000000">
      <w:pPr>
        <w:spacing w:before="60" w:after="100" w:line="340" w:lineRule="auto"/>
      </w:pPr>
      <w:r>
        <w:t xml:space="preserve">The 3D surface adds depth-profile curvature information that the 2D map compresses. Its most diagnostic feature is the steepness and extent of the central well: galaxies with compact, centrally concentrated baryons (small </w:t>
      </w:r>
      <m:oMath>
        <m:sSub>
          <m:sSubPr>
            <m:ctrlPr>
              <w:rPr>
                <w:rFonts w:ascii="Cambria Math" w:hAnsi="Cambria Math"/>
                <w:i/>
              </w:rPr>
            </m:ctrlPr>
          </m:sSubPr>
          <m:e>
            <m:r>
              <w:rPr>
                <w:rFonts w:ascii="Cambria Math" w:hAnsi="Cambria Math"/>
              </w:rPr>
              <m:t>R</m:t>
            </m:r>
          </m:e>
          <m:sub>
            <m:r>
              <w:rPr>
                <w:rFonts w:ascii="Cambria Math" w:hAnsi="Cambria Math"/>
              </w:rPr>
              <m:t>disk</m:t>
            </m:r>
          </m:sub>
        </m:sSub>
      </m:oMath>
      <w:r>
        <w:t xml:space="preserve">, large </w:t>
      </w:r>
      <m:oMath>
        <m:sSub>
          <m:sSubPr>
            <m:ctrlPr>
              <w:rPr>
                <w:rFonts w:ascii="Cambria Math" w:hAnsi="Cambria Math"/>
                <w:i/>
              </w:rPr>
            </m:ctrlPr>
          </m:sSubPr>
          <m:e>
            <m:r>
              <w:rPr>
                <w:rFonts w:ascii="Cambria Math" w:hAnsi="Cambria Math"/>
              </w:rPr>
              <m:t>V</m:t>
            </m:r>
          </m:e>
          <m:sub>
            <m:r>
              <w:rPr>
                <w:rFonts w:ascii="Cambria Math" w:hAnsi="Cambria Math"/>
              </w:rPr>
              <m:t>flat</m:t>
            </m:r>
          </m:sub>
        </m:sSub>
      </m:oMath>
      <w:r>
        <w:t xml:space="preserve">) show a tall, narrow 3D spike, while extended LSB galaxies show a broad, gently curved bowl. The z-axis labels are rendered inside the panel — a deliberate layout choice to prevent subplot overflow — and are annotated with both </w:t>
      </w:r>
      <m:oMath>
        <m:sSub>
          <m:sSubPr>
            <m:ctrlPr>
              <w:rPr>
                <w:rFonts w:ascii="Cambria Math" w:hAnsi="Cambria Math"/>
                <w:i/>
              </w:rPr>
            </m:ctrlPr>
          </m:sSubPr>
          <m:e>
            <m:r>
              <w:rPr>
                <w:rFonts w:ascii="Cambria Math" w:hAnsi="Cambria Math"/>
              </w:rPr>
              <m:t>R</m:t>
            </m:r>
          </m:e>
          <m:sub>
            <m:r>
              <w:rPr>
                <w:rFonts w:ascii="Cambria Math" w:hAnsi="Cambria Math"/>
              </w:rPr>
              <m:t>max</m:t>
            </m:r>
          </m:sub>
        </m:sSub>
      </m:oMath>
      <w:r>
        <w:t xml:space="preserve"> and </w:t>
      </w:r>
      <m:oMath>
        <m:sSub>
          <m:sSubPr>
            <m:ctrlPr>
              <w:rPr>
                <w:rFonts w:ascii="Cambria Math" w:hAnsi="Cambria Math"/>
                <w:i/>
              </w:rPr>
            </m:ctrlPr>
          </m:sSubPr>
          <m:e>
            <m:r>
              <w:rPr>
                <w:rFonts w:ascii="Cambria Math" w:hAnsi="Cambria Math"/>
              </w:rPr>
              <m:t>z</m:t>
            </m:r>
          </m:e>
          <m:sub>
            <m:r>
              <w:rPr>
                <w:rFonts w:ascii="Cambria Math" w:hAnsi="Cambria Math"/>
              </w:rPr>
              <m:t>max</m:t>
            </m:r>
          </m:sub>
        </m:sSub>
      </m:oMath>
      <w:r>
        <w:t xml:space="preserve"> for interpretive anchoring.</w:t>
      </w:r>
    </w:p>
    <w:p w14:paraId="4F29F155" w14:textId="0628737D" w:rsidR="00E34C95" w:rsidRDefault="00365735">
      <w:pPr>
        <w:pStyle w:val="Heading2"/>
        <w:spacing w:before="300"/>
      </w:pPr>
      <w:r>
        <w:t>5.5 Orbit</w:t>
      </w:r>
      <w:r w:rsidR="00000000">
        <w:t xml:space="preserve"> Map (Panel 5)</w:t>
      </w:r>
    </w:p>
    <w:p w14:paraId="171C3926" w14:textId="63134879" w:rsidR="00E34C95" w:rsidRDefault="00000000">
      <w:pPr>
        <w:spacing w:before="60" w:after="100" w:line="340" w:lineRule="auto"/>
      </w:pPr>
      <w:r>
        <w:t xml:space="preserve">The orbit panel provides an intuitive sanity check: illustrative test-particle trajectories integrated in the central effective field inferred from </w:t>
      </w:r>
      <m:oMath>
        <m:sSub>
          <m:sSubPr>
            <m:ctrlPr>
              <w:rPr>
                <w:rFonts w:ascii="Cambria Math" w:hAnsi="Cambria Math"/>
                <w:i/>
              </w:rPr>
            </m:ctrlPr>
          </m:sSubPr>
          <m:e>
            <m:r>
              <w:rPr>
                <w:rFonts w:ascii="Cambria Math" w:hAnsi="Cambria Math"/>
              </w:rPr>
              <m:t>Φ</m:t>
            </m:r>
          </m:e>
          <m:sub>
            <m:r>
              <w:rPr>
                <w:rFonts w:ascii="Cambria Math" w:hAnsi="Cambria Math"/>
              </w:rPr>
              <m:t>obs</m:t>
            </m:r>
          </m:sub>
        </m:sSub>
      </m:oMath>
      <w:r>
        <w:t>. Across the atlas, the trajectories are uniformly coherent, near-circular, and well-confined within the plotted domain — confirming that the reconstructed field is physically reasonable. There is no case in the 175-galaxy atlas where the orbit integration produces pathological behaviour (divergence, collapse, or wild eccentricity), which is itself a consistency verification of the reconstructed potential.</w:t>
      </w:r>
    </w:p>
    <w:p w14:paraId="30C93688" w14:textId="77777777" w:rsidR="00E34C95" w:rsidRDefault="00000000">
      <w:pPr>
        <w:pStyle w:val="Heading2"/>
        <w:spacing w:before="300"/>
      </w:pPr>
      <w:proofErr w:type="gramStart"/>
      <w:r>
        <w:t>5.6  Residuals</w:t>
      </w:r>
      <w:proofErr w:type="gramEnd"/>
      <w:r>
        <w:t xml:space="preserve"> Panel (Panel 6)</w:t>
      </w:r>
    </w:p>
    <w:p w14:paraId="323DBD13" w14:textId="05595578" w:rsidR="00E34C95" w:rsidRDefault="00000000">
      <w:pPr>
        <w:spacing w:before="60" w:after="100" w:line="340" w:lineRule="auto"/>
      </w:pPr>
      <w:r>
        <w:t xml:space="preserve">Panel 6 is the most diagnostically rigorous of the six. It shows residuals </w:t>
      </w:r>
      <m:oMath>
        <m:r>
          <w:rPr>
            <w:rFonts w:ascii="Cambria Math" w:hAnsi="Cambria Math"/>
          </w:rPr>
          <m:t>Δv=</m:t>
        </m:r>
        <m:sSub>
          <m:sSubPr>
            <m:ctrlPr>
              <w:rPr>
                <w:rFonts w:ascii="Cambria Math" w:hAnsi="Cambria Math"/>
                <w:i/>
              </w:rPr>
            </m:ctrlPr>
          </m:sSubPr>
          <m:e>
            <m:r>
              <w:rPr>
                <w:rFonts w:ascii="Cambria Math" w:hAnsi="Cambria Math"/>
              </w:rPr>
              <m:t>v</m:t>
            </m:r>
          </m:e>
          <m:sub>
            <m:r>
              <w:rPr>
                <w:rFonts w:ascii="Cambria Math" w:hAnsi="Cambria Math"/>
              </w:rPr>
              <m:t>obs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model</m:t>
            </m:r>
          </m:sub>
        </m:sSub>
      </m:oMath>
      <w:r>
        <w:t xml:space="preserve"> (red) and </w:t>
      </w:r>
      <m:oMath>
        <m:r>
          <w:rPr>
            <w:rFonts w:ascii="Cambria Math" w:hAnsi="Cambria Math"/>
          </w:rPr>
          <m:t>Δv=</m:t>
        </m:r>
        <m:sSub>
          <m:sSubPr>
            <m:ctrlPr>
              <w:rPr>
                <w:rFonts w:ascii="Cambria Math" w:hAnsi="Cambria Math"/>
                <w:i/>
              </w:rPr>
            </m:ctrlPr>
          </m:sSubPr>
          <m:e>
            <m:r>
              <w:rPr>
                <w:rFonts w:ascii="Cambria Math" w:hAnsi="Cambria Math"/>
              </w:rPr>
              <m:t>v</m:t>
            </m:r>
          </m:e>
          <m:sub>
            <m:r>
              <w:rPr>
                <w:rFonts w:ascii="Cambria Math" w:hAnsi="Cambria Math"/>
              </w:rPr>
              <m:t>obs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bar</m:t>
            </m:r>
          </m:sub>
        </m:sSub>
      </m:oMath>
      <w:r>
        <w:t xml:space="preserve"> (blue) against radius, with </w:t>
      </w:r>
      <m:oMath>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vobs</m:t>
            </m:r>
          </m:sub>
        </m:sSub>
      </m:oMath>
      <w:r>
        <w:t xml:space="preserve"> bands around each curve. The diagnostic reading protocol:</w:t>
      </w:r>
    </w:p>
    <w:p w14:paraId="058B4830" w14:textId="77777777" w:rsidR="00E34C95" w:rsidRDefault="00000000">
      <w:pPr>
        <w:pStyle w:val="ListParagraph"/>
        <w:numPr>
          <w:ilvl w:val="0"/>
          <w:numId w:val="2"/>
        </w:numPr>
        <w:spacing w:line="320" w:lineRule="auto"/>
      </w:pPr>
      <w:r>
        <w:t>Blue residuals (baryons-only) are systematically large and positive, growing monotonically with R in most systems</w:t>
      </w:r>
    </w:p>
    <w:p w14:paraId="4B5D1B73" w14:textId="592AB633" w:rsidR="00E34C95" w:rsidRDefault="00000000">
      <w:pPr>
        <w:pStyle w:val="ListParagraph"/>
        <w:numPr>
          <w:ilvl w:val="0"/>
          <w:numId w:val="2"/>
        </w:numPr>
        <w:spacing w:line="320" w:lineRule="auto"/>
      </w:pPr>
      <w:r>
        <w:t xml:space="preserve">Red residuals (model) cluster near zero within the grey uncertainty band across the mid-to-outer disc for the majority of </w:t>
      </w:r>
      <m:oMath>
        <m:sSub>
          <m:sSubPr>
            <m:ctrlPr>
              <w:rPr>
                <w:rFonts w:ascii="Cambria Math" w:hAnsi="Cambria Math"/>
                <w:i/>
              </w:rPr>
            </m:ctrlPr>
          </m:sSubPr>
          <m:e>
            <m:r>
              <w:rPr>
                <w:rFonts w:ascii="Cambria Math" w:hAnsi="Cambria Math"/>
              </w:rPr>
              <m:t>Q</m:t>
            </m:r>
          </m:e>
          <m:sub>
            <m:r>
              <w:rPr>
                <w:rFonts w:ascii="Cambria Math" w:hAnsi="Cambria Math"/>
              </w:rPr>
              <m:t>flag</m:t>
            </m:r>
          </m:sub>
        </m:sSub>
        <m:r>
          <w:rPr>
            <w:rFonts w:ascii="Cambria Math" w:hAnsi="Cambria Math"/>
          </w:rPr>
          <m:t>=1</m:t>
        </m:r>
      </m:oMath>
      <w:r>
        <w:t xml:space="preserve"> galaxies</w:t>
      </w:r>
    </w:p>
    <w:p w14:paraId="4DF2E597" w14:textId="07D9ADA5" w:rsidR="00E34C95" w:rsidRDefault="00000000">
      <w:pPr>
        <w:pStyle w:val="ListParagraph"/>
        <w:numPr>
          <w:ilvl w:val="0"/>
          <w:numId w:val="2"/>
        </w:numPr>
        <w:spacing w:line="320" w:lineRule="auto"/>
      </w:pPr>
      <w:r>
        <w:t xml:space="preserve">Persistent positive-going red residuals at outer </w:t>
      </w:r>
      <m:oMath>
        <m:r>
          <w:rPr>
            <w:rFonts w:ascii="Cambria Math" w:hAnsi="Cambria Math"/>
          </w:rPr>
          <m:t>R</m:t>
        </m:r>
      </m:oMath>
      <w:r>
        <w:t xml:space="preserve"> indicate that the </w:t>
      </w:r>
      <m:oMath>
        <m:r>
          <w:rPr>
            <w:rFonts w:ascii="Cambria Math" w:hAnsi="Cambria Math"/>
          </w:rPr>
          <m:t>1</m:t>
        </m:r>
        <m:r>
          <m:rPr>
            <m:lit/>
          </m:rPr>
          <w:rPr>
            <w:rFonts w:ascii="Cambria Math" w:hAnsi="Cambria Math"/>
          </w:rPr>
          <m:t>/</m:t>
        </m:r>
        <m:r>
          <w:rPr>
            <w:rFonts w:ascii="Cambria Math" w:hAnsi="Cambria Math"/>
          </w:rPr>
          <m:t>R</m:t>
        </m:r>
      </m:oMath>
      <w:r>
        <w:t xml:space="preserve"> tail underestimates acceleration — potentially pointing to a steeper effective-field profile</w:t>
      </w:r>
    </w:p>
    <w:p w14:paraId="7A5EB163" w14:textId="4CBB42B2" w:rsidR="00E34C95" w:rsidRDefault="00000000">
      <w:pPr>
        <w:pStyle w:val="ListParagraph"/>
        <w:numPr>
          <w:ilvl w:val="0"/>
          <w:numId w:val="2"/>
        </w:numPr>
        <w:spacing w:line="320" w:lineRule="auto"/>
      </w:pPr>
      <w:r>
        <w:t xml:space="preserve">Persistent negative red residuals at inner </w:t>
      </w:r>
      <m:oMath>
        <m:r>
          <w:rPr>
            <w:rFonts w:ascii="Cambria Math" w:hAnsi="Cambria Math"/>
          </w:rPr>
          <m:t>R</m:t>
        </m:r>
      </m:oMath>
      <w:r>
        <w:t xml:space="preserve"> (overestimation) are seen in a handful of bulge-dominated systems and reflect the simplicity of the single-amplitude </w:t>
      </w:r>
      <w:r w:rsidR="009900EF">
        <w:t xml:space="preserve">parametrization </w:t>
      </w:r>
    </w:p>
    <w:p w14:paraId="1DC81382" w14:textId="77777777" w:rsidR="00E34C95" w:rsidRDefault="00000000">
      <w:pPr>
        <w:pStyle w:val="Heading1"/>
      </w:pPr>
      <w:r>
        <w:t>6.  Representative Galaxy Figures</w:t>
      </w:r>
    </w:p>
    <w:p w14:paraId="1FA13579" w14:textId="77777777" w:rsidR="00E34C95" w:rsidRDefault="00E34C95">
      <w:pPr>
        <w:pBdr>
          <w:bottom w:val="single" w:sz="4" w:space="1" w:color="2B4F76"/>
        </w:pBdr>
      </w:pPr>
    </w:p>
    <w:p w14:paraId="068D353B" w14:textId="77777777" w:rsidR="00E34C95" w:rsidRDefault="00E34C95">
      <w:pPr>
        <w:spacing w:line="60" w:lineRule="auto"/>
      </w:pPr>
    </w:p>
    <w:p w14:paraId="723FDCD7" w14:textId="77777777" w:rsidR="00E34C95" w:rsidRDefault="00000000">
      <w:pPr>
        <w:spacing w:before="60" w:after="100" w:line="340" w:lineRule="auto"/>
      </w:pPr>
      <w:r>
        <w:t>The following selected six-panel pages illustrate the breadth of the atlas — from a canonical HSB benchmark, to a well-studied dwarf, to a massive extended spiral, to an extreme LSB system. Each is discussed in light of the analysis above.</w:t>
      </w:r>
    </w:p>
    <w:p w14:paraId="17081E17" w14:textId="77777777" w:rsidR="00E34C95" w:rsidRDefault="00E34C95">
      <w:pPr>
        <w:spacing w:line="80" w:lineRule="auto"/>
      </w:pPr>
    </w:p>
    <w:p w14:paraId="2D77271B" w14:textId="77777777" w:rsidR="00E34C95" w:rsidRDefault="00000000">
      <w:pPr>
        <w:spacing w:before="100" w:after="60"/>
        <w:jc w:val="center"/>
      </w:pPr>
      <w:r>
        <w:rPr>
          <w:noProof/>
        </w:rPr>
        <w:drawing>
          <wp:inline distT="0" distB="0" distL="0" distR="0" wp14:anchorId="472CBB50" wp14:editId="1A1AD770">
            <wp:extent cx="5905500" cy="2952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952750"/>
                    </a:xfrm>
                    <a:prstGeom prst="rect">
                      <a:avLst/>
                    </a:prstGeom>
                  </pic:spPr>
                </pic:pic>
              </a:graphicData>
            </a:graphic>
          </wp:inline>
        </w:drawing>
      </w:r>
    </w:p>
    <w:p w14:paraId="4F240CFA" w14:textId="7C5B97BF" w:rsidR="00E34C95" w:rsidRDefault="00000000">
      <w:pPr>
        <w:spacing w:after="180"/>
        <w:jc w:val="center"/>
      </w:pPr>
      <w:r>
        <w:rPr>
          <w:i/>
          <w:iCs/>
          <w:sz w:val="18"/>
          <w:szCs w:val="18"/>
        </w:rPr>
        <w:t>Figure: NGC6503 — A canonical benchmark spiral. Very-strong fit (</w:t>
      </w:r>
      <m:oMath>
        <m:r>
          <w:rPr>
            <w:rFonts w:ascii="Cambria Math" w:hAnsi="Cambria Math"/>
            <w:sz w:val="18"/>
            <w:szCs w:val="18"/>
          </w:rPr>
          <m:t>Z ≫ 10</m:t>
        </m:r>
      </m:oMath>
      <w:r>
        <w:rPr>
          <w:i/>
          <w:iCs/>
          <w:sz w:val="18"/>
          <w:szCs w:val="18"/>
        </w:rPr>
        <w:t>). The dyed core is bright and compact; residuals show near-zero red curve across 15+ kpc.</w:t>
      </w:r>
    </w:p>
    <w:p w14:paraId="3512A851" w14:textId="77777777" w:rsidR="00E34C95" w:rsidRDefault="00000000">
      <w:pPr>
        <w:spacing w:before="100" w:after="60"/>
        <w:jc w:val="center"/>
      </w:pPr>
      <w:r>
        <w:rPr>
          <w:noProof/>
        </w:rPr>
        <w:drawing>
          <wp:inline distT="0" distB="0" distL="0" distR="0" wp14:anchorId="12C7A255" wp14:editId="0FAB44AA">
            <wp:extent cx="5905500" cy="2952750"/>
            <wp:effectExtent l="0" t="0" r="0" b="0"/>
            <wp:docPr id="918228534" name="Picture 918228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952750"/>
                    </a:xfrm>
                    <a:prstGeom prst="rect">
                      <a:avLst/>
                    </a:prstGeom>
                  </pic:spPr>
                </pic:pic>
              </a:graphicData>
            </a:graphic>
          </wp:inline>
        </w:drawing>
      </w:r>
    </w:p>
    <w:p w14:paraId="27CFE892" w14:textId="117A022F" w:rsidR="00E34C95" w:rsidRDefault="00000000">
      <w:pPr>
        <w:spacing w:after="180"/>
        <w:jc w:val="center"/>
      </w:pPr>
      <w:r>
        <w:rPr>
          <w:i/>
          <w:iCs/>
          <w:sz w:val="18"/>
          <w:szCs w:val="18"/>
        </w:rPr>
        <w:t>Figure: DDO154 — A gold-standard dwarf irregular (</w:t>
      </w:r>
      <m:oMath>
        <m:sSub>
          <m:sSubPr>
            <m:ctrlPr>
              <w:rPr>
                <w:rFonts w:ascii="Cambria Math" w:hAnsi="Cambria Math"/>
                <w:i/>
                <w:iCs/>
                <w:sz w:val="18"/>
                <w:szCs w:val="18"/>
              </w:rPr>
            </m:ctrlPr>
          </m:sSubPr>
          <m:e>
            <m:r>
              <w:rPr>
                <w:rFonts w:ascii="Cambria Math" w:hAnsi="Cambria Math"/>
                <w:sz w:val="18"/>
                <w:szCs w:val="18"/>
              </w:rPr>
              <m:t>Q</m:t>
            </m:r>
          </m:e>
          <m:sub>
            <m:r>
              <w:rPr>
                <w:rFonts w:ascii="Cambria Math" w:hAnsi="Cambria Math"/>
                <w:sz w:val="18"/>
                <w:szCs w:val="18"/>
              </w:rPr>
              <m:t>flag</m:t>
            </m:r>
          </m:sub>
        </m:sSub>
        <m:r>
          <w:rPr>
            <w:rFonts w:ascii="Cambria Math" w:hAnsi="Cambria Math"/>
            <w:sz w:val="18"/>
            <w:szCs w:val="18"/>
          </w:rPr>
          <m:t>=1</m:t>
        </m:r>
      </m:oMath>
      <w:r>
        <w:rPr>
          <w:i/>
          <w:iCs/>
          <w:sz w:val="18"/>
          <w:szCs w:val="18"/>
        </w:rPr>
        <w:t>). Despite sparse data, very-strong improvement. Extended blue halo in Panel 3.</w:t>
      </w:r>
    </w:p>
    <w:p w14:paraId="6E19E4E7" w14:textId="77777777" w:rsidR="00E34C95" w:rsidRDefault="00000000">
      <w:pPr>
        <w:spacing w:before="100" w:after="60"/>
        <w:jc w:val="center"/>
      </w:pPr>
      <w:r>
        <w:rPr>
          <w:noProof/>
        </w:rPr>
        <w:drawing>
          <wp:inline distT="0" distB="0" distL="0" distR="0" wp14:anchorId="3875E08F" wp14:editId="1D34ADA3">
            <wp:extent cx="5905500" cy="2952750"/>
            <wp:effectExtent l="0" t="0" r="0" b="0"/>
            <wp:docPr id="675700771" name="Picture 675700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952750"/>
                    </a:xfrm>
                    <a:prstGeom prst="rect">
                      <a:avLst/>
                    </a:prstGeom>
                  </pic:spPr>
                </pic:pic>
              </a:graphicData>
            </a:graphic>
          </wp:inline>
        </w:drawing>
      </w:r>
    </w:p>
    <w:p w14:paraId="726F7723" w14:textId="2EFE8FC7" w:rsidR="00E34C95" w:rsidRDefault="00000000">
      <w:pPr>
        <w:spacing w:after="180"/>
        <w:jc w:val="center"/>
      </w:pPr>
      <w:r>
        <w:rPr>
          <w:i/>
          <w:iCs/>
          <w:sz w:val="18"/>
          <w:szCs w:val="18"/>
        </w:rPr>
        <w:t xml:space="preserve">Figure: NGC2841 — A massive, bulge-dominated early-type spiral. Extremely large </w:t>
      </w:r>
      <m:oMath>
        <m:r>
          <w:rPr>
            <w:rFonts w:ascii="Cambria Math" w:hAnsi="Cambria Math"/>
            <w:sz w:val="18"/>
            <w:szCs w:val="18"/>
          </w:rPr>
          <m:t>Δ</m:t>
        </m:r>
        <m:sSup>
          <m:sSupPr>
            <m:ctrlPr>
              <w:rPr>
                <w:rFonts w:ascii="Cambria Math" w:hAnsi="Cambria Math"/>
                <w:i/>
                <w:iCs/>
                <w:sz w:val="18"/>
                <w:szCs w:val="18"/>
              </w:rPr>
            </m:ctrlPr>
          </m:sSupPr>
          <m:e>
            <m:r>
              <w:rPr>
                <w:rFonts w:ascii="Cambria Math" w:hAnsi="Cambria Math"/>
                <w:sz w:val="18"/>
                <w:szCs w:val="18"/>
              </w:rPr>
              <m:t>χ</m:t>
            </m:r>
          </m:e>
          <m:sup>
            <m:r>
              <w:rPr>
                <w:rFonts w:ascii="Cambria Math" w:hAnsi="Cambria Math"/>
                <w:sz w:val="18"/>
                <w:szCs w:val="18"/>
              </w:rPr>
              <m:t>2</m:t>
            </m:r>
          </m:sup>
        </m:sSup>
      </m:oMath>
      <w:r>
        <w:rPr>
          <w:i/>
          <w:iCs/>
          <w:sz w:val="18"/>
          <w:szCs w:val="18"/>
        </w:rPr>
        <w:t xml:space="preserve">. Deep central potential well; large </w:t>
      </w:r>
      <m:oMath>
        <m:sSub>
          <m:sSubPr>
            <m:ctrlPr>
              <w:rPr>
                <w:rFonts w:ascii="Cambria Math" w:hAnsi="Cambria Math"/>
                <w:i/>
                <w:iCs/>
                <w:sz w:val="18"/>
                <w:szCs w:val="18"/>
              </w:rPr>
            </m:ctrlPr>
          </m:sSubPr>
          <m:e>
            <m:r>
              <w:rPr>
                <w:rFonts w:ascii="Cambria Math" w:hAnsi="Cambria Math"/>
                <w:sz w:val="18"/>
                <w:szCs w:val="18"/>
              </w:rPr>
              <m:t>R</m:t>
            </m:r>
          </m:e>
          <m:sub>
            <m:r>
              <w:rPr>
                <w:rFonts w:ascii="Cambria Math" w:hAnsi="Cambria Math"/>
                <w:sz w:val="18"/>
                <w:szCs w:val="18"/>
              </w:rPr>
              <m:t>t</m:t>
            </m:r>
          </m:sub>
        </m:sSub>
        <m:r>
          <w:rPr>
            <w:rFonts w:ascii="Cambria Math" w:hAnsi="Cambria Math"/>
            <w:sz w:val="18"/>
            <w:szCs w:val="18"/>
          </w:rPr>
          <m:t>≈12kpc</m:t>
        </m:r>
      </m:oMath>
      <w:r>
        <w:rPr>
          <w:i/>
          <w:iCs/>
          <w:sz w:val="18"/>
          <w:szCs w:val="18"/>
        </w:rPr>
        <w:t>.</w:t>
      </w:r>
    </w:p>
    <w:p w14:paraId="393A786B" w14:textId="77777777" w:rsidR="00E34C95" w:rsidRDefault="00000000">
      <w:pPr>
        <w:spacing w:before="100" w:after="60"/>
        <w:jc w:val="center"/>
      </w:pPr>
      <w:r>
        <w:rPr>
          <w:noProof/>
        </w:rPr>
        <w:drawing>
          <wp:inline distT="0" distB="0" distL="0" distR="0" wp14:anchorId="08F5F7F9" wp14:editId="5F36AFF2">
            <wp:extent cx="5905500" cy="2952750"/>
            <wp:effectExtent l="0" t="0" r="0" b="0"/>
            <wp:docPr id="1224760026" name="Picture 122476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952750"/>
                    </a:xfrm>
                    <a:prstGeom prst="rect">
                      <a:avLst/>
                    </a:prstGeom>
                  </pic:spPr>
                </pic:pic>
              </a:graphicData>
            </a:graphic>
          </wp:inline>
        </w:drawing>
      </w:r>
    </w:p>
    <w:p w14:paraId="132A80B5" w14:textId="7C445F6C" w:rsidR="00E34C95" w:rsidRDefault="00000000">
      <w:pPr>
        <w:spacing w:after="180"/>
        <w:jc w:val="center"/>
      </w:pPr>
      <w:r>
        <w:rPr>
          <w:i/>
          <w:iCs/>
          <w:sz w:val="18"/>
          <w:szCs w:val="18"/>
        </w:rPr>
        <w:t>Figure: UGC09133 — Highest Z-score in the catalogue (</w:t>
      </w:r>
      <m:oMath>
        <m:r>
          <w:rPr>
            <w:rFonts w:ascii="Cambria Math" w:hAnsi="Cambria Math"/>
            <w:sz w:val="18"/>
            <w:szCs w:val="18"/>
          </w:rPr>
          <m:t>Z = 344</m:t>
        </m:r>
      </m:oMath>
      <w:r>
        <w:rPr>
          <w:i/>
          <w:iCs/>
          <w:sz w:val="18"/>
          <w:szCs w:val="18"/>
        </w:rPr>
        <w:t xml:space="preserve">). 68 data points; </w:t>
      </w:r>
      <m:oMath>
        <m:sSubSup>
          <m:sSubSupPr>
            <m:ctrlPr>
              <w:rPr>
                <w:rFonts w:ascii="Cambria Math" w:hAnsi="Cambria Math"/>
                <w:i/>
                <w:iCs/>
                <w:sz w:val="18"/>
                <w:szCs w:val="18"/>
              </w:rPr>
            </m:ctrlPr>
          </m:sSubSupPr>
          <m:e>
            <m:r>
              <w:rPr>
                <w:rFonts w:ascii="Cambria Math" w:hAnsi="Cambria Math"/>
                <w:sz w:val="18"/>
                <w:szCs w:val="18"/>
              </w:rPr>
              <m:t>χ</m:t>
            </m:r>
          </m:e>
          <m:sub>
            <m:r>
              <w:rPr>
                <w:rFonts w:ascii="Cambria Math" w:hAnsi="Cambria Math"/>
                <w:sz w:val="18"/>
                <w:szCs w:val="18"/>
              </w:rPr>
              <m:t>bar</m:t>
            </m:r>
          </m:sub>
          <m:sup>
            <m:r>
              <w:rPr>
                <w:rFonts w:ascii="Cambria Math" w:hAnsi="Cambria Math"/>
                <w:sz w:val="18"/>
                <w:szCs w:val="18"/>
              </w:rPr>
              <m:t>2</m:t>
            </m:r>
          </m:sup>
        </m:sSubSup>
        <m:r>
          <w:rPr>
            <w:rFonts w:ascii="Cambria Math" w:hAnsi="Cambria Math"/>
            <w:sz w:val="18"/>
            <w:szCs w:val="18"/>
          </w:rPr>
          <m:t>=119,700</m:t>
        </m:r>
      </m:oMath>
      <w:r>
        <w:rPr>
          <w:i/>
          <w:iCs/>
          <w:sz w:val="18"/>
          <w:szCs w:val="18"/>
        </w:rPr>
        <w:t xml:space="preserve"> reduced to </w:t>
      </w:r>
      <m:oMath>
        <m:r>
          <w:rPr>
            <w:rFonts w:ascii="Cambria Math" w:hAnsi="Cambria Math"/>
            <w:sz w:val="18"/>
            <w:szCs w:val="18"/>
          </w:rPr>
          <m:t>1,533</m:t>
        </m:r>
      </m:oMath>
      <w:r>
        <w:rPr>
          <w:i/>
          <w:iCs/>
          <w:sz w:val="18"/>
          <w:szCs w:val="18"/>
        </w:rPr>
        <w:t xml:space="preserve"> with one parameter.</w:t>
      </w:r>
    </w:p>
    <w:p w14:paraId="38DD0A74" w14:textId="77777777" w:rsidR="009900EF" w:rsidRDefault="009900EF">
      <w:pPr>
        <w:pStyle w:val="Heading1"/>
        <w:sectPr w:rsidR="009900EF">
          <w:headerReference w:type="default" r:id="rId11"/>
          <w:footerReference w:type="default" r:id="rId12"/>
          <w:pgSz w:w="12240" w:h="15840"/>
          <w:pgMar w:top="1200" w:right="1200" w:bottom="1200" w:left="1200" w:header="708" w:footer="708" w:gutter="0"/>
          <w:cols w:space="720"/>
          <w:docGrid w:linePitch="360"/>
        </w:sectPr>
      </w:pPr>
    </w:p>
    <w:p w14:paraId="60985F71" w14:textId="77777777" w:rsidR="00E34C95" w:rsidRDefault="00000000">
      <w:pPr>
        <w:pStyle w:val="Heading1"/>
      </w:pPr>
      <w:r>
        <w:t>7.  Scientific Strengths of the Atlas Approach</w:t>
      </w:r>
    </w:p>
    <w:p w14:paraId="50925B06" w14:textId="77777777" w:rsidR="00E34C95" w:rsidRDefault="00E34C95">
      <w:pPr>
        <w:pBdr>
          <w:bottom w:val="single" w:sz="4" w:space="1" w:color="2B4F76"/>
        </w:pBdr>
      </w:pPr>
    </w:p>
    <w:p w14:paraId="19BAE161" w14:textId="77777777" w:rsidR="00E34C95" w:rsidRDefault="00E34C95">
      <w:pPr>
        <w:spacing w:line="60" w:lineRule="auto"/>
      </w:pPr>
    </w:p>
    <w:p w14:paraId="316504CE" w14:textId="2DD06318" w:rsidR="00E34C95" w:rsidRDefault="009900EF">
      <w:pPr>
        <w:pStyle w:val="Heading2"/>
        <w:spacing w:before="300"/>
      </w:pPr>
      <w:r>
        <w:t>7.1 Rigorous</w:t>
      </w:r>
      <w:r w:rsidR="00000000">
        <w:t xml:space="preserve"> Data Provenance</w:t>
      </w:r>
    </w:p>
    <w:p w14:paraId="0B762004" w14:textId="4AE6922E" w:rsidR="00E34C95" w:rsidRDefault="00000000">
      <w:pPr>
        <w:spacing w:before="60" w:after="100" w:line="340" w:lineRule="auto"/>
      </w:pPr>
      <w:r>
        <w:t>The atlas's epistemic architecture is one of its greatest strengths. The provenance map is explicit and strictly enforced: measured inputs (</w:t>
      </w:r>
      <m:oMath>
        <m:r>
          <w:rPr>
            <w:rFonts w:ascii="Cambria Math" w:hAnsi="Cambria Math"/>
          </w:rPr>
          <m:t>R</m:t>
        </m:r>
      </m:oMath>
      <w:r>
        <w:t xml:space="preserve">, </w:t>
      </w:r>
      <m:oMath>
        <m:sSub>
          <m:sSubPr>
            <m:ctrlPr>
              <w:rPr>
                <w:rFonts w:ascii="Cambria Math" w:hAnsi="Cambria Math"/>
                <w:i/>
              </w:rPr>
            </m:ctrlPr>
          </m:sSubPr>
          <m:e>
            <m:r>
              <w:rPr>
                <w:rFonts w:ascii="Cambria Math" w:hAnsi="Cambria Math"/>
              </w:rPr>
              <m:t>v</m:t>
            </m:r>
          </m:e>
          <m:sub>
            <m:r>
              <w:rPr>
                <w:rFonts w:ascii="Cambria Math" w:hAnsi="Cambria Math"/>
              </w:rPr>
              <m:t>obs</m:t>
            </m:r>
          </m:sub>
        </m:sSub>
      </m:oMath>
      <w:r>
        <w:t xml:space="preserve">, </w:t>
      </w:r>
      <m:oMath>
        <m:sSub>
          <m:sSubPr>
            <m:ctrlPr>
              <w:rPr>
                <w:rFonts w:ascii="Cambria Math" w:hAnsi="Cambria Math"/>
                <w:i/>
              </w:rPr>
            </m:ctrlPr>
          </m:sSubPr>
          <m:e>
            <m:r>
              <w:rPr>
                <w:rFonts w:ascii="Cambria Math" w:hAnsi="Cambria Math"/>
              </w:rPr>
              <m:t>e</m:t>
            </m:r>
          </m:e>
          <m:sub>
            <m:r>
              <w:rPr>
                <w:rFonts w:ascii="Cambria Math" w:hAnsi="Cambria Math"/>
              </w:rPr>
              <m:t>vobs</m:t>
            </m:r>
          </m:sub>
        </m:sSub>
      </m:oMath>
      <w:r>
        <w:t>) are clearly distinguished from derived reconstructions (</w:t>
      </w:r>
      <m:oMath>
        <m:sSub>
          <m:sSubPr>
            <m:ctrlPr>
              <w:rPr>
                <w:rFonts w:ascii="Cambria Math" w:hAnsi="Cambria Math"/>
                <w:i/>
              </w:rPr>
            </m:ctrlPr>
          </m:sSubPr>
          <m:e>
            <m:r>
              <w:rPr>
                <w:rFonts w:ascii="Cambria Math" w:hAnsi="Cambria Math"/>
              </w:rPr>
              <m:t>g</m:t>
            </m:r>
          </m:e>
          <m:sub>
            <m:r>
              <w:rPr>
                <w:rFonts w:ascii="Cambria Math" w:hAnsi="Cambria Math"/>
              </w:rPr>
              <m:t>obs</m:t>
            </m:r>
          </m:sub>
        </m:sSub>
      </m:oMath>
      <w:r>
        <w:t xml:space="preserve">, </w:t>
      </w:r>
      <m:oMath>
        <m:sSub>
          <m:sSubPr>
            <m:ctrlPr>
              <w:rPr>
                <w:rFonts w:ascii="Cambria Math" w:hAnsi="Cambria Math"/>
                <w:i/>
              </w:rPr>
            </m:ctrlPr>
          </m:sSubPr>
          <m:e>
            <m:r>
              <w:rPr>
                <w:rFonts w:ascii="Cambria Math" w:hAnsi="Cambria Math"/>
              </w:rPr>
              <m:t>Φ</m:t>
            </m:r>
          </m:e>
          <m:sub>
            <m:r>
              <w:rPr>
                <w:rFonts w:ascii="Cambria Math" w:hAnsi="Cambria Math"/>
              </w:rPr>
              <m:t>obs</m:t>
            </m:r>
          </m:sub>
        </m:sSub>
      </m:oMath>
      <w:r>
        <w:t>), fitted parameters (</w:t>
      </w:r>
      <m:oMath>
        <m:r>
          <w:rPr>
            <w:rFonts w:ascii="Cambria Math" w:hAnsi="Cambria Math"/>
          </w:rPr>
          <m:t>Q</m:t>
        </m:r>
      </m:oMath>
      <w:r>
        <w:t>), and visualisation-only panels (depth map, 3D surface, orbit trajectories). This transparency is rare in phenomenological galaxy modelling and makes the atlas directly auditable.</w:t>
      </w:r>
    </w:p>
    <w:p w14:paraId="4DB6F060" w14:textId="24689259" w:rsidR="00E34C95" w:rsidRDefault="009900EF">
      <w:pPr>
        <w:pStyle w:val="Heading2"/>
        <w:spacing w:before="300"/>
      </w:pPr>
      <w:r>
        <w:t>7.2 Minimal</w:t>
      </w:r>
      <w:r w:rsidR="00000000">
        <w:t xml:space="preserve"> </w:t>
      </w:r>
      <w:r>
        <w:t>Parametrization</w:t>
      </w:r>
    </w:p>
    <w:p w14:paraId="7E30722E" w14:textId="642E4B1C" w:rsidR="00E34C95" w:rsidRDefault="00000000">
      <w:pPr>
        <w:spacing w:before="60" w:after="100" w:line="340" w:lineRule="auto"/>
      </w:pPr>
      <w:r>
        <w:t xml:space="preserve">One free parameter per galaxy — </w:t>
      </w:r>
      <m:oMath>
        <m:r>
          <w:rPr>
            <w:rFonts w:ascii="Cambria Math" w:hAnsi="Cambria Math"/>
          </w:rPr>
          <m:t>Q</m:t>
        </m:r>
      </m:oMath>
      <w:r>
        <w:t xml:space="preserve"> — is an extraordinary degree of parsimony for a model that must account for the full rotational-velocity profile of a disc galaxy over radii spanning 0.1 to 80+ kpc. The Baryonic Tully-Fisher relation, arguably the most surprising regularity in galaxy dynamics, involves essentially one parameter (</w:t>
      </w:r>
      <m:oMath>
        <m:sSub>
          <m:sSubPr>
            <m:ctrlPr>
              <w:rPr>
                <w:rFonts w:ascii="Cambria Math" w:hAnsi="Cambria Math"/>
                <w:i/>
              </w:rPr>
            </m:ctrlPr>
          </m:sSubPr>
          <m:e>
            <m:r>
              <w:rPr>
                <w:rFonts w:ascii="Cambria Math" w:hAnsi="Cambria Math"/>
              </w:rPr>
              <m:t>V</m:t>
            </m:r>
          </m:e>
          <m:sub>
            <m:r>
              <w:rPr>
                <w:rFonts w:ascii="Cambria Math" w:hAnsi="Cambria Math"/>
              </w:rPr>
              <m:t>flat</m:t>
            </m:r>
          </m:sub>
        </m:sSub>
      </m:oMath>
      <w:r>
        <w:t>). The fact that a one-parameter edge-response model can recover adequate fits across 92% of the catalogue is a strong empirical statement.</w:t>
      </w:r>
    </w:p>
    <w:p w14:paraId="239950B7" w14:textId="1836235B" w:rsidR="00E34C95" w:rsidRDefault="009900EF">
      <w:pPr>
        <w:pStyle w:val="Heading2"/>
        <w:spacing w:before="300"/>
      </w:pPr>
      <w:r>
        <w:t>7.3 Global</w:t>
      </w:r>
      <w:r w:rsidR="00000000">
        <w:t xml:space="preserve"> </w:t>
      </w:r>
      <w:r>
        <w:t>Normalization</w:t>
      </w:r>
      <w:r w:rsidR="00000000">
        <w:t xml:space="preserve"> Enables Cross-Galaxy Comparison</w:t>
      </w:r>
    </w:p>
    <w:p w14:paraId="4BBA35A6" w14:textId="74DA6669" w:rsidR="00E34C95" w:rsidRDefault="00000000">
      <w:pPr>
        <w:spacing w:before="60" w:after="100" w:line="340" w:lineRule="auto"/>
      </w:pPr>
      <w:r>
        <w:t xml:space="preserve">The use of a global 95th-percentile depth </w:t>
      </w:r>
      <w:r w:rsidR="009900EF">
        <w:t>normalization</w:t>
      </w:r>
      <w:r>
        <w:t xml:space="preserve"> across all 175 galaxies in the fabric panels transforms the atlas from a collection of independent rotation-curve fits into a visually comparable, cross-galaxy field-depth survey. A reader can immediately rank galaxies by potential depth by comparing Panel 3 intensities, independent of individual galaxy scale.</w:t>
      </w:r>
    </w:p>
    <w:p w14:paraId="41A911D9" w14:textId="4F3A8A14" w:rsidR="00E34C95" w:rsidRDefault="009900EF">
      <w:pPr>
        <w:pStyle w:val="Heading2"/>
        <w:spacing w:before="300"/>
      </w:pPr>
      <w:r>
        <w:t>7.4 Falsifiability</w:t>
      </w:r>
      <w:r w:rsidR="00000000">
        <w:t xml:space="preserve"> Scaffolding</w:t>
      </w:r>
    </w:p>
    <w:p w14:paraId="0E1E84EE" w14:textId="32C1BD08" w:rsidR="00E34C95" w:rsidRDefault="00000000">
      <w:pPr>
        <w:spacing w:before="60" w:after="100" w:line="340" w:lineRule="auto"/>
      </w:pPr>
      <w:r>
        <w:t xml:space="preserve">The atlas is explicitly positioned as a falsifiability scaffold. The </w:t>
      </w:r>
      <m:oMath>
        <m:r>
          <w:rPr>
            <w:rFonts w:ascii="Cambria Math" w:hAnsi="Cambria Math"/>
          </w:rPr>
          <m:t>Δ</m:t>
        </m:r>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classification provides a per-galaxy verdict, and the residuals panel identifies specific radial regimes where the model fails. Cases of weak or no improvement (6 galaxies) are transparently reported rather than filtered out, and their physical character (few data points, low baryonic deficit, large uncertainties) is noted explicitly in the atlas report. This intellectual honesty strengthens rather than weakens the manuscript's scientific claims.</w:t>
      </w:r>
    </w:p>
    <w:p w14:paraId="5BD040C4" w14:textId="77777777" w:rsidR="009900EF" w:rsidRDefault="009900EF">
      <w:pPr>
        <w:pStyle w:val="Heading1"/>
        <w:sectPr w:rsidR="009900EF">
          <w:pgSz w:w="12240" w:h="15840"/>
          <w:pgMar w:top="1200" w:right="1200" w:bottom="1200" w:left="1200" w:header="708" w:footer="708" w:gutter="0"/>
          <w:cols w:space="720"/>
          <w:docGrid w:linePitch="360"/>
        </w:sectPr>
      </w:pPr>
    </w:p>
    <w:p w14:paraId="43DE62CC" w14:textId="77777777" w:rsidR="00E34C95" w:rsidRDefault="00000000">
      <w:pPr>
        <w:pStyle w:val="Heading1"/>
      </w:pPr>
      <w:r>
        <w:t>8.  Limitations, Caveats, and Open Questions</w:t>
      </w:r>
    </w:p>
    <w:p w14:paraId="4580F8C3" w14:textId="77777777" w:rsidR="00E34C95" w:rsidRDefault="00E34C95">
      <w:pPr>
        <w:pBdr>
          <w:bottom w:val="single" w:sz="4" w:space="1" w:color="2B4F76"/>
        </w:pBdr>
      </w:pPr>
    </w:p>
    <w:p w14:paraId="7FD423B5" w14:textId="77777777" w:rsidR="00E34C95" w:rsidRDefault="00E34C95">
      <w:pPr>
        <w:spacing w:line="60" w:lineRule="auto"/>
      </w:pPr>
    </w:p>
    <w:p w14:paraId="086AD2EA" w14:textId="3B523537" w:rsidR="00E34C95" w:rsidRDefault="009900EF">
      <w:pPr>
        <w:pStyle w:val="Heading2"/>
        <w:spacing w:before="300"/>
      </w:pPr>
      <w:r>
        <w:t>8.1 Model</w:t>
      </w:r>
      <w:r w:rsidR="00000000">
        <w:t xml:space="preserve"> Limitations</w:t>
      </w:r>
    </w:p>
    <w:p w14:paraId="052A0DBD" w14:textId="77777777" w:rsidR="00E34C95" w:rsidRDefault="00000000">
      <w:pPr>
        <w:spacing w:before="60" w:after="100" w:line="340" w:lineRule="auto"/>
      </w:pPr>
      <w:r>
        <w:t>The auxiliary-field edge-response model, while parsimonious and broadly successful, carries several important caveats that must be acknowledged:</w:t>
      </w:r>
    </w:p>
    <w:p w14:paraId="395DBE03" w14:textId="1266ED95" w:rsidR="00E34C95" w:rsidRDefault="00000000">
      <w:pPr>
        <w:pStyle w:val="ListParagraph"/>
        <w:numPr>
          <w:ilvl w:val="0"/>
          <w:numId w:val="2"/>
        </w:numPr>
        <w:spacing w:line="320" w:lineRule="auto"/>
      </w:pPr>
      <w:r>
        <w:t xml:space="preserve">The 1/R-tail </w:t>
      </w:r>
      <w:r w:rsidR="009900EF">
        <w:t>parametrization is</w:t>
      </w:r>
      <w:r>
        <w:t xml:space="preserve"> a simplified ansatz. It does not capture systems where the rotation curve shows complex intermediate-radius features, declining outer curves, or strong kinematic asymmetries.</w:t>
      </w:r>
    </w:p>
    <w:p w14:paraId="5C4F5553" w14:textId="088490C6" w:rsidR="00E34C95" w:rsidRDefault="00000000">
      <w:pPr>
        <w:pStyle w:val="ListParagraph"/>
        <w:numPr>
          <w:ilvl w:val="0"/>
          <w:numId w:val="2"/>
        </w:numPr>
        <w:spacing w:line="320" w:lineRule="auto"/>
      </w:pPr>
      <w:r>
        <w:t>Fixed mass-to-light ratios (</w:t>
      </w:r>
      <m:oMath>
        <m:sSub>
          <m:sSubPr>
            <m:ctrlPr>
              <w:rPr>
                <w:rFonts w:ascii="Cambria Math" w:hAnsi="Cambria Math"/>
                <w:i/>
              </w:rPr>
            </m:ctrlPr>
          </m:sSubPr>
          <m:e>
            <m:r>
              <w:rPr>
                <w:rFonts w:ascii="Cambria Math" w:hAnsi="Cambria Math"/>
              </w:rPr>
              <m:t>Υ</m:t>
            </m:r>
          </m:e>
          <m:sub>
            <m:r>
              <w:rPr>
                <w:rFonts w:ascii="Cambria Math" w:hAnsi="Cambria Math"/>
              </w:rPr>
              <m:t>disk</m:t>
            </m:r>
          </m:sub>
        </m:sSub>
        <m:r>
          <w:rPr>
            <w:rFonts w:ascii="Cambria Math" w:hAnsi="Cambria Math"/>
          </w:rPr>
          <m:t>=0.5</m:t>
        </m:r>
      </m:oMath>
      <w:r>
        <w:t xml:space="preserve">, </w:t>
      </w:r>
      <m:oMath>
        <m:sSub>
          <m:sSubPr>
            <m:ctrlPr>
              <w:rPr>
                <w:rFonts w:ascii="Cambria Math" w:hAnsi="Cambria Math"/>
                <w:i/>
              </w:rPr>
            </m:ctrlPr>
          </m:sSubPr>
          <m:e>
            <m:r>
              <w:rPr>
                <w:rFonts w:ascii="Cambria Math" w:hAnsi="Cambria Math"/>
              </w:rPr>
              <m:t>Υ</m:t>
            </m:r>
          </m:e>
          <m:sub>
            <m:r>
              <w:rPr>
                <w:rFonts w:ascii="Cambria Math" w:hAnsi="Cambria Math"/>
              </w:rPr>
              <m:t>bul</m:t>
            </m:r>
          </m:sub>
        </m:sSub>
        <m:r>
          <w:rPr>
            <w:rFonts w:ascii="Cambria Math" w:hAnsi="Cambria Math"/>
          </w:rPr>
          <m:t>=0.7</m:t>
        </m:r>
      </m:oMath>
      <w:r>
        <w:t xml:space="preserve">) introduce a source of systematic error. Galaxy-by-galaxy photometric modelling would tighten the baryonic baseline and sharpen the inference on </w:t>
      </w:r>
      <m:oMath>
        <m:r>
          <w:rPr>
            <w:rFonts w:ascii="Cambria Math" w:hAnsi="Cambria Math"/>
          </w:rPr>
          <m:t>Q</m:t>
        </m:r>
      </m:oMath>
      <w:r>
        <w:t>.</w:t>
      </w:r>
    </w:p>
    <w:p w14:paraId="6A8941FE" w14:textId="77777777" w:rsidR="00E34C95" w:rsidRDefault="00000000">
      <w:pPr>
        <w:pStyle w:val="ListParagraph"/>
        <w:numPr>
          <w:ilvl w:val="0"/>
          <w:numId w:val="2"/>
        </w:numPr>
        <w:spacing w:line="320" w:lineRule="auto"/>
      </w:pPr>
      <w:r>
        <w:t>The model is spherically symmetric in its analytical motivation. Disc geometry, non-circular motions, and bar-induced streaming are not captured.</w:t>
      </w:r>
    </w:p>
    <w:p w14:paraId="2EB59C3E" w14:textId="69AA4F9C" w:rsidR="00E34C95" w:rsidRDefault="00000000">
      <w:pPr>
        <w:pStyle w:val="ListParagraph"/>
        <w:numPr>
          <w:ilvl w:val="0"/>
          <w:numId w:val="2"/>
        </w:numPr>
        <w:spacing w:line="320" w:lineRule="auto"/>
      </w:pPr>
      <w:r>
        <w:t xml:space="preserve">The transition radius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t xml:space="preserve"> is derived from </w:t>
      </w:r>
      <m:oMath>
        <m:sSub>
          <m:sSubPr>
            <m:ctrlPr>
              <w:rPr>
                <w:rFonts w:ascii="Cambria Math" w:hAnsi="Cambria Math"/>
                <w:i/>
              </w:rPr>
            </m:ctrlPr>
          </m:sSubPr>
          <m:e>
            <m:r>
              <w:rPr>
                <w:rFonts w:ascii="Cambria Math" w:hAnsi="Cambria Math"/>
              </w:rPr>
              <m:t>g</m:t>
            </m:r>
          </m:e>
          <m:sub>
            <m:r>
              <w:rPr>
                <w:rFonts w:ascii="Cambria Math" w:hAnsi="Cambria Math"/>
              </w:rPr>
              <m:t>bar</m:t>
            </m:r>
          </m:sub>
        </m:sSub>
      </m:oMath>
      <w:r>
        <w:t xml:space="preserve"> alone. A more self-consistent closure would tie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t xml:space="preserve"> to properties of the full metric field.</w:t>
      </w:r>
    </w:p>
    <w:p w14:paraId="0837D0BE" w14:textId="18043C5C" w:rsidR="00E34C95" w:rsidRDefault="009900EF">
      <w:pPr>
        <w:pStyle w:val="Heading2"/>
        <w:spacing w:before="300"/>
      </w:pPr>
      <w:r>
        <w:t>8.2 Visualization</w:t>
      </w:r>
      <w:r w:rsidR="00000000">
        <w:t xml:space="preserve"> Non-Claims</w:t>
      </w:r>
    </w:p>
    <w:p w14:paraId="604FB0CF" w14:textId="77777777" w:rsidR="00E34C95" w:rsidRDefault="00000000">
      <w:pPr>
        <w:spacing w:before="60" w:after="100" w:line="340" w:lineRule="auto"/>
      </w:pPr>
      <w:r>
        <w:t>The atlas documentation is explicit about what the visual panels do not claim, and this report reiterates those caveats:</w:t>
      </w:r>
    </w:p>
    <w:p w14:paraId="6C3EE058" w14:textId="77777777" w:rsidR="00E34C95" w:rsidRDefault="00000000">
      <w:pPr>
        <w:pStyle w:val="ListParagraph"/>
        <w:numPr>
          <w:ilvl w:val="0"/>
          <w:numId w:val="2"/>
        </w:numPr>
        <w:spacing w:line="320" w:lineRule="auto"/>
      </w:pPr>
      <w:r>
        <w:t>The dyed-fabric panel is NOT a GR embedding diagram and NOT a reconstructed 3D mass distribution.</w:t>
      </w:r>
    </w:p>
    <w:p w14:paraId="4331866E" w14:textId="77777777" w:rsidR="00E34C95" w:rsidRDefault="00000000">
      <w:pPr>
        <w:pStyle w:val="ListParagraph"/>
        <w:numPr>
          <w:ilvl w:val="0"/>
          <w:numId w:val="2"/>
        </w:numPr>
        <w:spacing w:line="320" w:lineRule="auto"/>
      </w:pPr>
      <w:r>
        <w:t>The 3D proxy surface represents kpc-scaled pseudo-depth, not a physical embedding height.</w:t>
      </w:r>
    </w:p>
    <w:p w14:paraId="5DFF0A8B" w14:textId="77777777" w:rsidR="00E34C95" w:rsidRDefault="00000000">
      <w:pPr>
        <w:pStyle w:val="ListParagraph"/>
        <w:numPr>
          <w:ilvl w:val="0"/>
          <w:numId w:val="2"/>
        </w:numPr>
        <w:spacing w:line="320" w:lineRule="auto"/>
      </w:pPr>
      <w:r>
        <w:t>The orbit map integrates Newtonian test-particle trajectories, not GR geodesics.</w:t>
      </w:r>
    </w:p>
    <w:p w14:paraId="1C445582" w14:textId="77777777" w:rsidR="00E34C95" w:rsidRDefault="00000000">
      <w:pPr>
        <w:pStyle w:val="ListParagraph"/>
        <w:numPr>
          <w:ilvl w:val="0"/>
          <w:numId w:val="2"/>
        </w:numPr>
        <w:spacing w:line="320" w:lineRule="auto"/>
      </w:pPr>
      <w:r>
        <w:t>Azimuthal structure visible in Panel 3 is a consequence of the rotationally symmetric rendering algorithm, not a measurement of disc asymmetry.</w:t>
      </w:r>
    </w:p>
    <w:p w14:paraId="04911BFF" w14:textId="517B0EBF" w:rsidR="00E34C95" w:rsidRDefault="009900EF">
      <w:pPr>
        <w:pStyle w:val="Heading2"/>
        <w:spacing w:before="300"/>
      </w:pPr>
      <w:r>
        <w:t>8.3 Outstanding</w:t>
      </w:r>
      <w:r w:rsidR="00000000">
        <w:t xml:space="preserve"> Physics Questions</w:t>
      </w:r>
    </w:p>
    <w:p w14:paraId="4DEBA8DA" w14:textId="77777777" w:rsidR="00E34C95" w:rsidRDefault="00000000">
      <w:pPr>
        <w:spacing w:before="60" w:after="100" w:line="340" w:lineRule="auto"/>
      </w:pPr>
      <w:r>
        <w:t>The atlas results motivate but do not resolve several fundamental open questions that the manuscript candidly enumerates:</w:t>
      </w:r>
    </w:p>
    <w:p w14:paraId="64B99B45" w14:textId="77777777" w:rsidR="00E34C95" w:rsidRDefault="00000000">
      <w:pPr>
        <w:pStyle w:val="ListParagraph"/>
        <w:numPr>
          <w:ilvl w:val="0"/>
          <w:numId w:val="2"/>
        </w:numPr>
        <w:spacing w:line="320" w:lineRule="auto"/>
      </w:pPr>
      <w:r>
        <w:t>What is the precise EFT action that generates boundary-layer modes of the required amplitude and radial profile?</w:t>
      </w:r>
    </w:p>
    <w:p w14:paraId="3F868B5F" w14:textId="77777777" w:rsidR="00E34C95" w:rsidRDefault="00000000">
      <w:pPr>
        <w:pStyle w:val="ListParagraph"/>
        <w:numPr>
          <w:ilvl w:val="0"/>
          <w:numId w:val="2"/>
        </w:numPr>
        <w:spacing w:line="320" w:lineRule="auto"/>
      </w:pPr>
      <w:r>
        <w:t>How does the intrinsic-mechanics mechanism behave in non-spherical, time-dependent, or tidally perturbed systems?</w:t>
      </w:r>
    </w:p>
    <w:p w14:paraId="279D852B" w14:textId="7008E74F" w:rsidR="00E34C95" w:rsidRDefault="00000000">
      <w:pPr>
        <w:pStyle w:val="ListParagraph"/>
        <w:numPr>
          <w:ilvl w:val="0"/>
          <w:numId w:val="2"/>
        </w:numPr>
        <w:spacing w:line="320" w:lineRule="auto"/>
      </w:pPr>
      <w:r>
        <w:t>Can the approach reproduce gravitational lensing observations without gravitational slip (</w:t>
      </w:r>
      <m:oMath>
        <m:r>
          <w:rPr>
            <w:rFonts w:ascii="Cambria Math" w:hAnsi="Cambria Math"/>
          </w:rPr>
          <m:t>Φ ≠ Ψ</m:t>
        </m:r>
      </m:oMath>
      <w:r>
        <w:t>) at a detectable level?</w:t>
      </w:r>
    </w:p>
    <w:p w14:paraId="610A8B4D" w14:textId="77777777" w:rsidR="00E34C95" w:rsidRDefault="00000000">
      <w:pPr>
        <w:pStyle w:val="ListParagraph"/>
        <w:numPr>
          <w:ilvl w:val="0"/>
          <w:numId w:val="2"/>
        </w:numPr>
        <w:spacing w:line="320" w:lineRule="auto"/>
      </w:pPr>
      <w:r>
        <w:t>Is the mechanism consistent with CMB anisotropies and large-scale structure power spectra — observables that are notoriously successful for CDM?</w:t>
      </w:r>
    </w:p>
    <w:p w14:paraId="6C8EEA27" w14:textId="77777777" w:rsidR="00E34C95" w:rsidRDefault="00000000">
      <w:pPr>
        <w:pStyle w:val="ListParagraph"/>
        <w:numPr>
          <w:ilvl w:val="0"/>
          <w:numId w:val="2"/>
        </w:numPr>
        <w:spacing w:line="320" w:lineRule="auto"/>
      </w:pPr>
      <w:r>
        <w:t>What is the predicted environmental dependence of Q? Do isolated galaxies differ systematically from group members?</w:t>
      </w:r>
    </w:p>
    <w:p w14:paraId="41B9CA90" w14:textId="7045A2B9" w:rsidR="00E34C95" w:rsidRDefault="009900EF">
      <w:pPr>
        <w:pStyle w:val="Heading2"/>
        <w:spacing w:before="300"/>
      </w:pPr>
      <w:r>
        <w:t>8.4 Scope</w:t>
      </w:r>
      <w:r w:rsidR="00000000">
        <w:t xml:space="preserve"> of the Current Claim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34C95" w14:paraId="09CF9CAD" w14:textId="77777777">
        <w:tblPrEx>
          <w:tblCellMar>
            <w:top w:w="0" w:type="dxa"/>
            <w:bottom w:w="0" w:type="dxa"/>
          </w:tblCellMar>
        </w:tblPrEx>
        <w:tc>
          <w:tcPr>
            <w:tcW w:w="9360" w:type="dxa"/>
            <w:tcBorders>
              <w:left w:val="thick" w:sz="12" w:space="0" w:color="C9922A"/>
            </w:tcBorders>
            <w:shd w:val="clear" w:color="auto" w:fill="FFF8E1"/>
            <w:tcMar>
              <w:top w:w="120" w:type="dxa"/>
              <w:left w:w="200" w:type="dxa"/>
              <w:bottom w:w="120" w:type="dxa"/>
              <w:right w:w="160" w:type="dxa"/>
            </w:tcMar>
          </w:tcPr>
          <w:p w14:paraId="0F9CBB79" w14:textId="77777777" w:rsidR="00E34C95" w:rsidRDefault="00000000">
            <w:pPr>
              <w:spacing w:after="60"/>
            </w:pPr>
            <w:r>
              <w:rPr>
                <w:b/>
                <w:bCs/>
                <w:color w:val="C9922A"/>
                <w:sz w:val="20"/>
                <w:szCs w:val="20"/>
              </w:rPr>
              <w:t>Epistemic Boundary</w:t>
            </w:r>
          </w:p>
          <w:p w14:paraId="0AD0DD8A" w14:textId="77777777" w:rsidR="00E34C95" w:rsidRDefault="00000000">
            <w:pPr>
              <w:spacing w:line="320" w:lineRule="auto"/>
            </w:pPr>
            <w:r>
              <w:rPr>
                <w:sz w:val="21"/>
                <w:szCs w:val="21"/>
              </w:rPr>
              <w:t>The atlas and the manuscript do not claim that intrinsic spacetime mechanics is the correct explanation for the dark-matter problem. They claim that a minimal, physically motivated, one-parameter model instantiating the intrinsic-mechanics hypothesis achieves statistically significant rotation-curve improvement in 92% of a diverse 175-galaxy sample. This is presented as a compelling motivation for further theoretical development and for designing observational discriminants between the intrinsic-mechanics and CDM paradigms.</w:t>
            </w:r>
          </w:p>
        </w:tc>
      </w:tr>
    </w:tbl>
    <w:p w14:paraId="7CBA4C65" w14:textId="77777777" w:rsidR="00E34C95" w:rsidRDefault="00000000">
      <w:pPr>
        <w:pStyle w:val="Heading1"/>
      </w:pPr>
      <w:r>
        <w:t>9.  Philosophical and Historical Context</w:t>
      </w:r>
    </w:p>
    <w:p w14:paraId="1211BDB3" w14:textId="77777777" w:rsidR="00E34C95" w:rsidRDefault="00E34C95">
      <w:pPr>
        <w:pBdr>
          <w:bottom w:val="single" w:sz="4" w:space="1" w:color="2B4F76"/>
        </w:pBdr>
      </w:pPr>
    </w:p>
    <w:p w14:paraId="4DA72B02" w14:textId="77777777" w:rsidR="00E34C95" w:rsidRDefault="00E34C95">
      <w:pPr>
        <w:spacing w:line="60" w:lineRule="auto"/>
      </w:pPr>
    </w:p>
    <w:p w14:paraId="3E961D98" w14:textId="77777777" w:rsidR="009900EF" w:rsidRDefault="00000000">
      <w:pPr>
        <w:spacing w:before="60" w:after="100" w:line="340" w:lineRule="auto"/>
      </w:pPr>
      <w:r>
        <w:t xml:space="preserve">The Spacetime Mechanics manuscript situates its hypothesis within a rich tradition of theory choice under underdetermination. The nineteenth-century search for the planet Vulcan to explain Mercury's perihelion precession serves as a paradigmatic cautionary tale: a matter-based explanation (an unseen planet) was pursued for decades before Einstein's GR provided an intrinsic geometric resolution. The parallel to the contemporary dark-matter problem is not merely rhetorical — it reflects a genuine philosophical symmetry. In both cases: </w:t>
      </w:r>
    </w:p>
    <w:p w14:paraId="5CAAA1EB" w14:textId="3182E477" w:rsidR="009900EF" w:rsidRDefault="00000000" w:rsidP="009900EF">
      <w:pPr>
        <w:pStyle w:val="ListParagraph"/>
        <w:numPr>
          <w:ilvl w:val="0"/>
          <w:numId w:val="3"/>
        </w:numPr>
        <w:spacing w:before="60" w:after="100" w:line="340" w:lineRule="auto"/>
      </w:pPr>
      <w:r>
        <w:t xml:space="preserve">the anomalous force is real; </w:t>
      </w:r>
    </w:p>
    <w:p w14:paraId="7BEE70DC" w14:textId="1421A784" w:rsidR="009900EF" w:rsidRDefault="00000000" w:rsidP="009900EF">
      <w:pPr>
        <w:pStyle w:val="ListParagraph"/>
        <w:numPr>
          <w:ilvl w:val="0"/>
          <w:numId w:val="3"/>
        </w:numPr>
        <w:spacing w:before="60" w:after="100" w:line="340" w:lineRule="auto"/>
      </w:pPr>
      <w:r>
        <w:t xml:space="preserve">matter-based and geometry-based explanations are both logically admissible; </w:t>
      </w:r>
    </w:p>
    <w:p w14:paraId="2129C14C" w14:textId="015A00E0" w:rsidR="00E34C95" w:rsidRDefault="00000000" w:rsidP="009900EF">
      <w:pPr>
        <w:pStyle w:val="ListParagraph"/>
        <w:numPr>
          <w:ilvl w:val="0"/>
          <w:numId w:val="3"/>
        </w:numPr>
        <w:spacing w:before="60" w:after="100" w:line="340" w:lineRule="auto"/>
      </w:pPr>
      <w:r>
        <w:t>theoretical parsimony and coherence with established field theory provide non-trivial guidance.</w:t>
      </w:r>
    </w:p>
    <w:p w14:paraId="59E944B8" w14:textId="77777777" w:rsidR="00E34C95" w:rsidRDefault="00000000">
      <w:pPr>
        <w:spacing w:before="60" w:after="100" w:line="340" w:lineRule="auto"/>
      </w:pPr>
      <w:r>
        <w:t>The manuscript's philosophical stance is one of epistemic humility and pluralism. It argues that the persistent failure of direct-detection experiments, combined with the empirical success of MOND-like scaling relations (particularly the Radial Acceleration Relation), warrants serious exploration of alternatives to particulate CDM within the existing GR + EFT framework. This is not a rejection of dark matter as a possibility — it is an argument that the conceptual space of gravitational theory contains viable alternatives that are underexplored.</w:t>
      </w:r>
    </w:p>
    <w:p w14:paraId="64FE24F4" w14:textId="4339D218" w:rsidR="00E34C95" w:rsidRDefault="00000000">
      <w:pPr>
        <w:spacing w:before="60" w:after="100" w:line="340" w:lineRule="auto"/>
      </w:pPr>
      <w:r>
        <w:t>Intrinsic spacetime mechanics shares conceptual space with backreaction models (Buchert 2000), emergent gravity (Verlinde 2017), and nonlocal gravity (</w:t>
      </w:r>
      <w:proofErr w:type="spellStart"/>
      <w:r>
        <w:t>Deser</w:t>
      </w:r>
      <w:proofErr w:type="spellEnd"/>
      <w:r>
        <w:t xml:space="preserve"> &amp; Woodard 2007), but is distinct in its focus: it does not modify the Einstein-Hilbert action, does not claim entropic origins, and does not introduce infrared modifications. Its domain of relevance is boundary-layer and harmonic metric </w:t>
      </w:r>
      <w:r w:rsidR="009900EF">
        <w:t>behavior</w:t>
      </w:r>
      <w:r>
        <w:t xml:space="preserve"> in the specific dynamical regime of galactic outskirts.</w:t>
      </w:r>
    </w:p>
    <w:p w14:paraId="1FB2ECAD" w14:textId="77777777" w:rsidR="009900EF" w:rsidRDefault="009900EF">
      <w:pPr>
        <w:pStyle w:val="Heading1"/>
        <w:sectPr w:rsidR="009900EF">
          <w:pgSz w:w="12240" w:h="15840"/>
          <w:pgMar w:top="1200" w:right="1200" w:bottom="1200" w:left="1200" w:header="708" w:footer="708" w:gutter="0"/>
          <w:cols w:space="720"/>
          <w:docGrid w:linePitch="360"/>
        </w:sectPr>
      </w:pPr>
    </w:p>
    <w:p w14:paraId="04DC83E1" w14:textId="77777777" w:rsidR="00E34C95" w:rsidRDefault="00000000">
      <w:pPr>
        <w:pStyle w:val="Heading1"/>
      </w:pPr>
      <w:r>
        <w:t>10.  Conclusions &amp; Assessment</w:t>
      </w:r>
    </w:p>
    <w:p w14:paraId="1ABBFD0C" w14:textId="77777777" w:rsidR="00E34C95" w:rsidRDefault="00E34C95">
      <w:pPr>
        <w:pBdr>
          <w:bottom w:val="single" w:sz="6" w:space="1" w:color="C9922A"/>
        </w:pBdr>
      </w:pPr>
    </w:p>
    <w:p w14:paraId="38E77294" w14:textId="77777777" w:rsidR="00E34C95" w:rsidRDefault="00E34C95">
      <w:pPr>
        <w:spacing w:line="60" w:lineRule="auto"/>
      </w:pPr>
    </w:p>
    <w:p w14:paraId="22235A9B" w14:textId="77777777" w:rsidR="00E34C95" w:rsidRDefault="00000000">
      <w:pPr>
        <w:spacing w:before="60" w:after="100" w:line="340" w:lineRule="auto"/>
      </w:pPr>
      <w:r>
        <w:t>The Dyed-Spacetime SPARC Atlas represents a rigorous, visually rich, and epistemically transparent application of the intrinsic spacetime mechanics hypothesis to a large, diverse, real-data galaxy sample. This analysis yields the following principal conclusions: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34C95" w14:paraId="23DC5D61" w14:textId="77777777">
        <w:tblPrEx>
          <w:tblCellMar>
            <w:top w:w="0" w:type="dxa"/>
            <w:bottom w:w="0" w:type="dxa"/>
          </w:tblCellMar>
        </w:tblPrEx>
        <w:tc>
          <w:tcPr>
            <w:tcW w:w="4680" w:type="dxa"/>
            <w:tcBorders>
              <w:top w:val="single" w:sz="1" w:space="0" w:color="D8DCE2"/>
              <w:left w:val="single" w:sz="1" w:space="0" w:color="D8DCE2"/>
              <w:bottom w:val="single" w:sz="1" w:space="0" w:color="D8DCE2"/>
              <w:right w:val="single" w:sz="1" w:space="0" w:color="D8DCE2"/>
            </w:tcBorders>
            <w:shd w:val="clear" w:color="auto" w:fill="0D1B2A"/>
            <w:tcMar>
              <w:top w:w="80" w:type="dxa"/>
              <w:left w:w="140" w:type="dxa"/>
              <w:bottom w:w="80" w:type="dxa"/>
              <w:right w:w="140" w:type="dxa"/>
            </w:tcMar>
            <w:vAlign w:val="center"/>
          </w:tcPr>
          <w:p w14:paraId="4157A0AF" w14:textId="77777777" w:rsidR="00E34C95" w:rsidRDefault="00000000">
            <w:r>
              <w:rPr>
                <w:b/>
                <w:bCs/>
                <w:color w:val="FFFFFF"/>
                <w:sz w:val="20"/>
                <w:szCs w:val="20"/>
              </w:rPr>
              <w:t>Assessment Dimension</w:t>
            </w:r>
          </w:p>
        </w:tc>
        <w:tc>
          <w:tcPr>
            <w:tcW w:w="4680" w:type="dxa"/>
            <w:tcBorders>
              <w:top w:val="single" w:sz="1" w:space="0" w:color="D8DCE2"/>
              <w:left w:val="single" w:sz="1" w:space="0" w:color="D8DCE2"/>
              <w:bottom w:val="single" w:sz="1" w:space="0" w:color="D8DCE2"/>
              <w:right w:val="single" w:sz="1" w:space="0" w:color="D8DCE2"/>
            </w:tcBorders>
            <w:shd w:val="clear" w:color="auto" w:fill="0D1B2A"/>
            <w:tcMar>
              <w:top w:w="80" w:type="dxa"/>
              <w:left w:w="140" w:type="dxa"/>
              <w:bottom w:w="80" w:type="dxa"/>
              <w:right w:w="140" w:type="dxa"/>
            </w:tcMar>
            <w:vAlign w:val="center"/>
          </w:tcPr>
          <w:p w14:paraId="59BC3223" w14:textId="77777777" w:rsidR="00E34C95" w:rsidRDefault="00000000">
            <w:pPr>
              <w:jc w:val="center"/>
            </w:pPr>
            <w:r>
              <w:rPr>
                <w:b/>
                <w:bCs/>
                <w:color w:val="FFFFFF"/>
                <w:sz w:val="20"/>
                <w:szCs w:val="20"/>
              </w:rPr>
              <w:t>Finding</w:t>
            </w:r>
          </w:p>
        </w:tc>
      </w:tr>
      <w:tr w:rsidR="00E34C95" w14:paraId="3D3BA0F7" w14:textId="77777777">
        <w:tblPrEx>
          <w:tblCellMar>
            <w:top w:w="0" w:type="dxa"/>
            <w:bottom w:w="0" w:type="dxa"/>
          </w:tblCellMar>
        </w:tblPrEx>
        <w:tc>
          <w:tcPr>
            <w:tcW w:w="468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57F724F5" w14:textId="77777777" w:rsidR="00E34C95" w:rsidRDefault="00000000">
            <w:r>
              <w:rPr>
                <w:sz w:val="20"/>
                <w:szCs w:val="20"/>
              </w:rPr>
              <w:t>Atlas scope</w:t>
            </w:r>
          </w:p>
        </w:tc>
        <w:tc>
          <w:tcPr>
            <w:tcW w:w="468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3F51B939" w14:textId="37D388CC" w:rsidR="00E34C95" w:rsidRDefault="00000000">
            <w:pPr>
              <w:jc w:val="center"/>
            </w:pPr>
            <w:r>
              <w:rPr>
                <w:sz w:val="20"/>
                <w:szCs w:val="20"/>
              </w:rPr>
              <w:t>175 galaxies spanning dwarfs (</w:t>
            </w:r>
            <m:oMath>
              <m:r>
                <w:rPr>
                  <w:rFonts w:ascii="Cambria Math" w:hAnsi="Cambria Math"/>
                  <w:sz w:val="20"/>
                  <w:szCs w:val="20"/>
                </w:rPr>
                <m:t>D = 0.98 Mpc</m:t>
              </m:r>
            </m:oMath>
            <w:r>
              <w:rPr>
                <w:sz w:val="20"/>
                <w:szCs w:val="20"/>
              </w:rPr>
              <w:t>) to massive spirals (</w:t>
            </w:r>
            <m:oMath>
              <m:r>
                <w:rPr>
                  <w:rFonts w:ascii="Cambria Math" w:hAnsi="Cambria Math"/>
                  <w:sz w:val="20"/>
                  <w:szCs w:val="20"/>
                </w:rPr>
                <m:t>D = 97 Mpc</m:t>
              </m:r>
            </m:oMath>
            <w:r>
              <w:rPr>
                <w:sz w:val="20"/>
                <w:szCs w:val="20"/>
              </w:rPr>
              <w:t>)</w:t>
            </w:r>
          </w:p>
        </w:tc>
      </w:tr>
      <w:tr w:rsidR="00E34C95" w14:paraId="7D339F68" w14:textId="77777777">
        <w:tblPrEx>
          <w:tblCellMar>
            <w:top w:w="0" w:type="dxa"/>
            <w:bottom w:w="0" w:type="dxa"/>
          </w:tblCellMar>
        </w:tblPrEx>
        <w:tc>
          <w:tcPr>
            <w:tcW w:w="468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339AF4BB" w14:textId="77777777" w:rsidR="00E34C95" w:rsidRDefault="00000000">
            <w:r>
              <w:rPr>
                <w:sz w:val="20"/>
                <w:szCs w:val="20"/>
              </w:rPr>
              <w:t>Model parsimony</w:t>
            </w:r>
          </w:p>
        </w:tc>
        <w:tc>
          <w:tcPr>
            <w:tcW w:w="468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5AAB6AF8" w14:textId="61A2221D" w:rsidR="00E34C95" w:rsidRDefault="00000000">
            <w:pPr>
              <w:jc w:val="center"/>
            </w:pPr>
            <w:r>
              <w:rPr>
                <w:sz w:val="20"/>
                <w:szCs w:val="20"/>
              </w:rPr>
              <w:t xml:space="preserve">One free parameter </w:t>
            </w:r>
            <m:oMath>
              <m:r>
                <w:rPr>
                  <w:rFonts w:ascii="Cambria Math" w:hAnsi="Cambria Math"/>
                  <w:sz w:val="20"/>
                  <w:szCs w:val="20"/>
                </w:rPr>
                <m:t>Q</m:t>
              </m:r>
            </m:oMath>
            <w:r>
              <w:rPr>
                <w:sz w:val="20"/>
                <w:szCs w:val="20"/>
              </w:rPr>
              <w:t xml:space="preserve"> per galaxy; baryonic templates fixed globally</w:t>
            </w:r>
          </w:p>
        </w:tc>
      </w:tr>
      <w:tr w:rsidR="00E34C95" w14:paraId="022ED5F4" w14:textId="77777777">
        <w:tblPrEx>
          <w:tblCellMar>
            <w:top w:w="0" w:type="dxa"/>
            <w:bottom w:w="0" w:type="dxa"/>
          </w:tblCellMar>
        </w:tblPrEx>
        <w:tc>
          <w:tcPr>
            <w:tcW w:w="468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40774787" w14:textId="77777777" w:rsidR="00E34C95" w:rsidRDefault="00000000">
            <w:r>
              <w:rPr>
                <w:sz w:val="20"/>
                <w:szCs w:val="20"/>
              </w:rPr>
              <w:t>Statistical power</w:t>
            </w:r>
          </w:p>
        </w:tc>
        <w:tc>
          <w:tcPr>
            <w:tcW w:w="468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3AFFCB81" w14:textId="1CF6B5A5" w:rsidR="00E34C95" w:rsidRDefault="00000000">
            <w:pPr>
              <w:jc w:val="center"/>
            </w:pPr>
            <w:r>
              <w:rPr>
                <w:sz w:val="20"/>
                <w:szCs w:val="20"/>
              </w:rPr>
              <w:t xml:space="preserve">161/175 (92%) very-strong </w:t>
            </w:r>
            <m:oMath>
              <m:r>
                <w:rPr>
                  <w:rFonts w:ascii="Cambria Math" w:hAnsi="Cambria Math"/>
                  <w:sz w:val="20"/>
                  <w:szCs w:val="20"/>
                </w:rPr>
                <m:t>Δ</m:t>
              </m:r>
              <m:sSup>
                <m:sSupPr>
                  <m:ctrlPr>
                    <w:rPr>
                      <w:rFonts w:ascii="Cambria Math" w:hAnsi="Cambria Math"/>
                      <w:i/>
                      <w:sz w:val="20"/>
                      <w:szCs w:val="20"/>
                    </w:rPr>
                  </m:ctrlPr>
                </m:sSupPr>
                <m:e>
                  <m:r>
                    <w:rPr>
                      <w:rFonts w:ascii="Cambria Math" w:hAnsi="Cambria Math"/>
                      <w:sz w:val="20"/>
                      <w:szCs w:val="20"/>
                    </w:rPr>
                    <m:t>χ</m:t>
                  </m:r>
                </m:e>
                <m:sup>
                  <m:r>
                    <w:rPr>
                      <w:rFonts w:ascii="Cambria Math" w:hAnsi="Cambria Math"/>
                      <w:sz w:val="20"/>
                      <w:szCs w:val="20"/>
                    </w:rPr>
                    <m:t>2</m:t>
                  </m:r>
                </m:sup>
              </m:sSup>
            </m:oMath>
            <w:r>
              <w:rPr>
                <w:sz w:val="20"/>
                <w:szCs w:val="20"/>
              </w:rPr>
              <w:t xml:space="preserve"> improvement; 5 strong; 9 borderline or worse</w:t>
            </w:r>
          </w:p>
        </w:tc>
      </w:tr>
      <w:tr w:rsidR="00E34C95" w14:paraId="50A946D7" w14:textId="77777777">
        <w:tblPrEx>
          <w:tblCellMar>
            <w:top w:w="0" w:type="dxa"/>
            <w:bottom w:w="0" w:type="dxa"/>
          </w:tblCellMar>
        </w:tblPrEx>
        <w:tc>
          <w:tcPr>
            <w:tcW w:w="468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59D2AD0F" w14:textId="5894C1C4" w:rsidR="00E34C95" w:rsidRDefault="009900EF">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extra</m:t>
                  </m:r>
                </m:sub>
              </m:sSub>
            </m:oMath>
            <w:r w:rsidR="00000000">
              <w:rPr>
                <w:sz w:val="20"/>
                <w:szCs w:val="20"/>
              </w:rPr>
              <w:t xml:space="preserve"> range</w:t>
            </w:r>
          </w:p>
        </w:tc>
        <w:tc>
          <w:tcPr>
            <w:tcW w:w="468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0245F3DE" w14:textId="1456C2E0" w:rsidR="00E34C95" w:rsidRDefault="009900EF">
            <w:pPr>
              <w:jc w:val="center"/>
            </w:pPr>
            <m:oMath>
              <m:r>
                <w:rPr>
                  <w:rFonts w:ascii="Cambria Math" w:hAnsi="Cambria Math"/>
                  <w:sz w:val="20"/>
                  <w:szCs w:val="20"/>
                </w:rPr>
                <m:t>~6 km</m:t>
              </m:r>
              <m:r>
                <m:rPr>
                  <m:lit/>
                </m:rPr>
                <w:rPr>
                  <w:rFonts w:ascii="Cambria Math" w:hAnsi="Cambria Math"/>
                  <w:sz w:val="20"/>
                  <w:szCs w:val="20"/>
                </w:rPr>
                <m:t>/</m:t>
              </m:r>
              <m:r>
                <w:rPr>
                  <w:rFonts w:ascii="Cambria Math" w:hAnsi="Cambria Math"/>
                  <w:sz w:val="20"/>
                  <w:szCs w:val="20"/>
                </w:rPr>
                <m:t>s</m:t>
              </m:r>
            </m:oMath>
            <w:r w:rsidR="00000000">
              <w:rPr>
                <w:sz w:val="20"/>
                <w:szCs w:val="20"/>
              </w:rPr>
              <w:t xml:space="preserve"> (ultra-faint dwarfs) to </w:t>
            </w:r>
            <m:oMath>
              <m:r>
                <w:rPr>
                  <w:rFonts w:ascii="Cambria Math" w:hAnsi="Cambria Math"/>
                  <w:sz w:val="20"/>
                  <w:szCs w:val="20"/>
                </w:rPr>
                <m:t>~220 km</m:t>
              </m:r>
              <m:r>
                <m:rPr>
                  <m:lit/>
                </m:rPr>
                <w:rPr>
                  <w:rFonts w:ascii="Cambria Math" w:hAnsi="Cambria Math"/>
                  <w:sz w:val="20"/>
                  <w:szCs w:val="20"/>
                </w:rPr>
                <m:t>/</m:t>
              </m:r>
              <m:r>
                <w:rPr>
                  <w:rFonts w:ascii="Cambria Math" w:hAnsi="Cambria Math"/>
                  <w:sz w:val="20"/>
                  <w:szCs w:val="20"/>
                </w:rPr>
                <m:t>s</m:t>
              </m:r>
            </m:oMath>
            <w:r w:rsidR="00000000">
              <w:rPr>
                <w:sz w:val="20"/>
                <w:szCs w:val="20"/>
              </w:rPr>
              <w:t xml:space="preserve"> (massive spirals) — scales with mass</w:t>
            </w:r>
          </w:p>
        </w:tc>
      </w:tr>
      <w:tr w:rsidR="00E34C95" w14:paraId="01533469" w14:textId="77777777">
        <w:tblPrEx>
          <w:tblCellMar>
            <w:top w:w="0" w:type="dxa"/>
            <w:bottom w:w="0" w:type="dxa"/>
          </w:tblCellMar>
        </w:tblPrEx>
        <w:tc>
          <w:tcPr>
            <w:tcW w:w="468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090F92FB" w14:textId="77777777" w:rsidR="00E34C95" w:rsidRDefault="00000000">
            <w:r>
              <w:rPr>
                <w:sz w:val="20"/>
                <w:szCs w:val="20"/>
              </w:rPr>
              <w:t>Visual coherence</w:t>
            </w:r>
          </w:p>
        </w:tc>
        <w:tc>
          <w:tcPr>
            <w:tcW w:w="468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35866EBE" w14:textId="77777777" w:rsidR="00E34C95" w:rsidRDefault="00000000">
            <w:pPr>
              <w:jc w:val="center"/>
            </w:pPr>
            <w:r>
              <w:rPr>
                <w:sz w:val="20"/>
                <w:szCs w:val="20"/>
              </w:rPr>
              <w:t>All 175 orbit maps produce qualitatively bound, well-behaved trajectories</w:t>
            </w:r>
          </w:p>
        </w:tc>
      </w:tr>
      <w:tr w:rsidR="00E34C95" w14:paraId="537FD419" w14:textId="77777777">
        <w:tblPrEx>
          <w:tblCellMar>
            <w:top w:w="0" w:type="dxa"/>
            <w:bottom w:w="0" w:type="dxa"/>
          </w:tblCellMar>
        </w:tblPrEx>
        <w:tc>
          <w:tcPr>
            <w:tcW w:w="468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700E5B43" w14:textId="77777777" w:rsidR="00E34C95" w:rsidRDefault="00000000">
            <w:r>
              <w:rPr>
                <w:sz w:val="20"/>
                <w:szCs w:val="20"/>
              </w:rPr>
              <w:t>Epistemic clarity</w:t>
            </w:r>
          </w:p>
        </w:tc>
        <w:tc>
          <w:tcPr>
            <w:tcW w:w="4680" w:type="dxa"/>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71CFFF3E" w14:textId="77777777" w:rsidR="00E34C95" w:rsidRDefault="00000000">
            <w:pPr>
              <w:jc w:val="center"/>
            </w:pPr>
            <w:r>
              <w:rPr>
                <w:sz w:val="20"/>
                <w:szCs w:val="20"/>
              </w:rPr>
              <w:t>Strict data/derived/fitted/illustrative provenance throughout</w:t>
            </w:r>
          </w:p>
        </w:tc>
      </w:tr>
      <w:tr w:rsidR="00E34C95" w14:paraId="180774C8" w14:textId="77777777">
        <w:tblPrEx>
          <w:tblCellMar>
            <w:top w:w="0" w:type="dxa"/>
            <w:bottom w:w="0" w:type="dxa"/>
          </w:tblCellMar>
        </w:tblPrEx>
        <w:tc>
          <w:tcPr>
            <w:tcW w:w="468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69F8B68B" w14:textId="77777777" w:rsidR="00E34C95" w:rsidRDefault="00000000">
            <w:r>
              <w:rPr>
                <w:sz w:val="20"/>
                <w:szCs w:val="20"/>
              </w:rPr>
              <w:t>Open questions</w:t>
            </w:r>
          </w:p>
        </w:tc>
        <w:tc>
          <w:tcPr>
            <w:tcW w:w="4680" w:type="dxa"/>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057FEF2E" w14:textId="77777777" w:rsidR="00E34C95" w:rsidRDefault="00000000">
            <w:pPr>
              <w:jc w:val="center"/>
            </w:pPr>
            <w:r>
              <w:rPr>
                <w:sz w:val="20"/>
                <w:szCs w:val="20"/>
              </w:rPr>
              <w:t>EFT action, lensing, CMB, environmental tests — research agenda is well-defined</w:t>
            </w:r>
          </w:p>
        </w:tc>
      </w:tr>
    </w:tbl>
    <w:p w14:paraId="7117D18E" w14:textId="77777777" w:rsidR="00E34C95" w:rsidRDefault="00E34C95">
      <w:pPr>
        <w:spacing w:line="100" w:lineRule="auto"/>
      </w:pPr>
    </w:p>
    <w:p w14:paraId="39CF1791" w14:textId="58AA9B4F" w:rsidR="00E34C95" w:rsidRDefault="00000000">
      <w:pPr>
        <w:spacing w:before="60" w:after="100" w:line="340" w:lineRule="auto"/>
      </w:pPr>
      <w:r>
        <w:t>The atlas is both a scientific contribution and a methodological template. Its combination of a physics-grounded model, transparent provenance, global-</w:t>
      </w:r>
      <w:r w:rsidR="009900EF">
        <w:t>normalization</w:t>
      </w:r>
      <w:r>
        <w:t xml:space="preserve"> </w:t>
      </w:r>
      <w:r w:rsidR="009900EF">
        <w:t>visualization</w:t>
      </w:r>
      <w:r>
        <w:t>, and per-galaxy quantitative classification provides the community with a reproducible, auditable record of how the intrinsic-mechanics hypothesis performs against the best available observational data in the galactic rotation-curve sector. Whether or not intrinsic spacetime mechanics ultimately proves to be the correct explanation for dark-matter phenomenology, the atlas demonstrates that a serious, falsifiable, theoretically coherent alternative to particulate CDM can be formulated and tested. This is, at minimum, a significant conceptual contribution to the foundations of gravitational physics.</w:t>
      </w:r>
    </w:p>
    <w:p w14:paraId="58C7ED91" w14:textId="77777777" w:rsidR="00E34C95" w:rsidRDefault="00E34C95">
      <w:pPr>
        <w:spacing w:line="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34C95" w14:paraId="093FE3E9" w14:textId="77777777">
        <w:tblPrEx>
          <w:tblCellMar>
            <w:top w:w="0" w:type="dxa"/>
            <w:bottom w:w="0" w:type="dxa"/>
          </w:tblCellMar>
        </w:tblPrEx>
        <w:tc>
          <w:tcPr>
            <w:tcW w:w="9360" w:type="dxa"/>
            <w:tcBorders>
              <w:left w:val="thick" w:sz="12" w:space="0" w:color="0D1B2A"/>
            </w:tcBorders>
            <w:shd w:val="clear" w:color="auto" w:fill="EFF6FF"/>
            <w:tcMar>
              <w:top w:w="120" w:type="dxa"/>
              <w:left w:w="200" w:type="dxa"/>
              <w:bottom w:w="120" w:type="dxa"/>
              <w:right w:w="160" w:type="dxa"/>
            </w:tcMar>
          </w:tcPr>
          <w:p w14:paraId="08F1AFFE" w14:textId="77777777" w:rsidR="00E34C95" w:rsidRDefault="00000000">
            <w:pPr>
              <w:spacing w:after="60"/>
            </w:pPr>
            <w:r>
              <w:rPr>
                <w:b/>
                <w:bCs/>
                <w:color w:val="0D1B2A"/>
                <w:sz w:val="20"/>
                <w:szCs w:val="20"/>
              </w:rPr>
              <w:t>Final Assessment</w:t>
            </w:r>
          </w:p>
          <w:p w14:paraId="3AF94E5C" w14:textId="77777777" w:rsidR="00E34C95" w:rsidRDefault="00000000">
            <w:pPr>
              <w:spacing w:line="320" w:lineRule="auto"/>
            </w:pPr>
            <w:r>
              <w:rPr>
                <w:sz w:val="21"/>
                <w:szCs w:val="21"/>
              </w:rPr>
              <w:t>The Spacetime Mechanics atlas is an impressive, methodologically rigorous, and intellectually courageous piece of work. Its aggregate result — one-parameter auxiliary-field fits achieving very-strong statistical improvement in 92% of 175 diverse SPARC galaxies — deserves serious attention from the gravitational theory community. The epistemic transparency and honest reporting of failures elevate it well above the typical standard of phenomenological galaxy modelling.</w:t>
            </w:r>
          </w:p>
        </w:tc>
      </w:tr>
    </w:tbl>
    <w:p w14:paraId="731715DE" w14:textId="77777777" w:rsidR="00E34C95" w:rsidRDefault="00000000">
      <w:r>
        <w:br w:type="page"/>
      </w:r>
    </w:p>
    <w:p w14:paraId="57AED6A4" w14:textId="77777777" w:rsidR="00E34C95" w:rsidRDefault="00000000">
      <w:pPr>
        <w:pStyle w:val="Heading1"/>
      </w:pPr>
      <w:r>
        <w:t>Appendix: Glossary of Key Quantities</w:t>
      </w:r>
    </w:p>
    <w:p w14:paraId="696D281E" w14:textId="77777777" w:rsidR="00E34C95" w:rsidRDefault="00E34C95">
      <w:pPr>
        <w:pBdr>
          <w:bottom w:val="single" w:sz="2" w:space="1" w:color="D8DCE2"/>
        </w:pBdr>
      </w:pPr>
    </w:p>
    <w:p w14:paraId="1BA8FF3C" w14:textId="77777777" w:rsidR="00E34C95" w:rsidRDefault="00E34C95">
      <w:pPr>
        <w:spacing w:line="60"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1"/>
        <w:gridCol w:w="7233"/>
      </w:tblGrid>
      <w:tr w:rsidR="00E34C95" w14:paraId="2627C9D2" w14:textId="77777777" w:rsidTr="00591212">
        <w:tblPrEx>
          <w:tblCellMar>
            <w:top w:w="0" w:type="dxa"/>
            <w:bottom w:w="0" w:type="dxa"/>
          </w:tblCellMar>
        </w:tblPrEx>
        <w:tc>
          <w:tcPr>
            <w:tcW w:w="0" w:type="auto"/>
            <w:tcBorders>
              <w:top w:val="single" w:sz="1" w:space="0" w:color="D8DCE2"/>
              <w:left w:val="single" w:sz="1" w:space="0" w:color="D8DCE2"/>
              <w:bottom w:val="single" w:sz="1" w:space="0" w:color="D8DCE2"/>
              <w:right w:val="single" w:sz="1" w:space="0" w:color="D8DCE2"/>
            </w:tcBorders>
            <w:shd w:val="clear" w:color="auto" w:fill="0D1B2A"/>
            <w:tcMar>
              <w:top w:w="80" w:type="dxa"/>
              <w:left w:w="140" w:type="dxa"/>
              <w:bottom w:w="80" w:type="dxa"/>
              <w:right w:w="140" w:type="dxa"/>
            </w:tcMar>
            <w:vAlign w:val="center"/>
          </w:tcPr>
          <w:p w14:paraId="3D546FB2" w14:textId="77777777" w:rsidR="00E34C95" w:rsidRDefault="00000000">
            <w:r>
              <w:rPr>
                <w:b/>
                <w:bCs/>
                <w:color w:val="FFFFFF"/>
                <w:sz w:val="20"/>
                <w:szCs w:val="20"/>
              </w:rPr>
              <w:t>Symbol / Quantity</w:t>
            </w:r>
          </w:p>
        </w:tc>
        <w:tc>
          <w:tcPr>
            <w:tcW w:w="0" w:type="auto"/>
            <w:tcBorders>
              <w:top w:val="single" w:sz="1" w:space="0" w:color="D8DCE2"/>
              <w:left w:val="single" w:sz="1" w:space="0" w:color="D8DCE2"/>
              <w:bottom w:val="single" w:sz="1" w:space="0" w:color="D8DCE2"/>
              <w:right w:val="single" w:sz="1" w:space="0" w:color="D8DCE2"/>
            </w:tcBorders>
            <w:shd w:val="clear" w:color="auto" w:fill="0D1B2A"/>
            <w:tcMar>
              <w:top w:w="80" w:type="dxa"/>
              <w:left w:w="140" w:type="dxa"/>
              <w:bottom w:w="80" w:type="dxa"/>
              <w:right w:w="140" w:type="dxa"/>
            </w:tcMar>
            <w:vAlign w:val="center"/>
          </w:tcPr>
          <w:p w14:paraId="6B4DE3C4" w14:textId="77777777" w:rsidR="00E34C95" w:rsidRDefault="00000000">
            <w:pPr>
              <w:jc w:val="center"/>
            </w:pPr>
            <w:r>
              <w:rPr>
                <w:b/>
                <w:bCs/>
                <w:color w:val="FFFFFF"/>
                <w:sz w:val="20"/>
                <w:szCs w:val="20"/>
              </w:rPr>
              <w:t>Definition</w:t>
            </w:r>
          </w:p>
        </w:tc>
      </w:tr>
      <w:tr w:rsidR="00E34C95" w14:paraId="105F7376" w14:textId="77777777" w:rsidTr="00591212">
        <w:tblPrEx>
          <w:tblCellMar>
            <w:top w:w="0" w:type="dxa"/>
            <w:bottom w:w="0" w:type="dxa"/>
          </w:tblCellMar>
        </w:tblPrEx>
        <w:tc>
          <w:tcPr>
            <w:tcW w:w="0" w:type="auto"/>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5F763B41" w14:textId="76FFEF93" w:rsidR="00E34C95" w:rsidRPr="00591212" w:rsidRDefault="00591212">
            <w:pPr>
              <w:rPr>
                <w:b/>
                <w:bCs/>
              </w:rPr>
            </w:pPr>
            <m:oMathPara>
              <m:oMath>
                <m:r>
                  <m:rPr>
                    <m:sty m:val="bi"/>
                  </m:rPr>
                  <w:rPr>
                    <w:rFonts w:ascii="Cambria Math" w:hAnsi="Cambria Math"/>
                    <w:sz w:val="20"/>
                    <w:szCs w:val="20"/>
                  </w:rPr>
                  <m:t>R</m:t>
                </m:r>
                <m:d>
                  <m:dPr>
                    <m:ctrlPr>
                      <w:rPr>
                        <w:rFonts w:ascii="Cambria Math" w:hAnsi="Cambria Math"/>
                        <w:b/>
                        <w:bCs/>
                        <w:i/>
                        <w:sz w:val="20"/>
                        <w:szCs w:val="20"/>
                      </w:rPr>
                    </m:ctrlPr>
                  </m:dPr>
                  <m:e>
                    <m:r>
                      <m:rPr>
                        <m:sty m:val="bi"/>
                      </m:rPr>
                      <w:rPr>
                        <w:rFonts w:ascii="Cambria Math" w:hAnsi="Cambria Math"/>
                        <w:sz w:val="20"/>
                        <w:szCs w:val="20"/>
                      </w:rPr>
                      <m:t>kpc</m:t>
                    </m:r>
                  </m:e>
                </m:d>
              </m:oMath>
            </m:oMathPara>
          </w:p>
        </w:tc>
        <w:tc>
          <w:tcPr>
            <w:tcW w:w="0" w:type="auto"/>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55CC0EC5" w14:textId="474052EE" w:rsidR="00E34C95" w:rsidRDefault="00000000">
            <w:pPr>
              <w:jc w:val="center"/>
            </w:pPr>
            <w:r>
              <w:rPr>
                <w:sz w:val="20"/>
                <w:szCs w:val="20"/>
              </w:rPr>
              <w:t>Galactocentric radius in kiloparsecs (</w:t>
            </w:r>
            <m:oMath>
              <m:r>
                <w:rPr>
                  <w:rFonts w:ascii="Cambria Math" w:hAnsi="Cambria Math"/>
                  <w:sz w:val="20"/>
                  <w:szCs w:val="20"/>
                </w:rPr>
                <m:t>1kpc=3.086×</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19</m:t>
                  </m:r>
                </m:sup>
              </m:sSup>
              <m:r>
                <w:rPr>
                  <w:rFonts w:ascii="Cambria Math" w:hAnsi="Cambria Math"/>
                  <w:sz w:val="20"/>
                  <w:szCs w:val="20"/>
                </w:rPr>
                <m:t>m</m:t>
              </m:r>
            </m:oMath>
            <w:r>
              <w:rPr>
                <w:sz w:val="20"/>
                <w:szCs w:val="20"/>
              </w:rPr>
              <w:t>)</w:t>
            </w:r>
          </w:p>
        </w:tc>
      </w:tr>
      <w:tr w:rsidR="00E34C95" w14:paraId="0ABBA15D" w14:textId="77777777" w:rsidTr="00591212">
        <w:tblPrEx>
          <w:tblCellMar>
            <w:top w:w="0" w:type="dxa"/>
            <w:bottom w:w="0" w:type="dxa"/>
          </w:tblCellMar>
        </w:tblPrEx>
        <w:tc>
          <w:tcPr>
            <w:tcW w:w="0" w:type="auto"/>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38DD2BD1" w14:textId="737DB139" w:rsidR="00E34C95" w:rsidRPr="00591212" w:rsidRDefault="00591212">
            <w:pPr>
              <w:rPr>
                <w:b/>
                <w:bCs/>
              </w:rPr>
            </w:pPr>
            <m:oMathPara>
              <m:oMath>
                <m:sSub>
                  <m:sSubPr>
                    <m:ctrlPr>
                      <w:rPr>
                        <w:rFonts w:ascii="Cambria Math" w:hAnsi="Cambria Math"/>
                        <w:b/>
                        <w:bCs/>
                        <w:i/>
                        <w:sz w:val="20"/>
                        <w:szCs w:val="20"/>
                      </w:rPr>
                    </m:ctrlPr>
                  </m:sSubPr>
                  <m:e>
                    <m:r>
                      <m:rPr>
                        <m:sty m:val="bi"/>
                      </m:rPr>
                      <w:rPr>
                        <w:rFonts w:ascii="Cambria Math" w:hAnsi="Cambria Math"/>
                        <w:sz w:val="20"/>
                        <w:szCs w:val="20"/>
                      </w:rPr>
                      <m:t>v</m:t>
                    </m:r>
                  </m:e>
                  <m:sub>
                    <m:r>
                      <m:rPr>
                        <m:sty m:val="bi"/>
                      </m:rPr>
                      <w:rPr>
                        <w:rFonts w:ascii="Cambria Math" w:hAnsi="Cambria Math"/>
                        <w:sz w:val="20"/>
                        <w:szCs w:val="20"/>
                      </w:rPr>
                      <m:t>obs</m:t>
                    </m:r>
                  </m:sub>
                </m:sSub>
                <m:d>
                  <m:dPr>
                    <m:ctrlPr>
                      <w:rPr>
                        <w:rFonts w:ascii="Cambria Math" w:hAnsi="Cambria Math"/>
                        <w:b/>
                        <w:bCs/>
                        <w:i/>
                        <w:sz w:val="20"/>
                        <w:szCs w:val="20"/>
                      </w:rPr>
                    </m:ctrlPr>
                  </m:dPr>
                  <m:e>
                    <m:r>
                      <m:rPr>
                        <m:sty m:val="bi"/>
                      </m:rPr>
                      <w:rPr>
                        <w:rFonts w:ascii="Cambria Math" w:hAnsi="Cambria Math"/>
                        <w:sz w:val="20"/>
                        <w:szCs w:val="20"/>
                      </w:rPr>
                      <m:t>km</m:t>
                    </m:r>
                    <m:r>
                      <m:rPr>
                        <m:lit/>
                        <m:sty m:val="bi"/>
                      </m:rPr>
                      <w:rPr>
                        <w:rFonts w:ascii="Cambria Math" w:hAnsi="Cambria Math"/>
                        <w:sz w:val="20"/>
                        <w:szCs w:val="20"/>
                      </w:rPr>
                      <m:t>/</m:t>
                    </m:r>
                    <m:r>
                      <m:rPr>
                        <m:sty m:val="bi"/>
                      </m:rPr>
                      <w:rPr>
                        <w:rFonts w:ascii="Cambria Math" w:hAnsi="Cambria Math"/>
                        <w:sz w:val="20"/>
                        <w:szCs w:val="20"/>
                      </w:rPr>
                      <m:t>s</m:t>
                    </m:r>
                  </m:e>
                </m:d>
              </m:oMath>
            </m:oMathPara>
          </w:p>
        </w:tc>
        <w:tc>
          <w:tcPr>
            <w:tcW w:w="0" w:type="auto"/>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17E6C260" w14:textId="2A1B9727" w:rsidR="00E34C95" w:rsidRDefault="00000000">
            <w:pPr>
              <w:jc w:val="center"/>
            </w:pPr>
            <w:r>
              <w:rPr>
                <w:sz w:val="20"/>
                <w:szCs w:val="20"/>
              </w:rPr>
              <w:t xml:space="preserve">Observed circular speed at radius </w:t>
            </w:r>
            <m:oMath>
              <m:r>
                <w:rPr>
                  <w:rFonts w:ascii="Cambria Math" w:hAnsi="Cambria Math"/>
                  <w:sz w:val="20"/>
                  <w:szCs w:val="20"/>
                </w:rPr>
                <m:t>R</m:t>
              </m:r>
            </m:oMath>
          </w:p>
        </w:tc>
      </w:tr>
      <w:tr w:rsidR="00E34C95" w14:paraId="33767B63" w14:textId="77777777" w:rsidTr="00591212">
        <w:tblPrEx>
          <w:tblCellMar>
            <w:top w:w="0" w:type="dxa"/>
            <w:bottom w:w="0" w:type="dxa"/>
          </w:tblCellMar>
        </w:tblPrEx>
        <w:tc>
          <w:tcPr>
            <w:tcW w:w="0" w:type="auto"/>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5B2A2102" w14:textId="5CC2E699" w:rsidR="00E34C95" w:rsidRPr="00591212" w:rsidRDefault="00591212">
            <w:pPr>
              <w:rPr>
                <w:b/>
                <w:bCs/>
              </w:rPr>
            </w:pPr>
            <m:oMathPara>
              <m:oMath>
                <m:sSub>
                  <m:sSubPr>
                    <m:ctrlPr>
                      <w:rPr>
                        <w:rFonts w:ascii="Cambria Math" w:hAnsi="Cambria Math"/>
                        <w:b/>
                        <w:bCs/>
                        <w:i/>
                        <w:sz w:val="20"/>
                        <w:szCs w:val="20"/>
                      </w:rPr>
                    </m:ctrlPr>
                  </m:sSubPr>
                  <m:e>
                    <m:r>
                      <m:rPr>
                        <m:sty m:val="bi"/>
                      </m:rPr>
                      <w:rPr>
                        <w:rFonts w:ascii="Cambria Math" w:hAnsi="Cambria Math"/>
                        <w:sz w:val="20"/>
                        <w:szCs w:val="20"/>
                      </w:rPr>
                      <m:t>e</m:t>
                    </m:r>
                  </m:e>
                  <m:sub>
                    <m:r>
                      <m:rPr>
                        <m:sty m:val="bi"/>
                      </m:rPr>
                      <w:rPr>
                        <w:rFonts w:ascii="Cambria Math" w:hAnsi="Cambria Math"/>
                        <w:sz w:val="20"/>
                        <w:szCs w:val="20"/>
                      </w:rPr>
                      <m:t>vobs</m:t>
                    </m:r>
                  </m:sub>
                </m:sSub>
                <m:d>
                  <m:dPr>
                    <m:ctrlPr>
                      <w:rPr>
                        <w:rFonts w:ascii="Cambria Math" w:hAnsi="Cambria Math"/>
                        <w:b/>
                        <w:bCs/>
                        <w:i/>
                        <w:sz w:val="20"/>
                        <w:szCs w:val="20"/>
                      </w:rPr>
                    </m:ctrlPr>
                  </m:dPr>
                  <m:e>
                    <m:r>
                      <m:rPr>
                        <m:sty m:val="bi"/>
                      </m:rPr>
                      <w:rPr>
                        <w:rFonts w:ascii="Cambria Math" w:hAnsi="Cambria Math"/>
                        <w:sz w:val="20"/>
                        <w:szCs w:val="20"/>
                      </w:rPr>
                      <m:t>km</m:t>
                    </m:r>
                    <m:r>
                      <m:rPr>
                        <m:lit/>
                        <m:sty m:val="bi"/>
                      </m:rPr>
                      <w:rPr>
                        <w:rFonts w:ascii="Cambria Math" w:hAnsi="Cambria Math"/>
                        <w:sz w:val="20"/>
                        <w:szCs w:val="20"/>
                      </w:rPr>
                      <m:t>/</m:t>
                    </m:r>
                    <m:r>
                      <m:rPr>
                        <m:sty m:val="bi"/>
                      </m:rPr>
                      <w:rPr>
                        <w:rFonts w:ascii="Cambria Math" w:hAnsi="Cambria Math"/>
                        <w:sz w:val="20"/>
                        <w:szCs w:val="20"/>
                      </w:rPr>
                      <m:t>s</m:t>
                    </m:r>
                  </m:e>
                </m:d>
              </m:oMath>
            </m:oMathPara>
          </w:p>
        </w:tc>
        <w:tc>
          <w:tcPr>
            <w:tcW w:w="0" w:type="auto"/>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7A413AB7" w14:textId="44BC8798" w:rsidR="00E34C95" w:rsidRDefault="00000000">
            <w:pPr>
              <w:jc w:val="center"/>
            </w:pPr>
            <w:r>
              <w:rPr>
                <w:sz w:val="20"/>
                <w:szCs w:val="20"/>
              </w:rPr>
              <w:t xml:space="preserve">1σ observational uncertainty on </w:t>
            </w: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obs</m:t>
                  </m:r>
                </m:sub>
              </m:sSub>
            </m:oMath>
          </w:p>
        </w:tc>
      </w:tr>
      <w:tr w:rsidR="00E34C95" w14:paraId="65DC0DFC" w14:textId="77777777" w:rsidTr="00591212">
        <w:tblPrEx>
          <w:tblCellMar>
            <w:top w:w="0" w:type="dxa"/>
            <w:bottom w:w="0" w:type="dxa"/>
          </w:tblCellMar>
        </w:tblPrEx>
        <w:tc>
          <w:tcPr>
            <w:tcW w:w="0" w:type="auto"/>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63685702" w14:textId="75704F3B" w:rsidR="00E34C95" w:rsidRPr="00591212" w:rsidRDefault="00591212">
            <w:pPr>
              <w:rPr>
                <w:b/>
                <w:bCs/>
              </w:rPr>
            </w:pPr>
            <m:oMathPara>
              <m:oMath>
                <m:sSub>
                  <m:sSubPr>
                    <m:ctrlPr>
                      <w:rPr>
                        <w:rFonts w:ascii="Cambria Math" w:hAnsi="Cambria Math"/>
                        <w:b/>
                        <w:bCs/>
                        <w:i/>
                        <w:sz w:val="20"/>
                        <w:szCs w:val="20"/>
                      </w:rPr>
                    </m:ctrlPr>
                  </m:sSubPr>
                  <m:e>
                    <m:r>
                      <m:rPr>
                        <m:sty m:val="bi"/>
                      </m:rPr>
                      <w:rPr>
                        <w:rFonts w:ascii="Cambria Math" w:hAnsi="Cambria Math"/>
                        <w:sz w:val="20"/>
                        <w:szCs w:val="20"/>
                      </w:rPr>
                      <m:t>v</m:t>
                    </m:r>
                  </m:e>
                  <m:sub>
                    <m:r>
                      <m:rPr>
                        <m:sty m:val="bi"/>
                      </m:rPr>
                      <w:rPr>
                        <w:rFonts w:ascii="Cambria Math" w:hAnsi="Cambria Math"/>
                        <w:sz w:val="20"/>
                        <w:szCs w:val="20"/>
                      </w:rPr>
                      <m:t>bar</m:t>
                    </m:r>
                  </m:sub>
                </m:sSub>
                <m:d>
                  <m:dPr>
                    <m:ctrlPr>
                      <w:rPr>
                        <w:rFonts w:ascii="Cambria Math" w:hAnsi="Cambria Math"/>
                        <w:b/>
                        <w:bCs/>
                        <w:i/>
                        <w:sz w:val="20"/>
                        <w:szCs w:val="20"/>
                      </w:rPr>
                    </m:ctrlPr>
                  </m:dPr>
                  <m:e>
                    <m:r>
                      <m:rPr>
                        <m:sty m:val="bi"/>
                      </m:rPr>
                      <w:rPr>
                        <w:rFonts w:ascii="Cambria Math" w:hAnsi="Cambria Math"/>
                        <w:sz w:val="20"/>
                        <w:szCs w:val="20"/>
                      </w:rPr>
                      <m:t>km</m:t>
                    </m:r>
                    <m:r>
                      <m:rPr>
                        <m:lit/>
                        <m:sty m:val="bi"/>
                      </m:rPr>
                      <w:rPr>
                        <w:rFonts w:ascii="Cambria Math" w:hAnsi="Cambria Math"/>
                        <w:sz w:val="20"/>
                        <w:szCs w:val="20"/>
                      </w:rPr>
                      <m:t>/</m:t>
                    </m:r>
                    <m:r>
                      <m:rPr>
                        <m:sty m:val="bi"/>
                      </m:rPr>
                      <w:rPr>
                        <w:rFonts w:ascii="Cambria Math" w:hAnsi="Cambria Math"/>
                        <w:sz w:val="20"/>
                        <w:szCs w:val="20"/>
                      </w:rPr>
                      <m:t>s</m:t>
                    </m:r>
                  </m:e>
                </m:d>
              </m:oMath>
            </m:oMathPara>
          </w:p>
        </w:tc>
        <w:tc>
          <w:tcPr>
            <w:tcW w:w="0" w:type="auto"/>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34DEE3F5" w14:textId="67ED631A" w:rsidR="00E34C95" w:rsidRDefault="00000000">
            <w:pPr>
              <w:jc w:val="center"/>
            </w:pPr>
            <w:r>
              <w:rPr>
                <w:sz w:val="20"/>
                <w:szCs w:val="20"/>
              </w:rPr>
              <w:t xml:space="preserve">Baryonic velocity prediction: </w:t>
            </w:r>
            <m:oMath>
              <m:sSup>
                <m:sSupPr>
                  <m:ctrlPr>
                    <w:rPr>
                      <w:rFonts w:ascii="Cambria Math" w:hAnsi="Cambria Math"/>
                      <w:i/>
                      <w:sz w:val="20"/>
                      <w:szCs w:val="20"/>
                    </w:rPr>
                  </m:ctrlPr>
                </m:sSupPr>
                <m:e>
                  <m:r>
                    <w:rPr>
                      <w:rFonts w:ascii="Cambria Math" w:hAnsi="Cambria Math"/>
                      <w:sz w:val="20"/>
                      <w:szCs w:val="20"/>
                    </w:rPr>
                    <m:t>V</m:t>
                  </m:r>
                </m:e>
                <m:sup>
                  <m:r>
                    <w:rPr>
                      <w:rFonts w:ascii="Cambria Math" w:hAnsi="Cambria Math"/>
                      <w:sz w:val="20"/>
                      <w:szCs w:val="20"/>
                    </w:rPr>
                    <m:t>2</m:t>
                  </m:r>
                </m:sup>
              </m:sSup>
              <m:r>
                <w:rPr>
                  <w:rFonts w:ascii="Cambria Math" w:hAnsi="Cambria Math"/>
                  <w:sz w:val="20"/>
                  <w:szCs w:val="20"/>
                </w:rPr>
                <m:t>bar=</m:t>
              </m:r>
              <m:sSup>
                <m:sSupPr>
                  <m:ctrlPr>
                    <w:rPr>
                      <w:rFonts w:ascii="Cambria Math" w:hAnsi="Cambria Math"/>
                      <w:i/>
                      <w:sz w:val="20"/>
                      <w:szCs w:val="20"/>
                    </w:rPr>
                  </m:ctrlPr>
                </m:sSupPr>
                <m:e>
                  <m:r>
                    <w:rPr>
                      <w:rFonts w:ascii="Cambria Math" w:hAnsi="Cambria Math"/>
                      <w:sz w:val="20"/>
                      <w:szCs w:val="20"/>
                    </w:rPr>
                    <m:t>V</m:t>
                  </m:r>
                </m:e>
                <m:sup>
                  <m:r>
                    <w:rPr>
                      <w:rFonts w:ascii="Cambria Math" w:hAnsi="Cambria Math"/>
                      <w:sz w:val="20"/>
                      <w:szCs w:val="20"/>
                    </w:rPr>
                    <m:t>2</m:t>
                  </m:r>
                </m:sup>
              </m:sSup>
              <m:r>
                <w:rPr>
                  <w:rFonts w:ascii="Cambria Math" w:hAnsi="Cambria Math"/>
                  <w:sz w:val="20"/>
                  <w:szCs w:val="20"/>
                </w:rPr>
                <m:t>gas+Υd</m:t>
              </m:r>
              <m:sSup>
                <m:sSupPr>
                  <m:ctrlPr>
                    <w:rPr>
                      <w:rFonts w:ascii="Cambria Math" w:hAnsi="Cambria Math"/>
                      <w:i/>
                      <w:sz w:val="20"/>
                      <w:szCs w:val="20"/>
                    </w:rPr>
                  </m:ctrlPr>
                </m:sSupPr>
                <m:e>
                  <m:r>
                    <w:rPr>
                      <w:rFonts w:ascii="Cambria Math" w:hAnsi="Cambria Math"/>
                      <w:sz w:val="20"/>
                      <w:szCs w:val="20"/>
                    </w:rPr>
                    <m:t>V</m:t>
                  </m:r>
                </m:e>
                <m:sup>
                  <m:r>
                    <w:rPr>
                      <w:rFonts w:ascii="Cambria Math" w:hAnsi="Cambria Math"/>
                      <w:sz w:val="20"/>
                      <w:szCs w:val="20"/>
                    </w:rPr>
                    <m:t>2</m:t>
                  </m:r>
                </m:sup>
              </m:sSup>
              <m:r>
                <w:rPr>
                  <w:rFonts w:ascii="Cambria Math" w:hAnsi="Cambria Math"/>
                  <w:sz w:val="20"/>
                  <w:szCs w:val="20"/>
                </w:rPr>
                <m:t>disk+Υb</m:t>
              </m:r>
              <m:sSup>
                <m:sSupPr>
                  <m:ctrlPr>
                    <w:rPr>
                      <w:rFonts w:ascii="Cambria Math" w:hAnsi="Cambria Math"/>
                      <w:i/>
                      <w:sz w:val="20"/>
                      <w:szCs w:val="20"/>
                    </w:rPr>
                  </m:ctrlPr>
                </m:sSupPr>
                <m:e>
                  <m:r>
                    <w:rPr>
                      <w:rFonts w:ascii="Cambria Math" w:hAnsi="Cambria Math"/>
                      <w:sz w:val="20"/>
                      <w:szCs w:val="20"/>
                    </w:rPr>
                    <m:t>V</m:t>
                  </m:r>
                </m:e>
                <m:sup>
                  <m:r>
                    <w:rPr>
                      <w:rFonts w:ascii="Cambria Math" w:hAnsi="Cambria Math"/>
                      <w:sz w:val="20"/>
                      <w:szCs w:val="20"/>
                    </w:rPr>
                    <m:t>2</m:t>
                  </m:r>
                </m:sup>
              </m:sSup>
              <m:r>
                <w:rPr>
                  <w:rFonts w:ascii="Cambria Math" w:hAnsi="Cambria Math"/>
                  <w:sz w:val="20"/>
                  <w:szCs w:val="20"/>
                </w:rPr>
                <m:t>bul</m:t>
              </m:r>
            </m:oMath>
          </w:p>
        </w:tc>
      </w:tr>
      <w:tr w:rsidR="00E34C95" w14:paraId="5F13D372" w14:textId="77777777" w:rsidTr="00591212">
        <w:tblPrEx>
          <w:tblCellMar>
            <w:top w:w="0" w:type="dxa"/>
            <w:bottom w:w="0" w:type="dxa"/>
          </w:tblCellMar>
        </w:tblPrEx>
        <w:tc>
          <w:tcPr>
            <w:tcW w:w="0" w:type="auto"/>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46117089" w14:textId="78613B7F" w:rsidR="00E34C95" w:rsidRPr="00591212" w:rsidRDefault="00591212">
            <w:pPr>
              <w:rPr>
                <w:b/>
                <w:bCs/>
              </w:rPr>
            </w:pPr>
            <m:oMathPara>
              <m:oMath>
                <m:sSub>
                  <m:sSubPr>
                    <m:ctrlPr>
                      <w:rPr>
                        <w:rFonts w:ascii="Cambria Math" w:hAnsi="Cambria Math"/>
                        <w:b/>
                        <w:bCs/>
                        <w:i/>
                        <w:sz w:val="20"/>
                        <w:szCs w:val="20"/>
                      </w:rPr>
                    </m:ctrlPr>
                  </m:sSubPr>
                  <m:e>
                    <m:r>
                      <m:rPr>
                        <m:sty m:val="bi"/>
                      </m:rPr>
                      <w:rPr>
                        <w:rFonts w:ascii="Cambria Math" w:hAnsi="Cambria Math"/>
                        <w:sz w:val="20"/>
                        <w:szCs w:val="20"/>
                      </w:rPr>
                      <m:t>v</m:t>
                    </m:r>
                  </m:e>
                  <m:sub>
                    <m:r>
                      <m:rPr>
                        <m:sty m:val="bi"/>
                      </m:rPr>
                      <w:rPr>
                        <w:rFonts w:ascii="Cambria Math" w:hAnsi="Cambria Math"/>
                        <w:sz w:val="20"/>
                        <w:szCs w:val="20"/>
                      </w:rPr>
                      <m:t>model</m:t>
                    </m:r>
                  </m:sub>
                </m:sSub>
                <m:d>
                  <m:dPr>
                    <m:ctrlPr>
                      <w:rPr>
                        <w:rFonts w:ascii="Cambria Math" w:hAnsi="Cambria Math"/>
                        <w:b/>
                        <w:bCs/>
                        <w:i/>
                        <w:sz w:val="20"/>
                        <w:szCs w:val="20"/>
                      </w:rPr>
                    </m:ctrlPr>
                  </m:dPr>
                  <m:e>
                    <m:r>
                      <m:rPr>
                        <m:sty m:val="bi"/>
                      </m:rPr>
                      <w:rPr>
                        <w:rFonts w:ascii="Cambria Math" w:hAnsi="Cambria Math"/>
                        <w:sz w:val="20"/>
                        <w:szCs w:val="20"/>
                      </w:rPr>
                      <m:t>km</m:t>
                    </m:r>
                    <m:r>
                      <m:rPr>
                        <m:lit/>
                        <m:sty m:val="bi"/>
                      </m:rPr>
                      <w:rPr>
                        <w:rFonts w:ascii="Cambria Math" w:hAnsi="Cambria Math"/>
                        <w:sz w:val="20"/>
                        <w:szCs w:val="20"/>
                      </w:rPr>
                      <m:t>/</m:t>
                    </m:r>
                    <m:r>
                      <m:rPr>
                        <m:sty m:val="bi"/>
                      </m:rPr>
                      <w:rPr>
                        <w:rFonts w:ascii="Cambria Math" w:hAnsi="Cambria Math"/>
                        <w:sz w:val="20"/>
                        <w:szCs w:val="20"/>
                      </w:rPr>
                      <m:t>s</m:t>
                    </m:r>
                  </m:e>
                </m:d>
              </m:oMath>
            </m:oMathPara>
          </w:p>
        </w:tc>
        <w:tc>
          <w:tcPr>
            <w:tcW w:w="0" w:type="auto"/>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26171881" w14:textId="77777777" w:rsidR="00E34C95" w:rsidRDefault="00000000">
            <w:pPr>
              <w:jc w:val="center"/>
            </w:pPr>
            <w:r>
              <w:rPr>
                <w:sz w:val="20"/>
                <w:szCs w:val="20"/>
              </w:rPr>
              <w:t>Fitted total model velocity including auxiliary-field contribution</w:t>
            </w:r>
          </w:p>
        </w:tc>
      </w:tr>
      <w:tr w:rsidR="00E34C95" w14:paraId="048CD902" w14:textId="77777777" w:rsidTr="00591212">
        <w:tblPrEx>
          <w:tblCellMar>
            <w:top w:w="0" w:type="dxa"/>
            <w:bottom w:w="0" w:type="dxa"/>
          </w:tblCellMar>
        </w:tblPrEx>
        <w:tc>
          <w:tcPr>
            <w:tcW w:w="0" w:type="auto"/>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16A39A4D" w14:textId="0279358E" w:rsidR="00E34C95" w:rsidRPr="00591212" w:rsidRDefault="00591212">
            <w:pPr>
              <w:rPr>
                <w:b/>
                <w:bCs/>
              </w:rPr>
            </w:pPr>
            <m:oMathPara>
              <m:oMath>
                <m:sSub>
                  <m:sSubPr>
                    <m:ctrlPr>
                      <w:rPr>
                        <w:rFonts w:ascii="Cambria Math" w:hAnsi="Cambria Math"/>
                        <w:b/>
                        <w:bCs/>
                        <w:i/>
                        <w:sz w:val="20"/>
                        <w:szCs w:val="20"/>
                      </w:rPr>
                    </m:ctrlPr>
                  </m:sSubPr>
                  <m:e>
                    <m:r>
                      <m:rPr>
                        <m:sty m:val="bi"/>
                      </m:rPr>
                      <w:rPr>
                        <w:rFonts w:ascii="Cambria Math" w:hAnsi="Cambria Math"/>
                        <w:sz w:val="20"/>
                        <w:szCs w:val="20"/>
                      </w:rPr>
                      <m:t>g</m:t>
                    </m:r>
                  </m:e>
                  <m:sub>
                    <m:r>
                      <m:rPr>
                        <m:sty m:val="bi"/>
                      </m:rPr>
                      <w:rPr>
                        <w:rFonts w:ascii="Cambria Math" w:hAnsi="Cambria Math"/>
                        <w:sz w:val="20"/>
                        <w:szCs w:val="20"/>
                      </w:rPr>
                      <m:t>obs</m:t>
                    </m:r>
                  </m:sub>
                </m:sSub>
                <m:r>
                  <m:rPr>
                    <m:sty m:val="bi"/>
                  </m:rPr>
                  <w:rPr>
                    <w:rFonts w:ascii="Cambria Math" w:hAnsi="Cambria Math"/>
                    <w:sz w:val="20"/>
                    <w:szCs w:val="20"/>
                  </w:rPr>
                  <m:t>=</m:t>
                </m:r>
                <m:sSubSup>
                  <m:sSubSupPr>
                    <m:ctrlPr>
                      <w:rPr>
                        <w:rFonts w:ascii="Cambria Math" w:hAnsi="Cambria Math"/>
                        <w:b/>
                        <w:bCs/>
                        <w:i/>
                        <w:sz w:val="20"/>
                        <w:szCs w:val="20"/>
                      </w:rPr>
                    </m:ctrlPr>
                  </m:sSubSupPr>
                  <m:e>
                    <m:r>
                      <m:rPr>
                        <m:sty m:val="bi"/>
                      </m:rPr>
                      <w:rPr>
                        <w:rFonts w:ascii="Cambria Math" w:hAnsi="Cambria Math"/>
                        <w:sz w:val="20"/>
                        <w:szCs w:val="20"/>
                      </w:rPr>
                      <m:t>v</m:t>
                    </m:r>
                  </m:e>
                  <m:sub>
                    <m:r>
                      <m:rPr>
                        <m:sty m:val="bi"/>
                      </m:rPr>
                      <w:rPr>
                        <w:rFonts w:ascii="Cambria Math" w:hAnsi="Cambria Math"/>
                        <w:sz w:val="20"/>
                        <w:szCs w:val="20"/>
                      </w:rPr>
                      <m:t>obs</m:t>
                    </m:r>
                  </m:sub>
                  <m:sup>
                    <m:r>
                      <m:rPr>
                        <m:sty m:val="bi"/>
                      </m:rPr>
                      <w:rPr>
                        <w:rFonts w:ascii="Cambria Math" w:hAnsi="Cambria Math"/>
                        <w:sz w:val="20"/>
                        <w:szCs w:val="20"/>
                      </w:rPr>
                      <m:t>2</m:t>
                    </m:r>
                  </m:sup>
                </m:sSubSup>
                <m:r>
                  <m:rPr>
                    <m:lit/>
                    <m:sty m:val="bi"/>
                  </m:rPr>
                  <w:rPr>
                    <w:rFonts w:ascii="Cambria Math" w:hAnsi="Cambria Math"/>
                    <w:sz w:val="20"/>
                    <w:szCs w:val="20"/>
                  </w:rPr>
                  <m:t>/</m:t>
                </m:r>
                <m:r>
                  <m:rPr>
                    <m:sty m:val="bi"/>
                  </m:rPr>
                  <w:rPr>
                    <w:rFonts w:ascii="Cambria Math" w:hAnsi="Cambria Math"/>
                    <w:sz w:val="20"/>
                    <w:szCs w:val="20"/>
                  </w:rPr>
                  <m:t>R</m:t>
                </m:r>
              </m:oMath>
            </m:oMathPara>
          </w:p>
        </w:tc>
        <w:tc>
          <w:tcPr>
            <w:tcW w:w="0" w:type="auto"/>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1D63464E" w14:textId="77777777" w:rsidR="00E34C95" w:rsidRDefault="00000000">
            <w:pPr>
              <w:jc w:val="center"/>
            </w:pPr>
            <w:r>
              <w:rPr>
                <w:sz w:val="20"/>
                <w:szCs w:val="20"/>
              </w:rPr>
              <w:t>Required centripetal acceleration for circular support</w:t>
            </w:r>
          </w:p>
        </w:tc>
      </w:tr>
      <w:tr w:rsidR="00E34C95" w14:paraId="5BE5E820" w14:textId="77777777" w:rsidTr="00591212">
        <w:tblPrEx>
          <w:tblCellMar>
            <w:top w:w="0" w:type="dxa"/>
            <w:bottom w:w="0" w:type="dxa"/>
          </w:tblCellMar>
        </w:tblPrEx>
        <w:tc>
          <w:tcPr>
            <w:tcW w:w="0" w:type="auto"/>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2A6DDDD2" w14:textId="261378D5" w:rsidR="00E34C95" w:rsidRPr="00591212" w:rsidRDefault="00591212">
            <w:pPr>
              <w:rPr>
                <w:b/>
                <w:bCs/>
              </w:rPr>
            </w:pPr>
            <m:oMathPara>
              <m:oMath>
                <m:sSub>
                  <m:sSubPr>
                    <m:ctrlPr>
                      <w:rPr>
                        <w:rFonts w:ascii="Cambria Math" w:hAnsi="Cambria Math"/>
                        <w:b/>
                        <w:bCs/>
                        <w:i/>
                        <w:sz w:val="20"/>
                        <w:szCs w:val="20"/>
                      </w:rPr>
                    </m:ctrlPr>
                  </m:sSubPr>
                  <m:e>
                    <m:r>
                      <m:rPr>
                        <m:sty m:val="bi"/>
                      </m:rPr>
                      <w:rPr>
                        <w:rFonts w:ascii="Cambria Math" w:hAnsi="Cambria Math"/>
                        <w:sz w:val="20"/>
                        <w:szCs w:val="20"/>
                      </w:rPr>
                      <m:t>Φ</m:t>
                    </m:r>
                  </m:e>
                  <m:sub>
                    <m:r>
                      <m:rPr>
                        <m:sty m:val="bi"/>
                      </m:rPr>
                      <w:rPr>
                        <w:rFonts w:ascii="Cambria Math" w:hAnsi="Cambria Math"/>
                        <w:sz w:val="20"/>
                        <w:szCs w:val="20"/>
                      </w:rPr>
                      <m:t>obs</m:t>
                    </m:r>
                  </m:sub>
                </m:sSub>
                <m:d>
                  <m:dPr>
                    <m:ctrlPr>
                      <w:rPr>
                        <w:rFonts w:ascii="Cambria Math" w:hAnsi="Cambria Math"/>
                        <w:b/>
                        <w:bCs/>
                        <w:i/>
                        <w:sz w:val="20"/>
                        <w:szCs w:val="20"/>
                      </w:rPr>
                    </m:ctrlPr>
                  </m:dPr>
                  <m:e>
                    <m:r>
                      <m:rPr>
                        <m:sty m:val="bi"/>
                      </m:rPr>
                      <w:rPr>
                        <w:rFonts w:ascii="Cambria Math" w:hAnsi="Cambria Math"/>
                        <w:sz w:val="20"/>
                        <w:szCs w:val="20"/>
                      </w:rPr>
                      <m:t>R</m:t>
                    </m:r>
                  </m:e>
                </m:d>
              </m:oMath>
            </m:oMathPara>
          </w:p>
        </w:tc>
        <w:tc>
          <w:tcPr>
            <w:tcW w:w="0" w:type="auto"/>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53E38EB0" w14:textId="03828B98" w:rsidR="00E34C95" w:rsidRDefault="00000000">
            <w:pPr>
              <w:jc w:val="center"/>
            </w:pPr>
            <w:r>
              <w:rPr>
                <w:sz w:val="20"/>
                <w:szCs w:val="20"/>
              </w:rPr>
              <w:t xml:space="preserve">Effective 1D potential inferred by integrating </w:t>
            </w:r>
            <m:oMath>
              <m:sSub>
                <m:sSubPr>
                  <m:ctrlPr>
                    <w:rPr>
                      <w:rFonts w:ascii="Cambria Math" w:hAnsi="Cambria Math"/>
                      <w:i/>
                      <w:sz w:val="20"/>
                      <w:szCs w:val="20"/>
                    </w:rPr>
                  </m:ctrlPr>
                </m:sSubPr>
                <m:e>
                  <m:r>
                    <w:rPr>
                      <w:rFonts w:ascii="Cambria Math" w:hAnsi="Cambria Math"/>
                      <w:sz w:val="20"/>
                      <w:szCs w:val="20"/>
                    </w:rPr>
                    <m:t>g</m:t>
                  </m:r>
                </m:e>
                <m:sub>
                  <m:r>
                    <w:rPr>
                      <w:rFonts w:ascii="Cambria Math" w:hAnsi="Cambria Math"/>
                      <w:sz w:val="20"/>
                      <w:szCs w:val="20"/>
                    </w:rPr>
                    <m:t>obs</m:t>
                  </m:r>
                </m:sub>
              </m:sSub>
            </m:oMath>
            <w:r>
              <w:rPr>
                <w:sz w:val="20"/>
                <w:szCs w:val="20"/>
              </w:rPr>
              <w:t xml:space="preserve"> over </w:t>
            </w:r>
            <m:oMath>
              <m:r>
                <w:rPr>
                  <w:rFonts w:ascii="Cambria Math" w:hAnsi="Cambria Math"/>
                  <w:sz w:val="20"/>
                  <w:szCs w:val="20"/>
                </w:rPr>
                <m:t>R</m:t>
              </m:r>
            </m:oMath>
          </w:p>
        </w:tc>
      </w:tr>
      <w:tr w:rsidR="00E34C95" w14:paraId="70E49462" w14:textId="77777777" w:rsidTr="00591212">
        <w:tblPrEx>
          <w:tblCellMar>
            <w:top w:w="0" w:type="dxa"/>
            <w:bottom w:w="0" w:type="dxa"/>
          </w:tblCellMar>
        </w:tblPrEx>
        <w:tc>
          <w:tcPr>
            <w:tcW w:w="0" w:type="auto"/>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1E070CF0" w14:textId="331DB538" w:rsidR="00E34C95" w:rsidRPr="00591212" w:rsidRDefault="00591212">
            <w:pPr>
              <w:rPr>
                <w:b/>
                <w:bCs/>
              </w:rPr>
            </w:pPr>
            <m:oMathPara>
              <m:oMath>
                <m:sSub>
                  <m:sSubPr>
                    <m:ctrlPr>
                      <w:rPr>
                        <w:rFonts w:ascii="Cambria Math" w:hAnsi="Cambria Math"/>
                        <w:b/>
                        <w:bCs/>
                        <w:i/>
                        <w:sz w:val="20"/>
                        <w:szCs w:val="20"/>
                      </w:rPr>
                    </m:ctrlPr>
                  </m:sSubPr>
                  <m:e>
                    <m:r>
                      <m:rPr>
                        <m:sty m:val="bi"/>
                      </m:rPr>
                      <w:rPr>
                        <w:rFonts w:ascii="Cambria Math" w:hAnsi="Cambria Math"/>
                        <w:sz w:val="20"/>
                        <w:szCs w:val="20"/>
                      </w:rPr>
                      <m:t>A</m:t>
                    </m:r>
                  </m:e>
                  <m:sub>
                    <m:r>
                      <m:rPr>
                        <m:sty m:val="bi"/>
                      </m:rPr>
                      <w:rPr>
                        <w:rFonts w:ascii="Cambria Math" w:hAnsi="Cambria Math"/>
                        <w:sz w:val="20"/>
                        <w:szCs w:val="20"/>
                      </w:rPr>
                      <m:t>0</m:t>
                    </m:r>
                  </m:sub>
                </m:sSub>
                <m:r>
                  <m:rPr>
                    <m:sty m:val="bi"/>
                  </m:rPr>
                  <w:rPr>
                    <w:rFonts w:ascii="Cambria Math" w:hAnsi="Cambria Math"/>
                    <w:sz w:val="20"/>
                    <w:szCs w:val="20"/>
                  </w:rPr>
                  <m:t>≈1.2×</m:t>
                </m:r>
                <m:sSup>
                  <m:sSupPr>
                    <m:ctrlPr>
                      <w:rPr>
                        <w:rFonts w:ascii="Cambria Math" w:hAnsi="Cambria Math"/>
                        <w:b/>
                        <w:bCs/>
                        <w:i/>
                        <w:sz w:val="20"/>
                        <w:szCs w:val="20"/>
                      </w:rPr>
                    </m:ctrlPr>
                  </m:sSupPr>
                  <m:e>
                    <m:r>
                      <m:rPr>
                        <m:sty m:val="bi"/>
                      </m:rPr>
                      <w:rPr>
                        <w:rFonts w:ascii="Cambria Math" w:hAnsi="Cambria Math"/>
                        <w:sz w:val="20"/>
                        <w:szCs w:val="20"/>
                      </w:rPr>
                      <m:t>10</m:t>
                    </m:r>
                  </m:e>
                  <m:sup>
                    <m:r>
                      <m:rPr>
                        <m:sty m:val="bi"/>
                      </m:rPr>
                      <w:rPr>
                        <w:rFonts w:ascii="Cambria Math" w:hAnsi="Cambria Math"/>
                        <w:sz w:val="20"/>
                        <w:szCs w:val="20"/>
                      </w:rPr>
                      <m:t>-10</m:t>
                    </m:r>
                  </m:sup>
                </m:sSup>
                <m:r>
                  <m:rPr>
                    <m:sty m:val="bi"/>
                  </m:rPr>
                  <w:rPr>
                    <w:rFonts w:ascii="Cambria Math" w:hAnsi="Cambria Math"/>
                    <w:sz w:val="20"/>
                    <w:szCs w:val="20"/>
                  </w:rPr>
                  <m:t>m</m:t>
                </m:r>
                <m:r>
                  <m:rPr>
                    <m:lit/>
                    <m:sty m:val="bi"/>
                  </m:rPr>
                  <w:rPr>
                    <w:rFonts w:ascii="Cambria Math" w:hAnsi="Cambria Math"/>
                    <w:sz w:val="20"/>
                    <w:szCs w:val="20"/>
                  </w:rPr>
                  <m:t>/</m:t>
                </m:r>
                <m:sSup>
                  <m:sSupPr>
                    <m:ctrlPr>
                      <w:rPr>
                        <w:rFonts w:ascii="Cambria Math" w:hAnsi="Cambria Math"/>
                        <w:b/>
                        <w:bCs/>
                        <w:i/>
                        <w:sz w:val="20"/>
                        <w:szCs w:val="20"/>
                      </w:rPr>
                    </m:ctrlPr>
                  </m:sSupPr>
                  <m:e>
                    <m:r>
                      <m:rPr>
                        <m:sty m:val="bi"/>
                      </m:rPr>
                      <w:rPr>
                        <w:rFonts w:ascii="Cambria Math" w:hAnsi="Cambria Math"/>
                        <w:sz w:val="20"/>
                        <w:szCs w:val="20"/>
                      </w:rPr>
                      <m:t>s</m:t>
                    </m:r>
                  </m:e>
                  <m:sup>
                    <m:r>
                      <m:rPr>
                        <m:sty m:val="bi"/>
                      </m:rPr>
                      <w:rPr>
                        <w:rFonts w:ascii="Cambria Math" w:hAnsi="Cambria Math"/>
                        <w:sz w:val="20"/>
                        <w:szCs w:val="20"/>
                      </w:rPr>
                      <m:t>2</m:t>
                    </m:r>
                  </m:sup>
                </m:sSup>
              </m:oMath>
            </m:oMathPara>
          </w:p>
        </w:tc>
        <w:tc>
          <w:tcPr>
            <w:tcW w:w="0" w:type="auto"/>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0F880997" w14:textId="19CD3E10" w:rsidR="00E34C95" w:rsidRDefault="00000000">
            <w:pPr>
              <w:jc w:val="center"/>
            </w:pPr>
            <w:r>
              <w:rPr>
                <w:sz w:val="20"/>
                <w:szCs w:val="20"/>
              </w:rPr>
              <w:t xml:space="preserve">Empirical acceleration scale (MOND/RAR); defines transition radius </w:t>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t</m:t>
                  </m:r>
                </m:sub>
              </m:sSub>
            </m:oMath>
          </w:p>
        </w:tc>
      </w:tr>
      <w:tr w:rsidR="00E34C95" w14:paraId="25D0F4E1" w14:textId="77777777" w:rsidTr="00591212">
        <w:tblPrEx>
          <w:tblCellMar>
            <w:top w:w="0" w:type="dxa"/>
            <w:bottom w:w="0" w:type="dxa"/>
          </w:tblCellMar>
        </w:tblPrEx>
        <w:tc>
          <w:tcPr>
            <w:tcW w:w="0" w:type="auto"/>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0C1D6C17" w14:textId="534E5C63" w:rsidR="00E34C95" w:rsidRPr="00591212" w:rsidRDefault="00591212">
            <w:pPr>
              <w:rPr>
                <w:b/>
                <w:bCs/>
              </w:rPr>
            </w:pPr>
            <m:oMathPara>
              <m:oMath>
                <m:sSub>
                  <m:sSubPr>
                    <m:ctrlPr>
                      <w:rPr>
                        <w:rFonts w:ascii="Cambria Math" w:hAnsi="Cambria Math"/>
                        <w:b/>
                        <w:bCs/>
                        <w:i/>
                        <w:sz w:val="20"/>
                        <w:szCs w:val="20"/>
                      </w:rPr>
                    </m:ctrlPr>
                  </m:sSubPr>
                  <m:e>
                    <m:r>
                      <m:rPr>
                        <m:sty m:val="bi"/>
                      </m:rPr>
                      <w:rPr>
                        <w:rFonts w:ascii="Cambria Math" w:hAnsi="Cambria Math"/>
                        <w:sz w:val="20"/>
                        <w:szCs w:val="20"/>
                      </w:rPr>
                      <m:t>R</m:t>
                    </m:r>
                  </m:e>
                  <m:sub>
                    <m:r>
                      <m:rPr>
                        <m:sty m:val="bi"/>
                      </m:rPr>
                      <w:rPr>
                        <w:rFonts w:ascii="Cambria Math" w:hAnsi="Cambria Math"/>
                        <w:sz w:val="20"/>
                        <w:szCs w:val="20"/>
                      </w:rPr>
                      <m:t>t</m:t>
                    </m:r>
                  </m:sub>
                </m:sSub>
                <m:d>
                  <m:dPr>
                    <m:ctrlPr>
                      <w:rPr>
                        <w:rFonts w:ascii="Cambria Math" w:hAnsi="Cambria Math"/>
                        <w:b/>
                        <w:bCs/>
                        <w:i/>
                        <w:sz w:val="20"/>
                        <w:szCs w:val="20"/>
                      </w:rPr>
                    </m:ctrlPr>
                  </m:dPr>
                  <m:e>
                    <m:r>
                      <m:rPr>
                        <m:sty m:val="bi"/>
                      </m:rPr>
                      <w:rPr>
                        <w:rFonts w:ascii="Cambria Math" w:hAnsi="Cambria Math"/>
                        <w:sz w:val="20"/>
                        <w:szCs w:val="20"/>
                      </w:rPr>
                      <m:t>kpc</m:t>
                    </m:r>
                  </m:e>
                </m:d>
              </m:oMath>
            </m:oMathPara>
          </w:p>
        </w:tc>
        <w:tc>
          <w:tcPr>
            <w:tcW w:w="0" w:type="auto"/>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5FC864D4" w14:textId="3ADBEF70" w:rsidR="00E34C95" w:rsidRDefault="00000000">
            <w:pPr>
              <w:jc w:val="center"/>
            </w:pPr>
            <w:r>
              <w:rPr>
                <w:sz w:val="20"/>
                <w:szCs w:val="20"/>
              </w:rPr>
              <w:t xml:space="preserve">Transition radius where </w:t>
            </w:r>
            <m:oMath>
              <m:sSub>
                <m:sSubPr>
                  <m:ctrlPr>
                    <w:rPr>
                      <w:rFonts w:ascii="Cambria Math" w:hAnsi="Cambria Math"/>
                      <w:i/>
                      <w:sz w:val="20"/>
                      <w:szCs w:val="20"/>
                    </w:rPr>
                  </m:ctrlPr>
                </m:sSubPr>
                <m:e>
                  <m:r>
                    <w:rPr>
                      <w:rFonts w:ascii="Cambria Math" w:hAnsi="Cambria Math"/>
                      <w:sz w:val="20"/>
                      <w:szCs w:val="20"/>
                    </w:rPr>
                    <m:t>g</m:t>
                  </m:r>
                </m:e>
                <m:sub>
                  <m:r>
                    <w:rPr>
                      <w:rFonts w:ascii="Cambria Math" w:hAnsi="Cambria Math"/>
                      <w:sz w:val="20"/>
                      <w:szCs w:val="20"/>
                    </w:rPr>
                    <m:t>bar</m:t>
                  </m:r>
                </m:sub>
              </m:sSub>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t</m:t>
                      </m:r>
                    </m:sub>
                  </m:sSub>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0</m:t>
                  </m:r>
                </m:sub>
              </m:sSub>
            </m:oMath>
          </w:p>
        </w:tc>
      </w:tr>
      <w:tr w:rsidR="00E34C95" w14:paraId="188A875B" w14:textId="77777777" w:rsidTr="00591212">
        <w:tblPrEx>
          <w:tblCellMar>
            <w:top w:w="0" w:type="dxa"/>
            <w:bottom w:w="0" w:type="dxa"/>
          </w:tblCellMar>
        </w:tblPrEx>
        <w:tc>
          <w:tcPr>
            <w:tcW w:w="0" w:type="auto"/>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5C4F29BD" w14:textId="1FF24266" w:rsidR="00E34C95" w:rsidRPr="00591212" w:rsidRDefault="00591212">
            <w:pPr>
              <w:rPr>
                <w:b/>
                <w:bCs/>
              </w:rPr>
            </w:pPr>
            <m:oMathPara>
              <m:oMath>
                <m:r>
                  <m:rPr>
                    <m:sty m:val="bi"/>
                  </m:rPr>
                  <w:rPr>
                    <w:rFonts w:ascii="Cambria Math" w:hAnsi="Cambria Math"/>
                    <w:sz w:val="20"/>
                    <w:szCs w:val="20"/>
                  </w:rPr>
                  <m:t>Q</m:t>
                </m:r>
                <m:d>
                  <m:dPr>
                    <m:ctrlPr>
                      <w:rPr>
                        <w:rFonts w:ascii="Cambria Math" w:hAnsi="Cambria Math"/>
                        <w:b/>
                        <w:bCs/>
                        <w:i/>
                        <w:sz w:val="20"/>
                        <w:szCs w:val="20"/>
                      </w:rPr>
                    </m:ctrlPr>
                  </m:dPr>
                  <m:e>
                    <m:r>
                      <m:rPr>
                        <m:sty m:val="bi"/>
                      </m:rPr>
                      <w:rPr>
                        <w:rFonts w:ascii="Cambria Math" w:hAnsi="Cambria Math"/>
                        <w:sz w:val="20"/>
                        <w:szCs w:val="20"/>
                      </w:rPr>
                      <m:t>k</m:t>
                    </m:r>
                    <m:sSup>
                      <m:sSupPr>
                        <m:ctrlPr>
                          <w:rPr>
                            <w:rFonts w:ascii="Cambria Math" w:hAnsi="Cambria Math"/>
                            <w:b/>
                            <w:bCs/>
                            <w:i/>
                            <w:sz w:val="20"/>
                            <w:szCs w:val="20"/>
                          </w:rPr>
                        </m:ctrlPr>
                      </m:sSupPr>
                      <m:e>
                        <m:r>
                          <m:rPr>
                            <m:sty m:val="bi"/>
                          </m:rPr>
                          <w:rPr>
                            <w:rFonts w:ascii="Cambria Math" w:hAnsi="Cambria Math"/>
                            <w:sz w:val="20"/>
                            <w:szCs w:val="20"/>
                          </w:rPr>
                          <m:t>m</m:t>
                        </m:r>
                      </m:e>
                      <m:sup>
                        <m:r>
                          <m:rPr>
                            <m:sty m:val="bi"/>
                          </m:rPr>
                          <w:rPr>
                            <w:rFonts w:ascii="Cambria Math" w:hAnsi="Cambria Math"/>
                            <w:sz w:val="20"/>
                            <w:szCs w:val="20"/>
                          </w:rPr>
                          <m:t>2</m:t>
                        </m:r>
                      </m:sup>
                    </m:sSup>
                    <m:r>
                      <m:rPr>
                        <m:lit/>
                        <m:sty m:val="bi"/>
                      </m:rPr>
                      <w:rPr>
                        <w:rFonts w:ascii="Cambria Math" w:hAnsi="Cambria Math"/>
                        <w:sz w:val="20"/>
                        <w:szCs w:val="20"/>
                      </w:rPr>
                      <m:t>/</m:t>
                    </m:r>
                    <m:sSup>
                      <m:sSupPr>
                        <m:ctrlPr>
                          <w:rPr>
                            <w:rFonts w:ascii="Cambria Math" w:hAnsi="Cambria Math"/>
                            <w:b/>
                            <w:bCs/>
                            <w:i/>
                            <w:sz w:val="20"/>
                            <w:szCs w:val="20"/>
                          </w:rPr>
                        </m:ctrlPr>
                      </m:sSupPr>
                      <m:e>
                        <m:r>
                          <m:rPr>
                            <m:sty m:val="bi"/>
                          </m:rPr>
                          <w:rPr>
                            <w:rFonts w:ascii="Cambria Math" w:hAnsi="Cambria Math"/>
                            <w:sz w:val="20"/>
                            <w:szCs w:val="20"/>
                          </w:rPr>
                          <m:t>s</m:t>
                        </m:r>
                      </m:e>
                      <m:sup>
                        <m:r>
                          <m:rPr>
                            <m:sty m:val="bi"/>
                          </m:rPr>
                          <w:rPr>
                            <w:rFonts w:ascii="Cambria Math" w:hAnsi="Cambria Math"/>
                            <w:sz w:val="20"/>
                            <w:szCs w:val="20"/>
                          </w:rPr>
                          <m:t>2</m:t>
                        </m:r>
                      </m:sup>
                    </m:sSup>
                  </m:e>
                </m:d>
              </m:oMath>
            </m:oMathPara>
          </w:p>
        </w:tc>
        <w:tc>
          <w:tcPr>
            <w:tcW w:w="0" w:type="auto"/>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640114DE" w14:textId="26A2F5A1" w:rsidR="00E34C95" w:rsidRDefault="00000000">
            <w:pPr>
              <w:jc w:val="center"/>
            </w:pPr>
            <w:r>
              <w:rPr>
                <w:sz w:val="20"/>
                <w:szCs w:val="20"/>
              </w:rPr>
              <w:t xml:space="preserve">Fitted auxiliary-field amplitude; </w:t>
            </w: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extra</m:t>
                  </m:r>
                </m:sub>
              </m:sSub>
              <m:r>
                <w:rPr>
                  <w:rFonts w:ascii="Cambria Math" w:hAnsi="Cambria Math"/>
                  <w:sz w:val="20"/>
                  <w:szCs w:val="20"/>
                </w:rPr>
                <m:t>=</m:t>
              </m:r>
              <m:rad>
                <m:radPr>
                  <m:degHide m:val="1"/>
                  <m:ctrlPr>
                    <w:rPr>
                      <w:rFonts w:ascii="Cambria Math" w:hAnsi="Cambria Math"/>
                      <w:i/>
                      <w:sz w:val="20"/>
                      <w:szCs w:val="20"/>
                    </w:rPr>
                  </m:ctrlPr>
                </m:radPr>
                <m:deg/>
                <m:e>
                  <m:r>
                    <w:rPr>
                      <w:rFonts w:ascii="Cambria Math" w:hAnsi="Cambria Math"/>
                      <w:sz w:val="20"/>
                      <w:szCs w:val="20"/>
                    </w:rPr>
                    <m:t>Q</m:t>
                  </m:r>
                </m:e>
              </m:rad>
              <m:d>
                <m:dPr>
                  <m:ctrlPr>
                    <w:rPr>
                      <w:rFonts w:ascii="Cambria Math" w:hAnsi="Cambria Math"/>
                      <w:i/>
                      <w:sz w:val="20"/>
                      <w:szCs w:val="20"/>
                    </w:rPr>
                  </m:ctrlPr>
                </m:dPr>
                <m:e>
                  <m:r>
                    <w:rPr>
                      <w:rFonts w:ascii="Cambria Math" w:hAnsi="Cambria Math"/>
                      <w:sz w:val="20"/>
                      <w:szCs w:val="20"/>
                    </w:rPr>
                    <m:t>km</m:t>
                  </m:r>
                  <m:r>
                    <m:rPr>
                      <m:lit/>
                    </m:rPr>
                    <w:rPr>
                      <w:rFonts w:ascii="Cambria Math" w:hAnsi="Cambria Math"/>
                      <w:sz w:val="20"/>
                      <w:szCs w:val="20"/>
                    </w:rPr>
                    <m:t>/</m:t>
                  </m:r>
                  <m:r>
                    <w:rPr>
                      <w:rFonts w:ascii="Cambria Math" w:hAnsi="Cambria Math"/>
                      <w:sz w:val="20"/>
                      <w:szCs w:val="20"/>
                    </w:rPr>
                    <m:t>s</m:t>
                  </m:r>
                </m:e>
              </m:d>
            </m:oMath>
            <w:r>
              <w:rPr>
                <w:sz w:val="20"/>
                <w:szCs w:val="20"/>
              </w:rPr>
              <w:t xml:space="preserve"> is asymptotic extra speed</w:t>
            </w:r>
          </w:p>
        </w:tc>
      </w:tr>
      <w:tr w:rsidR="00E34C95" w14:paraId="4D83F3CD" w14:textId="77777777" w:rsidTr="00591212">
        <w:tblPrEx>
          <w:tblCellMar>
            <w:top w:w="0" w:type="dxa"/>
            <w:bottom w:w="0" w:type="dxa"/>
          </w:tblCellMar>
        </w:tblPrEx>
        <w:tc>
          <w:tcPr>
            <w:tcW w:w="0" w:type="auto"/>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15776775" w14:textId="468383B2" w:rsidR="00E34C95" w:rsidRPr="00591212" w:rsidRDefault="00591212">
            <w:pPr>
              <w:rPr>
                <w:b/>
                <w:bCs/>
              </w:rPr>
            </w:pPr>
            <m:oMathPara>
              <m:oMath>
                <m:sSubSup>
                  <m:sSubSupPr>
                    <m:ctrlPr>
                      <w:rPr>
                        <w:rFonts w:ascii="Cambria Math" w:hAnsi="Cambria Math"/>
                        <w:b/>
                        <w:bCs/>
                        <w:i/>
                        <w:sz w:val="20"/>
                        <w:szCs w:val="20"/>
                      </w:rPr>
                    </m:ctrlPr>
                  </m:sSubSupPr>
                  <m:e>
                    <m:r>
                      <m:rPr>
                        <m:sty m:val="bi"/>
                      </m:rPr>
                      <w:rPr>
                        <w:rFonts w:ascii="Cambria Math" w:hAnsi="Cambria Math"/>
                        <w:sz w:val="20"/>
                        <w:szCs w:val="20"/>
                      </w:rPr>
                      <m:t>χ</m:t>
                    </m:r>
                  </m:e>
                  <m:sub>
                    <m:r>
                      <m:rPr>
                        <m:sty m:val="bi"/>
                      </m:rPr>
                      <w:rPr>
                        <w:rFonts w:ascii="Cambria Math" w:hAnsi="Cambria Math"/>
                        <w:sz w:val="20"/>
                        <w:szCs w:val="20"/>
                      </w:rPr>
                      <m:t>bar</m:t>
                    </m:r>
                  </m:sub>
                  <m:sup>
                    <m:r>
                      <m:rPr>
                        <m:sty m:val="bi"/>
                      </m:rPr>
                      <w:rPr>
                        <w:rFonts w:ascii="Cambria Math" w:hAnsi="Cambria Math"/>
                        <w:sz w:val="20"/>
                        <w:szCs w:val="20"/>
                      </w:rPr>
                      <m:t>2</m:t>
                    </m:r>
                  </m:sup>
                </m:sSubSup>
                <m:r>
                  <m:rPr>
                    <m:lit/>
                    <m:sty m:val="bi"/>
                  </m:rPr>
                  <w:rPr>
                    <w:rFonts w:ascii="Cambria Math" w:hAnsi="Cambria Math"/>
                    <w:sz w:val="20"/>
                    <w:szCs w:val="20"/>
                  </w:rPr>
                  <m:t>/</m:t>
                </m:r>
                <m:sSubSup>
                  <m:sSubSupPr>
                    <m:ctrlPr>
                      <w:rPr>
                        <w:rFonts w:ascii="Cambria Math" w:hAnsi="Cambria Math"/>
                        <w:b/>
                        <w:bCs/>
                        <w:i/>
                        <w:sz w:val="20"/>
                        <w:szCs w:val="20"/>
                      </w:rPr>
                    </m:ctrlPr>
                  </m:sSubSupPr>
                  <m:e>
                    <m:r>
                      <m:rPr>
                        <m:sty m:val="bi"/>
                      </m:rPr>
                      <w:rPr>
                        <w:rFonts w:ascii="Cambria Math" w:hAnsi="Cambria Math"/>
                        <w:sz w:val="20"/>
                        <w:szCs w:val="20"/>
                      </w:rPr>
                      <m:t>χ</m:t>
                    </m:r>
                  </m:e>
                  <m:sub>
                    <m:r>
                      <m:rPr>
                        <m:sty m:val="bi"/>
                      </m:rPr>
                      <w:rPr>
                        <w:rFonts w:ascii="Cambria Math" w:hAnsi="Cambria Math"/>
                        <w:sz w:val="20"/>
                        <w:szCs w:val="20"/>
                      </w:rPr>
                      <m:t>model</m:t>
                    </m:r>
                  </m:sub>
                  <m:sup>
                    <m:r>
                      <m:rPr>
                        <m:sty m:val="bi"/>
                      </m:rPr>
                      <w:rPr>
                        <w:rFonts w:ascii="Cambria Math" w:hAnsi="Cambria Math"/>
                        <w:sz w:val="20"/>
                        <w:szCs w:val="20"/>
                      </w:rPr>
                      <m:t>2</m:t>
                    </m:r>
                  </m:sup>
                </m:sSubSup>
              </m:oMath>
            </m:oMathPara>
          </w:p>
        </w:tc>
        <w:tc>
          <w:tcPr>
            <w:tcW w:w="0" w:type="auto"/>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20C8AC3A" w14:textId="77777777" w:rsidR="00E34C95" w:rsidRDefault="00000000">
            <w:pPr>
              <w:jc w:val="center"/>
            </w:pPr>
            <w:r>
              <w:rPr>
                <w:sz w:val="20"/>
                <w:szCs w:val="20"/>
              </w:rPr>
              <w:t>Weighted chi-squared for baryons-only / one-parameter model</w:t>
            </w:r>
          </w:p>
        </w:tc>
      </w:tr>
      <w:tr w:rsidR="00E34C95" w14:paraId="542E8272" w14:textId="77777777" w:rsidTr="00591212">
        <w:tblPrEx>
          <w:tblCellMar>
            <w:top w:w="0" w:type="dxa"/>
            <w:bottom w:w="0" w:type="dxa"/>
          </w:tblCellMar>
        </w:tblPrEx>
        <w:tc>
          <w:tcPr>
            <w:tcW w:w="0" w:type="auto"/>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5A2CEB4B" w14:textId="09E855E5" w:rsidR="00E34C95" w:rsidRPr="00591212" w:rsidRDefault="00591212">
            <w:pPr>
              <w:rPr>
                <w:b/>
                <w:bCs/>
              </w:rPr>
            </w:pPr>
            <m:oMathPara>
              <m:oMath>
                <m:r>
                  <m:rPr>
                    <m:sty m:val="bi"/>
                  </m:rPr>
                  <w:rPr>
                    <w:rFonts w:ascii="Cambria Math" w:hAnsi="Cambria Math"/>
                    <w:sz w:val="20"/>
                    <w:szCs w:val="20"/>
                  </w:rPr>
                  <m:t>Δ</m:t>
                </m:r>
                <m:sSup>
                  <m:sSupPr>
                    <m:ctrlPr>
                      <w:rPr>
                        <w:rFonts w:ascii="Cambria Math" w:hAnsi="Cambria Math"/>
                        <w:b/>
                        <w:bCs/>
                        <w:i/>
                        <w:sz w:val="20"/>
                        <w:szCs w:val="20"/>
                      </w:rPr>
                    </m:ctrlPr>
                  </m:sSupPr>
                  <m:e>
                    <m:r>
                      <m:rPr>
                        <m:sty m:val="bi"/>
                      </m:rPr>
                      <w:rPr>
                        <w:rFonts w:ascii="Cambria Math" w:hAnsi="Cambria Math"/>
                        <w:sz w:val="20"/>
                        <w:szCs w:val="20"/>
                      </w:rPr>
                      <m:t>χ</m:t>
                    </m:r>
                  </m:e>
                  <m:sup>
                    <m:r>
                      <m:rPr>
                        <m:sty m:val="bi"/>
                      </m:rPr>
                      <w:rPr>
                        <w:rFonts w:ascii="Cambria Math" w:hAnsi="Cambria Math"/>
                        <w:sz w:val="20"/>
                        <w:szCs w:val="20"/>
                      </w:rPr>
                      <m:t>2</m:t>
                    </m:r>
                  </m:sup>
                </m:sSup>
              </m:oMath>
            </m:oMathPara>
          </w:p>
        </w:tc>
        <w:tc>
          <w:tcPr>
            <w:tcW w:w="0" w:type="auto"/>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084B84B3" w14:textId="435091E1" w:rsidR="00E34C95" w:rsidRDefault="00000000">
            <w:pPr>
              <w:jc w:val="center"/>
            </w:pPr>
            <w:r>
              <w:rPr>
                <w:sz w:val="20"/>
                <w:szCs w:val="20"/>
              </w:rPr>
              <w:t xml:space="preserve">Nested improvement: </w:t>
            </w:r>
            <m:oMath>
              <m:sSubSup>
                <m:sSubSupPr>
                  <m:ctrlPr>
                    <w:rPr>
                      <w:rFonts w:ascii="Cambria Math" w:hAnsi="Cambria Math"/>
                      <w:i/>
                      <w:sz w:val="20"/>
                      <w:szCs w:val="20"/>
                    </w:rPr>
                  </m:ctrlPr>
                </m:sSubSupPr>
                <m:e>
                  <m:r>
                    <w:rPr>
                      <w:rFonts w:ascii="Cambria Math" w:hAnsi="Cambria Math"/>
                      <w:sz w:val="20"/>
                      <w:szCs w:val="20"/>
                    </w:rPr>
                    <m:t>χ</m:t>
                  </m:r>
                </m:e>
                <m:sub>
                  <m:r>
                    <w:rPr>
                      <w:rFonts w:ascii="Cambria Math" w:hAnsi="Cambria Math"/>
                      <w:sz w:val="20"/>
                      <w:szCs w:val="20"/>
                    </w:rPr>
                    <m:t>bar</m:t>
                  </m:r>
                </m:sub>
                <m:sup>
                  <m:r>
                    <w:rPr>
                      <w:rFonts w:ascii="Cambria Math" w:hAnsi="Cambria Math"/>
                      <w:sz w:val="20"/>
                      <w:szCs w:val="20"/>
                    </w:rPr>
                    <m:t>2</m:t>
                  </m:r>
                </m:sup>
              </m:sSubSup>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χ</m:t>
                  </m:r>
                </m:e>
                <m:sub>
                  <m:r>
                    <w:rPr>
                      <w:rFonts w:ascii="Cambria Math" w:hAnsi="Cambria Math"/>
                      <w:sz w:val="20"/>
                      <w:szCs w:val="20"/>
                    </w:rPr>
                    <m:t>model</m:t>
                  </m:r>
                </m:sub>
                <m:sup>
                  <m:r>
                    <w:rPr>
                      <w:rFonts w:ascii="Cambria Math" w:hAnsi="Cambria Math"/>
                      <w:sz w:val="20"/>
                      <w:szCs w:val="20"/>
                    </w:rPr>
                    <m:t>2</m:t>
                  </m:r>
                </m:sup>
              </m:sSubSup>
            </m:oMath>
            <w:r>
              <w:rPr>
                <w:sz w:val="20"/>
                <w:szCs w:val="20"/>
              </w:rPr>
              <w:t>; converted to Z-score for classification</w:t>
            </w:r>
          </w:p>
        </w:tc>
      </w:tr>
      <w:tr w:rsidR="00E34C95" w14:paraId="2CB69D9D" w14:textId="77777777" w:rsidTr="00591212">
        <w:tblPrEx>
          <w:tblCellMar>
            <w:top w:w="0" w:type="dxa"/>
            <w:bottom w:w="0" w:type="dxa"/>
          </w:tblCellMar>
        </w:tblPrEx>
        <w:tc>
          <w:tcPr>
            <w:tcW w:w="0" w:type="auto"/>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174F2AD4" w14:textId="638768B1" w:rsidR="00E34C95" w:rsidRPr="00591212" w:rsidRDefault="00591212">
            <w:pPr>
              <w:rPr>
                <w:b/>
                <w:bCs/>
              </w:rPr>
            </w:pPr>
            <m:oMathPara>
              <m:oMath>
                <m:sSub>
                  <m:sSubPr>
                    <m:ctrlPr>
                      <w:rPr>
                        <w:rFonts w:ascii="Cambria Math" w:hAnsi="Cambria Math"/>
                        <w:b/>
                        <w:bCs/>
                        <w:i/>
                        <w:sz w:val="20"/>
                        <w:szCs w:val="20"/>
                      </w:rPr>
                    </m:ctrlPr>
                  </m:sSubPr>
                  <m:e>
                    <m:r>
                      <m:rPr>
                        <m:sty m:val="bi"/>
                      </m:rPr>
                      <w:rPr>
                        <w:rFonts w:ascii="Cambria Math" w:hAnsi="Cambria Math"/>
                        <w:sz w:val="20"/>
                        <w:szCs w:val="20"/>
                      </w:rPr>
                      <m:t>Q</m:t>
                    </m:r>
                  </m:e>
                  <m:sub>
                    <m:r>
                      <m:rPr>
                        <m:sty m:val="bi"/>
                      </m:rPr>
                      <w:rPr>
                        <w:rFonts w:ascii="Cambria Math" w:hAnsi="Cambria Math"/>
                        <w:sz w:val="20"/>
                        <w:szCs w:val="20"/>
                      </w:rPr>
                      <m:t>flag</m:t>
                    </m:r>
                  </m:sub>
                </m:sSub>
              </m:oMath>
            </m:oMathPara>
          </w:p>
        </w:tc>
        <w:tc>
          <w:tcPr>
            <w:tcW w:w="0" w:type="auto"/>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532AD192" w14:textId="77777777" w:rsidR="00E34C95" w:rsidRDefault="00000000">
            <w:pPr>
              <w:jc w:val="center"/>
            </w:pPr>
            <w:r>
              <w:rPr>
                <w:sz w:val="20"/>
                <w:szCs w:val="20"/>
              </w:rPr>
              <w:t>SPARC data-quality flag: 1 = best, 3 = poorest photometric quality</w:t>
            </w:r>
          </w:p>
        </w:tc>
      </w:tr>
      <w:tr w:rsidR="00E34C95" w14:paraId="0F825F38" w14:textId="77777777" w:rsidTr="00591212">
        <w:tblPrEx>
          <w:tblCellMar>
            <w:top w:w="0" w:type="dxa"/>
            <w:bottom w:w="0" w:type="dxa"/>
          </w:tblCellMar>
        </w:tblPrEx>
        <w:tc>
          <w:tcPr>
            <w:tcW w:w="0" w:type="auto"/>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74C96620" w14:textId="6AE13C40" w:rsidR="00E34C95" w:rsidRPr="00591212" w:rsidRDefault="00591212">
            <w:pPr>
              <w:rPr>
                <w:b/>
                <w:bCs/>
              </w:rPr>
            </w:pPr>
            <m:oMathPara>
              <m:oMath>
                <m:r>
                  <m:rPr>
                    <m:sty m:val="bi"/>
                  </m:rPr>
                  <w:rPr>
                    <w:rFonts w:ascii="Cambria Math" w:hAnsi="Cambria Math"/>
                    <w:sz w:val="20"/>
                    <w:szCs w:val="20"/>
                  </w:rPr>
                  <m:t>en</m:t>
                </m:r>
                <m:sSub>
                  <m:sSubPr>
                    <m:ctrlPr>
                      <w:rPr>
                        <w:rFonts w:ascii="Cambria Math" w:hAnsi="Cambria Math"/>
                        <w:b/>
                        <w:bCs/>
                        <w:i/>
                        <w:sz w:val="20"/>
                        <w:szCs w:val="20"/>
                      </w:rPr>
                    </m:ctrlPr>
                  </m:sSubPr>
                  <m:e>
                    <m:r>
                      <m:rPr>
                        <m:sty m:val="bi"/>
                      </m:rPr>
                      <w:rPr>
                        <w:rFonts w:ascii="Cambria Math" w:hAnsi="Cambria Math"/>
                        <w:sz w:val="20"/>
                        <w:szCs w:val="20"/>
                      </w:rPr>
                      <m:t>v</m:t>
                    </m:r>
                  </m:e>
                  <m:sub>
                    <m:r>
                      <m:rPr>
                        <m:sty m:val="bi"/>
                      </m:rPr>
                      <w:rPr>
                        <w:rFonts w:ascii="Cambria Math" w:hAnsi="Cambria Math"/>
                        <w:sz w:val="20"/>
                        <w:szCs w:val="20"/>
                      </w:rPr>
                      <m:t>delta</m:t>
                    </m:r>
                  </m:sub>
                </m:sSub>
              </m:oMath>
            </m:oMathPara>
          </w:p>
        </w:tc>
        <w:tc>
          <w:tcPr>
            <w:tcW w:w="0" w:type="auto"/>
            <w:tcBorders>
              <w:top w:val="single" w:sz="1" w:space="0" w:color="D8DCE2"/>
              <w:left w:val="single" w:sz="1" w:space="0" w:color="D8DCE2"/>
              <w:bottom w:val="single" w:sz="1" w:space="0" w:color="D8DCE2"/>
              <w:right w:val="single" w:sz="1" w:space="0" w:color="D8DCE2"/>
            </w:tcBorders>
            <w:shd w:val="clear" w:color="auto" w:fill="FFFFFF"/>
            <w:tcMar>
              <w:top w:w="80" w:type="dxa"/>
              <w:left w:w="140" w:type="dxa"/>
              <w:bottom w:w="80" w:type="dxa"/>
              <w:right w:w="140" w:type="dxa"/>
            </w:tcMar>
            <w:vAlign w:val="center"/>
          </w:tcPr>
          <w:p w14:paraId="6D5FCE83" w14:textId="77777777" w:rsidR="00E34C95" w:rsidRDefault="00000000">
            <w:pPr>
              <w:jc w:val="center"/>
            </w:pPr>
            <w:r>
              <w:rPr>
                <w:sz w:val="20"/>
                <w:szCs w:val="20"/>
              </w:rPr>
              <w:t>Environmental overdensity proxy for the galaxy's local large-scale environment</w:t>
            </w:r>
          </w:p>
        </w:tc>
      </w:tr>
      <w:tr w:rsidR="00E34C95" w14:paraId="0620D1F4" w14:textId="77777777" w:rsidTr="00591212">
        <w:tblPrEx>
          <w:tblCellMar>
            <w:top w:w="0" w:type="dxa"/>
            <w:bottom w:w="0" w:type="dxa"/>
          </w:tblCellMar>
        </w:tblPrEx>
        <w:tc>
          <w:tcPr>
            <w:tcW w:w="0" w:type="auto"/>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178BA2EA" w14:textId="2FBAD8C0" w:rsidR="00E34C95" w:rsidRPr="00591212" w:rsidRDefault="00591212">
            <w:pPr>
              <w:rPr>
                <w:b/>
                <w:bCs/>
              </w:rPr>
            </w:pPr>
            <m:oMathPara>
              <m:oMath>
                <m:r>
                  <m:rPr>
                    <m:sty m:val="bi"/>
                  </m:rPr>
                  <w:rPr>
                    <w:rFonts w:ascii="Cambria Math" w:hAnsi="Cambria Math"/>
                    <w:sz w:val="20"/>
                    <w:szCs w:val="20"/>
                  </w:rPr>
                  <m:t>f</m:t>
                </m:r>
                <m:d>
                  <m:dPr>
                    <m:ctrlPr>
                      <w:rPr>
                        <w:rFonts w:ascii="Cambria Math" w:hAnsi="Cambria Math"/>
                        <w:b/>
                        <w:bCs/>
                        <w:i/>
                        <w:sz w:val="20"/>
                        <w:szCs w:val="20"/>
                      </w:rPr>
                    </m:ctrlPr>
                  </m:dPr>
                  <m:e>
                    <m:r>
                      <m:rPr>
                        <m:sty m:val="bi"/>
                      </m:rPr>
                      <w:rPr>
                        <w:rFonts w:ascii="Cambria Math" w:hAnsi="Cambria Math"/>
                        <w:sz w:val="20"/>
                        <w:szCs w:val="20"/>
                      </w:rPr>
                      <m:t>R</m:t>
                    </m:r>
                  </m:e>
                </m:d>
              </m:oMath>
            </m:oMathPara>
          </w:p>
        </w:tc>
        <w:tc>
          <w:tcPr>
            <w:tcW w:w="0" w:type="auto"/>
            <w:tcBorders>
              <w:top w:val="single" w:sz="1" w:space="0" w:color="D8DCE2"/>
              <w:left w:val="single" w:sz="1" w:space="0" w:color="D8DCE2"/>
              <w:bottom w:val="single" w:sz="1" w:space="0" w:color="D8DCE2"/>
              <w:right w:val="single" w:sz="1" w:space="0" w:color="D8DCE2"/>
            </w:tcBorders>
            <w:shd w:val="clear" w:color="auto" w:fill="EFF6FF"/>
            <w:tcMar>
              <w:top w:w="80" w:type="dxa"/>
              <w:left w:w="140" w:type="dxa"/>
              <w:bottom w:w="80" w:type="dxa"/>
              <w:right w:w="140" w:type="dxa"/>
            </w:tcMar>
            <w:vAlign w:val="center"/>
          </w:tcPr>
          <w:p w14:paraId="62F5ADFE" w14:textId="57A3E96B" w:rsidR="00E34C95" w:rsidRDefault="00000000">
            <w:pPr>
              <w:jc w:val="center"/>
            </w:pPr>
            <w:r>
              <w:rPr>
                <w:sz w:val="20"/>
                <w:szCs w:val="20"/>
              </w:rPr>
              <w:t xml:space="preserve">Dyed-fabric depth scalar: </w:t>
            </w:r>
            <m:oMath>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R</m:t>
                  </m:r>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Φ</m:t>
                  </m:r>
                </m:e>
                <m:sub>
                  <m:r>
                    <w:rPr>
                      <w:rFonts w:ascii="Cambria Math" w:hAnsi="Cambria Math"/>
                      <w:sz w:val="20"/>
                      <w:szCs w:val="20"/>
                    </w:rPr>
                    <m:t>obs</m:t>
                  </m:r>
                </m:sub>
              </m:sSub>
              <m:d>
                <m:dPr>
                  <m:ctrlPr>
                    <w:rPr>
                      <w:rFonts w:ascii="Cambria Math" w:hAnsi="Cambria Math"/>
                      <w:i/>
                      <w:sz w:val="20"/>
                      <w:szCs w:val="20"/>
                    </w:rPr>
                  </m:ctrlPr>
                </m:dPr>
                <m:e>
                  <m:r>
                    <w:rPr>
                      <w:rFonts w:ascii="Cambria Math" w:hAnsi="Cambria Math"/>
                      <w:sz w:val="20"/>
                      <w:szCs w:val="20"/>
                    </w:rPr>
                    <m:t>R</m:t>
                  </m:r>
                </m:e>
              </m:d>
            </m:oMath>
            <w:r>
              <w:rPr>
                <w:sz w:val="20"/>
                <w:szCs w:val="20"/>
              </w:rPr>
              <w:t xml:space="preserve">, </w:t>
            </w:r>
            <w:r w:rsidR="00591212">
              <w:rPr>
                <w:sz w:val="20"/>
                <w:szCs w:val="20"/>
              </w:rPr>
              <w:t>normalized</w:t>
            </w:r>
            <w:r>
              <w:rPr>
                <w:sz w:val="20"/>
                <w:szCs w:val="20"/>
              </w:rPr>
              <w:t xml:space="preserve"> globally</w:t>
            </w:r>
          </w:p>
        </w:tc>
      </w:tr>
    </w:tbl>
    <w:p w14:paraId="3423279A" w14:textId="77777777" w:rsidR="00E34C95" w:rsidRDefault="00E34C95">
      <w:pPr>
        <w:spacing w:line="120" w:lineRule="auto"/>
      </w:pPr>
    </w:p>
    <w:p w14:paraId="43B30DFF" w14:textId="77777777" w:rsidR="00E34C95" w:rsidRDefault="00000000">
      <w:pPr>
        <w:spacing w:before="60" w:after="100" w:line="340" w:lineRule="auto"/>
      </w:pPr>
      <w:r>
        <w:rPr>
          <w:i/>
          <w:iCs/>
          <w:sz w:val="18"/>
          <w:szCs w:val="18"/>
        </w:rPr>
        <w:t>Data source: SPARC (Spitzer Photometry and Accurate Rotation Curves) database, Lelli et al. 2016. Computational pipeline: sparc_rotmod_runner.py + visualize_dyed_spacetime.py (Kitcey 2026). All per-galaxy CSVs and atlas PNGs are reproducible from the public SPARC rotmod files using the documented command-line parameters.</w:t>
      </w:r>
    </w:p>
    <w:sectPr w:rsidR="00E34C95">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9C6B9" w14:textId="77777777" w:rsidR="00B662A8" w:rsidRDefault="00B662A8">
      <w:r>
        <w:separator/>
      </w:r>
    </w:p>
  </w:endnote>
  <w:endnote w:type="continuationSeparator" w:id="0">
    <w:p w14:paraId="741491D9" w14:textId="77777777" w:rsidR="00B662A8" w:rsidRDefault="00B662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B239F" w14:textId="77777777" w:rsidR="00E34C95" w:rsidRDefault="00000000">
    <w:pPr>
      <w:pBdr>
        <w:top w:val="single" w:sz="2" w:space="6" w:color="D8DCE2"/>
      </w:pBdr>
      <w:tabs>
        <w:tab w:val="right" w:pos="9026"/>
      </w:tabs>
    </w:pPr>
    <w:r>
      <w:rPr>
        <w:sz w:val="16"/>
        <w:szCs w:val="16"/>
      </w:rPr>
      <w:t>Spacetime Mechanics — SPARC Galaxy Atlas Analysis</w:t>
    </w:r>
    <w:r>
      <w:rPr>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8C212" w14:textId="77777777" w:rsidR="00B662A8" w:rsidRDefault="00B662A8">
      <w:r>
        <w:separator/>
      </w:r>
    </w:p>
  </w:footnote>
  <w:footnote w:type="continuationSeparator" w:id="0">
    <w:p w14:paraId="7B0F5502" w14:textId="77777777" w:rsidR="00B662A8" w:rsidRDefault="00B662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2DCB2" w14:textId="77777777" w:rsidR="00E34C95" w:rsidRDefault="00000000">
    <w:pPr>
      <w:tabs>
        <w:tab w:val="right" w:pos="9026"/>
      </w:tabs>
    </w:pPr>
    <w:r>
      <w:rPr>
        <w:sz w:val="16"/>
        <w:szCs w:val="16"/>
      </w:rPr>
      <w:t>Spacetime Mechanics — SPARC Atlas Analysis</w:t>
    </w:r>
    <w:r>
      <w:rPr>
        <w:sz w:val="16"/>
        <w:szCs w:val="16"/>
      </w:rPr>
      <w:tab/>
      <w:t>Kitcey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00C94"/>
    <w:multiLevelType w:val="hybridMultilevel"/>
    <w:tmpl w:val="8866527A"/>
    <w:lvl w:ilvl="0" w:tplc="7BB2C6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A32807"/>
    <w:multiLevelType w:val="hybridMultilevel"/>
    <w:tmpl w:val="893C4970"/>
    <w:lvl w:ilvl="0" w:tplc="B34AC7B6">
      <w:start w:val="1"/>
      <w:numFmt w:val="bullet"/>
      <w:lvlText w:val="●"/>
      <w:lvlJc w:val="left"/>
      <w:pPr>
        <w:ind w:left="720" w:hanging="360"/>
      </w:pPr>
    </w:lvl>
    <w:lvl w:ilvl="1" w:tplc="071E8D3C">
      <w:start w:val="1"/>
      <w:numFmt w:val="bullet"/>
      <w:lvlText w:val="○"/>
      <w:lvlJc w:val="left"/>
      <w:pPr>
        <w:ind w:left="1440" w:hanging="360"/>
      </w:pPr>
    </w:lvl>
    <w:lvl w:ilvl="2" w:tplc="99C0EA28">
      <w:start w:val="1"/>
      <w:numFmt w:val="bullet"/>
      <w:lvlText w:val="■"/>
      <w:lvlJc w:val="left"/>
      <w:pPr>
        <w:ind w:left="2160" w:hanging="360"/>
      </w:pPr>
    </w:lvl>
    <w:lvl w:ilvl="3" w:tplc="866450E8">
      <w:start w:val="1"/>
      <w:numFmt w:val="bullet"/>
      <w:lvlText w:val="●"/>
      <w:lvlJc w:val="left"/>
      <w:pPr>
        <w:ind w:left="2880" w:hanging="360"/>
      </w:pPr>
    </w:lvl>
    <w:lvl w:ilvl="4" w:tplc="326E06D2">
      <w:start w:val="1"/>
      <w:numFmt w:val="bullet"/>
      <w:lvlText w:val="○"/>
      <w:lvlJc w:val="left"/>
      <w:pPr>
        <w:ind w:left="3600" w:hanging="360"/>
      </w:pPr>
    </w:lvl>
    <w:lvl w:ilvl="5" w:tplc="1B9A44A8">
      <w:start w:val="1"/>
      <w:numFmt w:val="bullet"/>
      <w:lvlText w:val="■"/>
      <w:lvlJc w:val="left"/>
      <w:pPr>
        <w:ind w:left="4320" w:hanging="360"/>
      </w:pPr>
    </w:lvl>
    <w:lvl w:ilvl="6" w:tplc="62362E26">
      <w:start w:val="1"/>
      <w:numFmt w:val="bullet"/>
      <w:lvlText w:val="●"/>
      <w:lvlJc w:val="left"/>
      <w:pPr>
        <w:ind w:left="5040" w:hanging="360"/>
      </w:pPr>
    </w:lvl>
    <w:lvl w:ilvl="7" w:tplc="B7DE6388">
      <w:start w:val="1"/>
      <w:numFmt w:val="bullet"/>
      <w:lvlText w:val="●"/>
      <w:lvlJc w:val="left"/>
      <w:pPr>
        <w:ind w:left="5760" w:hanging="360"/>
      </w:pPr>
    </w:lvl>
    <w:lvl w:ilvl="8" w:tplc="B79C5EA4">
      <w:start w:val="1"/>
      <w:numFmt w:val="bullet"/>
      <w:lvlText w:val="●"/>
      <w:lvlJc w:val="left"/>
      <w:pPr>
        <w:ind w:left="6480" w:hanging="360"/>
      </w:pPr>
    </w:lvl>
  </w:abstractNum>
  <w:abstractNum w:abstractNumId="2" w15:restartNumberingAfterBreak="0">
    <w:nsid w:val="39EC5542"/>
    <w:multiLevelType w:val="hybridMultilevel"/>
    <w:tmpl w:val="1AEAE9EA"/>
    <w:lvl w:ilvl="0" w:tplc="3DC4E35E">
      <w:start w:val="1"/>
      <w:numFmt w:val="bullet"/>
      <w:lvlText w:val="•"/>
      <w:lvlJc w:val="left"/>
      <w:pPr>
        <w:spacing w:before="40" w:after="40"/>
        <w:ind w:left="720" w:hanging="360"/>
      </w:pPr>
      <w:rPr>
        <w:rFonts w:ascii="Arial" w:eastAsia="Arial" w:hAnsi="Arial" w:cs="Arial"/>
        <w:color w:val="C9922A"/>
        <w:sz w:val="22"/>
        <w:szCs w:val="22"/>
      </w:rPr>
    </w:lvl>
    <w:lvl w:ilvl="1" w:tplc="271A7FB0">
      <w:start w:val="1"/>
      <w:numFmt w:val="bullet"/>
      <w:lvlText w:val="◦"/>
      <w:lvlJc w:val="left"/>
      <w:pPr>
        <w:ind w:left="1080" w:hanging="360"/>
      </w:pPr>
      <w:rPr>
        <w:rFonts w:ascii="Arial" w:eastAsia="Arial" w:hAnsi="Arial" w:cs="Arial"/>
        <w:color w:val="4A5568"/>
        <w:sz w:val="20"/>
        <w:szCs w:val="20"/>
      </w:rPr>
    </w:lvl>
    <w:lvl w:ilvl="2" w:tplc="DFEAD4D8">
      <w:numFmt w:val="decimal"/>
      <w:lvlText w:val=""/>
      <w:lvlJc w:val="left"/>
    </w:lvl>
    <w:lvl w:ilvl="3" w:tplc="109208CE">
      <w:numFmt w:val="decimal"/>
      <w:lvlText w:val=""/>
      <w:lvlJc w:val="left"/>
    </w:lvl>
    <w:lvl w:ilvl="4" w:tplc="3BA6BFF4">
      <w:numFmt w:val="decimal"/>
      <w:lvlText w:val=""/>
      <w:lvlJc w:val="left"/>
    </w:lvl>
    <w:lvl w:ilvl="5" w:tplc="AE8E3198">
      <w:numFmt w:val="decimal"/>
      <w:lvlText w:val=""/>
      <w:lvlJc w:val="left"/>
    </w:lvl>
    <w:lvl w:ilvl="6" w:tplc="F91EB3AA">
      <w:numFmt w:val="decimal"/>
      <w:lvlText w:val=""/>
      <w:lvlJc w:val="left"/>
    </w:lvl>
    <w:lvl w:ilvl="7" w:tplc="1AE6573C">
      <w:numFmt w:val="decimal"/>
      <w:lvlText w:val=""/>
      <w:lvlJc w:val="left"/>
    </w:lvl>
    <w:lvl w:ilvl="8" w:tplc="1B0AC1AA">
      <w:numFmt w:val="decimal"/>
      <w:lvlText w:val=""/>
      <w:lvlJc w:val="left"/>
    </w:lvl>
  </w:abstractNum>
  <w:abstractNum w:abstractNumId="3" w15:restartNumberingAfterBreak="0">
    <w:nsid w:val="797B32B0"/>
    <w:multiLevelType w:val="hybridMultilevel"/>
    <w:tmpl w:val="6A04A08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7562527">
    <w:abstractNumId w:val="1"/>
    <w:lvlOverride w:ilvl="0">
      <w:startOverride w:val="1"/>
    </w:lvlOverride>
  </w:num>
  <w:num w:numId="2" w16cid:durableId="1230077588">
    <w:abstractNumId w:val="2"/>
    <w:lvlOverride w:ilvl="0">
      <w:startOverride w:val="1"/>
    </w:lvlOverride>
  </w:num>
  <w:num w:numId="3" w16cid:durableId="325013131">
    <w:abstractNumId w:val="3"/>
  </w:num>
  <w:num w:numId="4" w16cid:durableId="726301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C95"/>
    <w:rsid w:val="00365735"/>
    <w:rsid w:val="0040415C"/>
    <w:rsid w:val="00591212"/>
    <w:rsid w:val="006C7C5F"/>
    <w:rsid w:val="009900EF"/>
    <w:rsid w:val="00B662A8"/>
    <w:rsid w:val="00DB5C93"/>
    <w:rsid w:val="00E34C95"/>
    <w:rsid w:val="00FD1F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67664"/>
  <w15:docId w15:val="{D9997242-998F-4231-8DCA-111D34A18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A5568"/>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D1B2A"/>
      <w:sz w:val="36"/>
      <w:szCs w:val="36"/>
    </w:rPr>
  </w:style>
  <w:style w:type="paragraph" w:styleId="Heading2">
    <w:name w:val="heading 2"/>
    <w:uiPriority w:val="9"/>
    <w:unhideWhenUsed/>
    <w:qFormat/>
    <w:pPr>
      <w:spacing w:before="280" w:after="120"/>
      <w:outlineLvl w:val="1"/>
    </w:pPr>
    <w:rPr>
      <w:b/>
      <w:bCs/>
      <w:color w:val="2B4F76"/>
      <w:sz w:val="26"/>
      <w:szCs w:val="26"/>
    </w:rPr>
  </w:style>
  <w:style w:type="paragraph" w:styleId="Heading3">
    <w:name w:val="heading 3"/>
    <w:uiPriority w:val="9"/>
    <w:semiHidden/>
    <w:unhideWhenUsed/>
    <w:qFormat/>
    <w:pPr>
      <w:spacing w:before="200" w:after="80"/>
      <w:outlineLvl w:val="2"/>
    </w:pPr>
    <w:rPr>
      <w:b/>
      <w:bCs/>
      <w:color w:val="1A7B7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18</Pages>
  <Words>4764</Words>
  <Characters>27158</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Hermano</cp:lastModifiedBy>
  <cp:revision>2</cp:revision>
  <dcterms:created xsi:type="dcterms:W3CDTF">2026-02-20T02:09:00Z</dcterms:created>
  <dcterms:modified xsi:type="dcterms:W3CDTF">2026-02-20T03:08:00Z</dcterms:modified>
</cp:coreProperties>
</file>