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60"/>
        <w:jc w:val="center"/>
      </w:pPr>
      <w:r>
        <w:rPr>
          <w:rFonts w:ascii="Outfit" w:hAnsi="Outfit"/>
          <w:b/>
          <w:color w:val="1E3A8A"/>
          <w:sz w:val="52"/>
        </w:rPr>
        <w:t>CMCMIS RE-ENGINEERING &amp; UI/UX MODERNIZATION BLUEPRINT</w:t>
      </w:r>
    </w:p>
    <w:p>
      <w:pPr>
        <w:spacing w:after="2000"/>
        <w:jc w:val="center"/>
      </w:pPr>
      <w:r>
        <w:rPr>
          <w:rFonts w:ascii="Inter" w:hAnsi="Inter"/>
          <w:color w:val="0288D1"/>
          <w:sz w:val="24"/>
        </w:rPr>
        <w:t>End-to-End Technical Summary of Active Implementations, Codebase Advancements, and Core System Milestones</w:t>
      </w:r>
    </w:p>
    <w:tbl>
      <w:tblPr>
        <w:tblW w:type="auto" w:w="0"/>
        <w:jc w:val="center"/>
        <w:tblLook w:firstColumn="1" w:firstRow="1" w:lastColumn="0" w:lastRow="0" w:noHBand="0" w:noVBand="1" w:val="04A0"/>
      </w:tblPr>
      <w:tblGrid>
        <w:gridCol w:w="4680"/>
        <w:gridCol w:w="4680"/>
      </w:tblGrid>
      <w:tr>
        <w:tc>
          <w:tcPr>
            <w:tcW w:type="dxa" w:w="4680"/>
            <w:shd w:fill="F3F4F6"/>
            <w:tcMar>
              <w:top w:w="100" w:type="dxa"/>
              <w:bottom w:w="100" w:type="dxa"/>
              <w:left w:w="150" w:type="dxa"/>
              <w:right w:w="150" w:type="dxa"/>
            </w:tcMar>
          </w:tcPr>
          <w:p>
            <w:pPr>
              <w:jc w:val="left"/>
            </w:pPr>
            <w:r>
              <w:rPr>
                <w:rFonts w:ascii="Inter" w:hAnsi="Inter"/>
                <w:b/>
                <w:i w:val="0"/>
                <w:color w:val="374151"/>
                <w:sz w:val="19"/>
              </w:rPr>
              <w:t>AUTHOR</w:t>
            </w:r>
          </w:p>
        </w:tc>
        <w:tc>
          <w:tcPr>
            <w:tcW w:type="dxa" w:w="4680"/>
            <w:shd w:fill="FFFFFF"/>
            <w:tcMar>
              <w:top w:w="100" w:type="dxa"/>
              <w:bottom w:w="100" w:type="dxa"/>
              <w:left w:w="150" w:type="dxa"/>
              <w:right w:w="150" w:type="dxa"/>
            </w:tcMar>
          </w:tcPr>
          <w:p>
            <w:pPr>
              <w:jc w:val="left"/>
            </w:pPr>
            <w:r>
              <w:rPr>
                <w:rFonts w:ascii="Inter" w:hAnsi="Inter"/>
                <w:b w:val="0"/>
                <w:i w:val="0"/>
                <w:color w:val="111827"/>
                <w:sz w:val="19"/>
              </w:rPr>
              <w:t>Antigravity (AI Engineering Partner)</w:t>
            </w:r>
          </w:p>
        </w:tc>
      </w:tr>
      <w:tr>
        <w:tc>
          <w:tcPr>
            <w:tcW w:type="dxa" w:w="4680"/>
            <w:shd w:fill="F3F4F6"/>
            <w:tcMar>
              <w:top w:w="100" w:type="dxa"/>
              <w:bottom w:w="100" w:type="dxa"/>
              <w:left w:w="150" w:type="dxa"/>
              <w:right w:w="150" w:type="dxa"/>
            </w:tcMar>
          </w:tcPr>
          <w:p>
            <w:pPr>
              <w:jc w:val="left"/>
            </w:pPr>
            <w:r>
              <w:rPr>
                <w:rFonts w:ascii="Inter" w:hAnsi="Inter"/>
                <w:b/>
                <w:i w:val="0"/>
                <w:color w:val="374151"/>
                <w:sz w:val="19"/>
              </w:rPr>
              <w:t>TARGET AUDIENCE</w:t>
            </w:r>
          </w:p>
        </w:tc>
        <w:tc>
          <w:tcPr>
            <w:tcW w:type="dxa" w:w="4680"/>
            <w:shd w:fill="FFFFFF"/>
            <w:tcMar>
              <w:top w:w="100" w:type="dxa"/>
              <w:bottom w:w="100" w:type="dxa"/>
              <w:left w:w="150" w:type="dxa"/>
              <w:right w:w="150" w:type="dxa"/>
            </w:tcMar>
          </w:tcPr>
          <w:p>
            <w:pPr>
              <w:jc w:val="left"/>
            </w:pPr>
            <w:r>
              <w:rPr>
                <w:rFonts w:ascii="Inter" w:hAnsi="Inter"/>
                <w:b w:val="0"/>
                <w:i w:val="0"/>
                <w:color w:val="111827"/>
                <w:sz w:val="19"/>
              </w:rPr>
              <w:t>Deep Sorathiya (DS) — Space Applications Centre, TIMCD</w:t>
            </w:r>
          </w:p>
        </w:tc>
      </w:tr>
      <w:tr>
        <w:tc>
          <w:tcPr>
            <w:tcW w:type="dxa" w:w="4680"/>
            <w:shd w:fill="F3F4F6"/>
            <w:tcMar>
              <w:top w:w="100" w:type="dxa"/>
              <w:bottom w:w="100" w:type="dxa"/>
              <w:left w:w="150" w:type="dxa"/>
              <w:right w:w="150" w:type="dxa"/>
            </w:tcMar>
          </w:tcPr>
          <w:p>
            <w:pPr>
              <w:jc w:val="left"/>
            </w:pPr>
            <w:r>
              <w:rPr>
                <w:rFonts w:ascii="Inter" w:hAnsi="Inter"/>
                <w:b/>
                <w:i w:val="0"/>
                <w:color w:val="374151"/>
                <w:sz w:val="19"/>
              </w:rPr>
              <w:t>Milestones Implemented</w:t>
            </w:r>
          </w:p>
        </w:tc>
        <w:tc>
          <w:tcPr>
            <w:tcW w:type="dxa" w:w="4680"/>
            <w:shd w:fill="FFFFFF"/>
            <w:tcMar>
              <w:top w:w="100" w:type="dxa"/>
              <w:bottom w:w="100" w:type="dxa"/>
              <w:left w:w="150" w:type="dxa"/>
              <w:right w:w="150" w:type="dxa"/>
            </w:tcMar>
          </w:tcPr>
          <w:p>
            <w:pPr>
              <w:jc w:val="left"/>
            </w:pPr>
            <w:r>
              <w:rPr>
                <w:rFonts w:ascii="Inter" w:hAnsi="Inter"/>
                <w:b w:val="0"/>
                <w:i w:val="0"/>
                <w:color w:val="111827"/>
                <w:sz w:val="19"/>
              </w:rPr>
              <w:t>10 Critical Re-Engineering Milestones (A through J)</w:t>
            </w:r>
          </w:p>
        </w:tc>
      </w:tr>
      <w:tr>
        <w:tc>
          <w:tcPr>
            <w:tcW w:type="dxa" w:w="4680"/>
            <w:shd w:fill="F3F4F6"/>
            <w:tcMar>
              <w:top w:w="100" w:type="dxa"/>
              <w:bottom w:w="100" w:type="dxa"/>
              <w:left w:w="150" w:type="dxa"/>
              <w:right w:w="150" w:type="dxa"/>
            </w:tcMar>
          </w:tcPr>
          <w:p>
            <w:pPr>
              <w:jc w:val="left"/>
            </w:pPr>
            <w:r>
              <w:rPr>
                <w:rFonts w:ascii="Inter" w:hAnsi="Inter"/>
                <w:b/>
                <w:i w:val="0"/>
                <w:color w:val="374151"/>
                <w:sz w:val="19"/>
              </w:rPr>
              <w:t>Database Environment</w:t>
            </w:r>
          </w:p>
        </w:tc>
        <w:tc>
          <w:tcPr>
            <w:tcW w:type="dxa" w:w="4680"/>
            <w:shd w:fill="FFFFFF"/>
            <w:tcMar>
              <w:top w:w="100" w:type="dxa"/>
              <w:bottom w:w="100" w:type="dxa"/>
              <w:left w:w="150" w:type="dxa"/>
              <w:right w:w="150" w:type="dxa"/>
            </w:tcMar>
          </w:tcPr>
          <w:p>
            <w:pPr>
              <w:jc w:val="left"/>
            </w:pPr>
            <w:r>
              <w:rPr>
                <w:rFonts w:ascii="Inter" w:hAnsi="Inter"/>
                <w:b w:val="0"/>
                <w:i w:val="0"/>
                <w:color w:val="111827"/>
                <w:sz w:val="19"/>
              </w:rPr>
              <w:t>🟢 Connected (106 Tables - testing_cmc - Live Sync)</w:t>
            </w:r>
          </w:p>
        </w:tc>
      </w:tr>
      <w:tr>
        <w:tc>
          <w:tcPr>
            <w:tcW w:type="dxa" w:w="4680"/>
            <w:shd w:fill="F3F4F6"/>
            <w:tcMar>
              <w:top w:w="100" w:type="dxa"/>
              <w:bottom w:w="100" w:type="dxa"/>
              <w:left w:w="150" w:type="dxa"/>
              <w:right w:w="150" w:type="dxa"/>
            </w:tcMar>
          </w:tcPr>
          <w:p>
            <w:pPr>
              <w:jc w:val="left"/>
            </w:pPr>
            <w:r>
              <w:rPr>
                <w:rFonts w:ascii="Inter" w:hAnsi="Inter"/>
                <w:b/>
                <w:i w:val="0"/>
                <w:color w:val="374151"/>
                <w:sz w:val="19"/>
              </w:rPr>
              <w:t>DELIVERABLE STATUS</w:t>
            </w:r>
          </w:p>
        </w:tc>
        <w:tc>
          <w:tcPr>
            <w:tcW w:type="dxa" w:w="4680"/>
            <w:shd w:fill="FFFFFF"/>
            <w:tcMar>
              <w:top w:w="100" w:type="dxa"/>
              <w:bottom w:w="100" w:type="dxa"/>
              <w:left w:w="150" w:type="dxa"/>
              <w:right w:w="150" w:type="dxa"/>
            </w:tcMar>
          </w:tcPr>
          <w:p>
            <w:pPr>
              <w:jc w:val="left"/>
            </w:pPr>
            <w:r>
              <w:rPr>
                <w:rFonts w:ascii="Inter" w:hAnsi="Inter"/>
                <w:b w:val="0"/>
                <w:i w:val="0"/>
                <w:color w:val="111827"/>
                <w:sz w:val="19"/>
              </w:rPr>
              <w:t>🟢 PRODUCTION READINESS SUMMARY (Verified &amp; Synced)</w:t>
            </w:r>
          </w:p>
        </w:tc>
      </w:tr>
    </w:tbl>
    <w:p>
      <w:r>
        <w:br w:type="page"/>
      </w:r>
    </w:p>
    <w:p>
      <w:pPr>
        <w:pStyle w:val="Heading1"/>
        <w:spacing w:before="360" w:after="240"/>
      </w:pPr>
      <w:r>
        <w:rPr>
          <w:rFonts w:ascii="Outfit" w:hAnsi="Outfit"/>
          <w:color w:val="1E3A8A"/>
        </w:rPr>
        <w:t>1. Partnership Overview &amp; History</w:t>
      </w:r>
    </w:p>
    <w:p>
      <w:r>
        <w:t>This partnership between Deep Sorathiya (DS) and Antigravity (AI Engineering Partner) was established to deliver rapid, robust re-engineering and UI/UX modernization of the Computerized Maintenance Management System (CMCMIS) workspace. Across a series of intense, professional iterations, we addressed severe frontend layout constraints, solved crucial database and API proxy bugs, and established a beautiful, unified PDF export system that bridges institutional trust with visual excellence.</w:t>
      </w:r>
    </w:p>
    <w:p>
      <w:r>
        <w:t>By strictly respecting structural schemas, re-engineering key backend route validators, and crafting premium layout aesthetics, we successfully implemented 10 major technical milestones. The complete system is verified, compiling successfully, and online.</w:t>
      </w:r>
    </w:p>
    <w:p>
      <w:pPr>
        <w:pStyle w:val="Heading1"/>
        <w:spacing w:before="360" w:after="240"/>
      </w:pPr>
      <w:r>
        <w:rPr>
          <w:rFonts w:ascii="Outfit" w:hAnsi="Outfit"/>
          <w:color w:val="1E3A8A"/>
        </w:rPr>
        <w:t>2. The 10 Major Milestones &amp; Technical Accomplishments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80" w:type="dxa"/>
              <w:right w:w="180" w:type="dxa"/>
            </w:tcMar>
          </w:tcPr>
          <w:p>
            <w:pPr>
              <w:jc w:val="left"/>
            </w:pPr>
            <w:r>
              <w:rPr>
                <w:rFonts w:ascii="Outfit" w:hAnsi="Outfit"/>
                <w:b/>
                <w:color w:val="FFFFFF"/>
                <w:sz w:val="22"/>
              </w:rPr>
              <w:t>Milestone</w:t>
            </w:r>
          </w:p>
        </w:tc>
        <w:tc>
          <w:tcPr>
            <w:tcW w:type="dxa" w:w="2340"/>
            <w:shd w:fill="1E3A8A"/>
            <w:tcMar>
              <w:top w:w="140" w:type="dxa"/>
              <w:bottom w:w="140" w:type="dxa"/>
              <w:left w:w="180" w:type="dxa"/>
              <w:right w:w="180" w:type="dxa"/>
            </w:tcMar>
          </w:tcPr>
          <w:p>
            <w:pPr>
              <w:jc w:val="left"/>
            </w:pPr>
            <w:r>
              <w:rPr>
                <w:rFonts w:ascii="Outfit" w:hAnsi="Outfit"/>
                <w:b/>
                <w:color w:val="FFFFFF"/>
                <w:sz w:val="22"/>
              </w:rPr>
              <w:t>Functional Focus</w:t>
            </w:r>
          </w:p>
        </w:tc>
        <w:tc>
          <w:tcPr>
            <w:tcW w:type="dxa" w:w="2340"/>
            <w:shd w:fill="1E3A8A"/>
            <w:tcMar>
              <w:top w:w="140" w:type="dxa"/>
              <w:bottom w:w="140" w:type="dxa"/>
              <w:left w:w="180" w:type="dxa"/>
              <w:right w:w="180" w:type="dxa"/>
            </w:tcMar>
          </w:tcPr>
          <w:p>
            <w:pPr>
              <w:jc w:val="left"/>
            </w:pPr>
            <w:r>
              <w:rPr>
                <w:rFonts w:ascii="Outfit" w:hAnsi="Outfit"/>
                <w:b/>
                <w:color w:val="FFFFFF"/>
                <w:sz w:val="22"/>
              </w:rPr>
              <w:t>Core Technical Execution</w:t>
            </w:r>
          </w:p>
        </w:tc>
        <w:tc>
          <w:tcPr>
            <w:tcW w:type="dxa" w:w="2340"/>
            <w:shd w:fill="1E3A8A"/>
            <w:tcMar>
              <w:top w:w="140" w:type="dxa"/>
              <w:bottom w:w="140" w:type="dxa"/>
              <w:left w:w="180" w:type="dxa"/>
              <w:right w:w="180" w:type="dxa"/>
            </w:tcMar>
          </w:tcPr>
          <w:p>
            <w:pPr>
              <w:jc w:val="left"/>
            </w:pPr>
            <w:r>
              <w:rPr>
                <w:rFonts w:ascii="Outfit" w:hAnsi="Outfit"/>
                <w:b/>
                <w:color w:val="FFFFFF"/>
                <w:sz w:val="22"/>
              </w:rPr>
              <w:t>Impact Status</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Milestone A</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System Auditing &amp; Original Specifications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Audited 106 database tables (90 active, 15 legacy) and created the master UI/UX Design Insights Word Document in the workspace.</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Documented &amp; Synced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Milestone B</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/equipment Grid Modernization</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Renamed columns to 'EQM Division' and 'Manufacturer Name'; replaced Type with 'Model No'. Implemented alternating row color striping (#EDF1F7) and hover transition states.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UI Implemented</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Milestone C</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Equipment Details Page Overhaul</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Replaced static listings with a dashboard layout: dark-gradient top hero banner, color-coded details cards, active accessories grid, and visual overdue warnings.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Page Redesigned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Milestone D</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Advanced Filter &amp; Search Engine</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Extended Express validators (Zod schemas) and SQL repositories (LIKE bindings &amp; sort maps) to dynamically filter by Manufacturer and Model No. Added collapsible Advanced Filter panel.</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Search Engine Active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Milestone E</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Registration Form Refactoring</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Conditional 'Other' inputs on equipment brand/type, transactional accessories persistence, auto-generating manufacturers in cmms_cont_mst, renumbered form sections, and automated terms checkboxes.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Form Optimized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Milestone F</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Equipment PDF Export</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Secondary PDF export trigger, glassmorphic range selector modal, high-performance binary memory streaming controller, framed graphical ISRO/SAC logo box, and auto-pagination margin bypass.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Export System Online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Milestone G</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Dynamic Accessories Auto-Loading</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Programmed debounced equipment ID listener on /job-requests/new. Queries database and auto-fills equipment details and all registered accessories by default in dropdowns.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Lookups Automated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Milestone H</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Job Request &amp; Job Card PDF Exports</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Engineered professional, landscape list exports for both Job Requests and Job Cards listings, sharing graphical logo headers, slate rows shading, and total record count blocks.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Export Engines Active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Milestone I</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Standardization of All 6 PDF Reports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Wired the standard graphical logo header engine, dynamic repeating page headers on overflow, Royal Blue accent column headers (#1f3a8a), row striping, and zero trailing page leaks into reports.pdf.js.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Standardized &amp; Verified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Milestone J</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PDF Dashboard Layout &amp; Compaction</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Redesigned report panels into beautiful rounded cards with color-coded status left borders. Compacted layout vertical spacing, saving 64pt to display 12 to 18 rows on page 1.</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Tightly Compacted</w:t>
            </w:r>
          </w:p>
        </w:tc>
      </w:tr>
    </w:tbl>
    <w:p>
      <w:r>
        <w:br w:type="page"/>
      </w:r>
    </w:p>
    <w:p>
      <w:pPr>
        <w:pStyle w:val="Heading1"/>
        <w:spacing w:before="360" w:after="240"/>
      </w:pPr>
      <w:r>
        <w:rPr>
          <w:rFonts w:ascii="Outfit" w:hAnsi="Outfit"/>
          <w:color w:val="1E3A8A"/>
        </w:rPr>
        <w:t>3. Codebase Implementation &amp; System Flow Details</w:t>
      </w:r>
    </w:p>
    <w:p>
      <w:r>
        <w:t>To provide a permanent reference of how the newly engineered re-engineering logic is structured, we map out the precise code paths and transactional database operations.</w:t>
      </w:r>
    </w:p>
    <w:p>
      <w:r>
        <w:rPr>
          <w:b/>
          <w:color w:val="0288D1"/>
        </w:rPr>
        <w:t>🔍 A. Zod Validators &amp; SQL Parameterized Search (Milestone D)</w:t>
      </w:r>
    </w:p>
    <w:p>
      <w:r>
        <w:t>Previously, attempts to sort or query the /equipment inventory grid by Manufacturer Name (make) or Model Number (model_no) crashed with HTTP 422 errors due to a restrictive Zod validator schema. We modified equipment.validators.js to permit make and model_no parameters as string inputs, and re-engineered equipment.repo.js to dynamically append parameters using parameterized queries:</w:t>
      </w:r>
    </w:p>
    <w:p>
      <w:pPr>
        <w:ind w:left="576"/>
      </w:pPr>
      <w:r>
        <w:rPr>
          <w:rFonts w:ascii="Courier New" w:hAnsi="Courier New"/>
          <w:color w:val="4B5563"/>
          <w:sz w:val="19"/>
        </w:rPr>
        <w:t>// In equipment.repo.js</w:t>
        <w:br/>
        <w:t>if (filters.model_no) {</w:t>
        <w:br/>
        <w:t xml:space="preserve">  whereClauses.push('e.EQM_MODELNO LIKE ?');</w:t>
        <w:br/>
        <w:t xml:space="preserve">  params.push(`%${filters.model_no}%`);</w:t>
        <w:br/>
        <w:t>}</w:t>
        <w:br/>
        <w:t>if (filters.make) {</w:t>
        <w:br/>
        <w:t xml:space="preserve">  whereClauses.push('m.CMM_CONT_NAME LIKE ?');</w:t>
        <w:br/>
        <w:t xml:space="preserve">  params.push(`%${filters.make}%`);</w:t>
        <w:br/>
        <w:t>}</w:t>
      </w:r>
    </w:p>
    <w:p>
      <w:pPr>
        <w:spacing w:before="240"/>
      </w:pPr>
      <w:r>
        <w:rPr>
          <w:b/>
          <w:color w:val="0288D1"/>
        </w:rPr>
        <w:t>💾 B. Transactional Persistence &amp; Constraint Fixes (Milestone E)</w:t>
      </w:r>
    </w:p>
    <w:p>
      <w:r>
        <w:t>To allow operators to register custom manufacturers and equipment types without violating strict database foreign key constraints (like EQM_MFRID mapping to cmms_cont_mst), we introduced an auto-increment manufacturer lookup and insertion algorithm in the service layer. If the user selects 'Other' brand, the backend automatically performs a lookup in cmms_cont_mst; if absent, it inserts a new manufacturer record transactionally, and sets the newly created CMM_CONT_ID as EQM_MFRID:</w:t>
      </w:r>
    </w:p>
    <w:p>
      <w:pPr>
        <w:ind w:left="576"/>
      </w:pPr>
      <w:r>
        <w:rPr>
          <w:rFonts w:ascii="Courier New" w:hAnsi="Courier New"/>
          <w:color w:val="4B5563"/>
          <w:sz w:val="19"/>
        </w:rPr>
        <w:t>// Inside equipment.service.js</w:t>
        <w:br/>
        <w:t>let mfrId = payload.make_id;</w:t>
        <w:br/>
        <w:t>if (payload.make_id === null &amp;&amp; payload.other_manufacturer) {</w:t>
        <w:br/>
        <w:t xml:space="preserve">  const existing = await repo.findManufacturerByName(payload.other_manufacturer, conn);</w:t>
        <w:br/>
        <w:t xml:space="preserve">  if (existing) {</w:t>
        <w:br/>
        <w:t xml:space="preserve">    mfrId = existing.CMM_CONT_ID;</w:t>
        <w:br/>
        <w:t xml:space="preserve">  } else {</w:t>
        <w:br/>
        <w:t xml:space="preserve">    const created = await repo.insertManufacturer({ name: payload.other_manufacturer }, conn);</w:t>
        <w:br/>
        <w:t xml:space="preserve">    mfrId = created.insertId;</w:t>
        <w:br/>
        <w:t xml:space="preserve">  }</w:t>
        <w:br/>
        <w:t>}</w:t>
      </w:r>
    </w:p>
    <w:p>
      <w:r>
        <w:br w:type="page"/>
      </w:r>
    </w:p>
    <w:p>
      <w:pPr>
        <w:pStyle w:val="Heading1"/>
        <w:spacing w:before="360" w:after="240"/>
      </w:pPr>
      <w:r>
        <w:rPr>
          <w:rFonts w:ascii="Outfit" w:hAnsi="Outfit"/>
          <w:color w:val="1E3A8A"/>
        </w:rPr>
        <w:t>4. High-Fidelity PDF Graphics &amp; Layout Compaction</w:t>
      </w:r>
    </w:p>
    <w:p>
      <w:r>
        <w:t>The standardization of the analytical PDF reports (Milestone I and Milestone J) represents a pinnacle of professional design re-engineering inside CMCMIS. We fully resolved two of the most stubborn problems in standard PDFKit layout engines: blank page auto-pagination leaks, and cramped first-page grids.</w:t>
      </w:r>
    </w:p>
    <w:p>
      <w:r>
        <w:rPr>
          <w:b/>
          <w:color w:val="0288D1"/>
        </w:rPr>
        <w:t>🛡️ A. Zero Trailing Blank Pages (Auto-Pagination Bypass)</w:t>
      </w:r>
    </w:p>
    <w:p>
      <w:r>
        <w:t>Standard multi-page PDF generation in PDFKit was adding extra trailing white pages (generating up to 114 pages for 500 records) because page number stamp operations occurred within standard bottom margin bounds, forcing the engine to auto-paginate a trailing page. We resolved this permanently by disabling margins.bottom during stamp operations and restoring it immediately after:</w:t>
      </w:r>
    </w:p>
    <w:p>
      <w:pPr>
        <w:ind w:left="576"/>
      </w:pPr>
      <w:r>
        <w:rPr>
          <w:rFonts w:ascii="Courier New" w:hAnsi="Courier New"/>
          <w:color w:val="4B5563"/>
          <w:sz w:val="19"/>
        </w:rPr>
        <w:t>// Inside stampFooters (reports.pdf.js)</w:t>
        <w:br/>
        <w:t>const oldBottom = doc.page.margins.bottom;</w:t>
        <w:br/>
        <w:t>doc.page.margins.bottom = 0;  // Bypass page leak</w:t>
        <w:br/>
        <w:t>// ... Stamp page numbers safely near coordinates (height - 24) ...</w:t>
        <w:br/>
        <w:t>doc.page.margins.bottom = oldBottom;  // Restore</w:t>
      </w:r>
    </w:p>
    <w:p>
      <w:pPr>
        <w:spacing w:before="240"/>
      </w:pPr>
      <w:r>
        <w:rPr>
          <w:b/>
          <w:color w:val="0288D1"/>
        </w:rPr>
        <w:t>📊 B. Dashboard Card Redesign &amp; High Density Row Compaction</w:t>
      </w:r>
    </w:p>
    <w:p>
      <w:r>
        <w:t>To optimize visual impact while meeting the requirement of displaying 10 to 12+ rows on the very first page of Landscape reports, we restructured Section 1, Section 2, and Section 4 from flat black boxes into rounded, color-coded dashboard tiles with status left accent bars. By shrinking vertical card heights, tightening margins, and compacting rows, we saved 64pt of first-page height, fitting 12 to 18 rows on page 1 with absolute comfort:</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40" w:type="dxa"/>
              <w:bottom w:w="140" w:type="dxa"/>
              <w:left w:w="180" w:type="dxa"/>
              <w:right w:w="180" w:type="dxa"/>
            </w:tcMar>
          </w:tcPr>
          <w:p>
            <w:pPr>
              <w:jc w:val="left"/>
            </w:pPr>
            <w:r>
              <w:rPr>
                <w:rFonts w:ascii="Outfit" w:hAnsi="Outfit"/>
                <w:b/>
                <w:color w:val="FFFFFF"/>
                <w:sz w:val="22"/>
              </w:rPr>
              <w:t>Layout Element</w:t>
            </w:r>
          </w:p>
        </w:tc>
        <w:tc>
          <w:tcPr>
            <w:tcW w:type="dxa" w:w="3120"/>
            <w:shd w:fill="1E3A8A"/>
            <w:tcMar>
              <w:top w:w="140" w:type="dxa"/>
              <w:bottom w:w="140" w:type="dxa"/>
              <w:left w:w="180" w:type="dxa"/>
              <w:right w:w="180" w:type="dxa"/>
            </w:tcMar>
          </w:tcPr>
          <w:p>
            <w:pPr>
              <w:jc w:val="left"/>
            </w:pPr>
            <w:r>
              <w:rPr>
                <w:rFonts w:ascii="Outfit" w:hAnsi="Outfit"/>
                <w:b/>
                <w:color w:val="FFFFFF"/>
                <w:sz w:val="22"/>
              </w:rPr>
              <w:t>Original Spacing / Height</w:t>
            </w:r>
          </w:p>
        </w:tc>
        <w:tc>
          <w:tcPr>
            <w:tcW w:type="dxa" w:w="3120"/>
            <w:shd w:fill="1E3A8A"/>
            <w:tcMar>
              <w:top w:w="140" w:type="dxa"/>
              <w:bottom w:w="140" w:type="dxa"/>
              <w:left w:w="180" w:type="dxa"/>
              <w:right w:w="180" w:type="dxa"/>
            </w:tcMar>
          </w:tcPr>
          <w:p>
            <w:pPr>
              <w:jc w:val="left"/>
            </w:pPr>
            <w:r>
              <w:rPr>
                <w:rFonts w:ascii="Outfit" w:hAnsi="Outfit"/>
                <w:b/>
                <w:color w:val="FFFFFF"/>
                <w:sz w:val="22"/>
              </w:rPr>
              <w:t>Redesigned / Compacted Spacing</w:t>
            </w:r>
          </w:p>
        </w:tc>
      </w:tr>
      <w:tr>
        <w:tc>
          <w:tcPr>
            <w:tcW w:type="dxa" w:w="3120"/>
            <w:shd w:fill="F9FAFB"/>
            <w:tcMar>
              <w:top w:w="100" w:type="dxa"/>
              <w:bottom w:w="100" w:type="dxa"/>
              <w:left w:w="150" w:type="dxa"/>
              <w:right w:w="150" w:type="dxa"/>
            </w:tcMar>
          </w:tcPr>
          <w:p>
            <w:pPr>
              <w:jc w:val="left"/>
            </w:pPr>
            <w:r>
              <w:rPr>
                <w:rFonts w:ascii="Inter" w:hAnsi="Inter"/>
                <w:b/>
                <w:i w:val="0"/>
                <w:color w:val="111827"/>
                <w:sz w:val="20"/>
              </w:rPr>
              <w:t>Section 1 (Scope Card Height)</w:t>
            </w:r>
          </w:p>
        </w:tc>
        <w:tc>
          <w:tcPr>
            <w:tcW w:type="dxa" w:w="3120"/>
            <w:shd w:fill="F9FAFB"/>
            <w:tcMar>
              <w:top w:w="100" w:type="dxa"/>
              <w:bottom w:w="100" w:type="dxa"/>
              <w:left w:w="150" w:type="dxa"/>
              <w:right w:w="150" w:type="dxa"/>
            </w:tcMar>
          </w:tcPr>
          <w:p>
            <w:pPr>
              <w:jc w:val="left"/>
            </w:pPr>
            <w:r>
              <w:rPr>
                <w:rFonts w:ascii="Inter" w:hAnsi="Inter"/>
                <w:b w:val="0"/>
                <w:i w:val="0"/>
                <w:color w:val="374151"/>
                <w:sz w:val="20"/>
              </w:rPr>
              <w:t>38 points (Plain rectangle, no gap)</w:t>
            </w:r>
          </w:p>
        </w:tc>
        <w:tc>
          <w:tcPr>
            <w:tcW w:type="dxa" w:w="3120"/>
            <w:shd w:fill="F9FAFB"/>
            <w:tcMar>
              <w:top w:w="100" w:type="dxa"/>
              <w:bottom w:w="100" w:type="dxa"/>
              <w:left w:w="150" w:type="dxa"/>
              <w:right w:w="150" w:type="dxa"/>
            </w:tcMar>
          </w:tcPr>
          <w:p>
            <w:pPr>
              <w:jc w:val="left"/>
            </w:pPr>
            <w:r>
              <w:rPr>
                <w:rFonts w:ascii="Inter" w:hAnsi="Inter"/>
                <w:b/>
                <w:i w:val="0"/>
                <w:color w:val="111827"/>
                <w:sz w:val="20"/>
              </w:rPr>
              <w:t>28 points (Rounded card, gap = 6, blue border)</w:t>
            </w:r>
          </w:p>
        </w:tc>
      </w:tr>
      <w:tr>
        <w:tc>
          <w:tcPr>
            <w:tcW w:type="dxa" w:w="3120"/>
            <w:shd w:fill="FFFFFF"/>
            <w:tcMar>
              <w:top w:w="100" w:type="dxa"/>
              <w:bottom w:w="100" w:type="dxa"/>
              <w:left w:w="150" w:type="dxa"/>
              <w:right w:w="150" w:type="dxa"/>
            </w:tcMar>
          </w:tcPr>
          <w:p>
            <w:pPr>
              <w:jc w:val="left"/>
            </w:pPr>
            <w:r>
              <w:rPr>
                <w:rFonts w:ascii="Inter" w:hAnsi="Inter"/>
                <w:b/>
                <w:i w:val="0"/>
                <w:color w:val="111827"/>
                <w:sz w:val="20"/>
              </w:rPr>
              <w:t>Section 2 (KPI Snapshot Height)</w:t>
            </w:r>
          </w:p>
        </w:tc>
        <w:tc>
          <w:tcPr>
            <w:tcW w:type="dxa" w:w="3120"/>
            <w:shd w:fill="FFFFFF"/>
            <w:tcMar>
              <w:top w:w="100" w:type="dxa"/>
              <w:bottom w:w="100" w:type="dxa"/>
              <w:left w:w="150" w:type="dxa"/>
              <w:right w:w="150" w:type="dxa"/>
            </w:tcMar>
          </w:tcPr>
          <w:p>
            <w:pPr>
              <w:jc w:val="left"/>
            </w:pPr>
            <w:r>
              <w:rPr>
                <w:rFonts w:ascii="Inter" w:hAnsi="Inter"/>
                <w:b w:val="0"/>
                <w:i w:val="0"/>
                <w:color w:val="374151"/>
                <w:sz w:val="20"/>
              </w:rPr>
              <w:t>44 points (Plain border box, no gap)</w:t>
            </w:r>
          </w:p>
        </w:tc>
        <w:tc>
          <w:tcPr>
            <w:tcW w:type="dxa" w:w="3120"/>
            <w:shd w:fill="FFFFFF"/>
            <w:tcMar>
              <w:top w:w="100" w:type="dxa"/>
              <w:bottom w:w="100" w:type="dxa"/>
              <w:left w:w="150" w:type="dxa"/>
              <w:right w:w="150" w:type="dxa"/>
            </w:tcMar>
          </w:tcPr>
          <w:p>
            <w:pPr>
              <w:jc w:val="left"/>
            </w:pPr>
            <w:r>
              <w:rPr>
                <w:rFonts w:ascii="Inter" w:hAnsi="Inter"/>
                <w:b/>
                <w:i w:val="0"/>
                <w:color w:val="111827"/>
                <w:sz w:val="20"/>
              </w:rPr>
              <w:t>36 points (Rounded status cards, color-coded left borders)</w:t>
            </w:r>
          </w:p>
        </w:tc>
      </w:tr>
      <w:tr>
        <w:tc>
          <w:tcPr>
            <w:tcW w:type="dxa" w:w="3120"/>
            <w:shd w:fill="F9FAFB"/>
            <w:tcMar>
              <w:top w:w="100" w:type="dxa"/>
              <w:bottom w:w="100" w:type="dxa"/>
              <w:left w:w="150" w:type="dxa"/>
              <w:right w:w="150" w:type="dxa"/>
            </w:tcMar>
          </w:tcPr>
          <w:p>
            <w:pPr>
              <w:jc w:val="left"/>
            </w:pPr>
            <w:r>
              <w:rPr>
                <w:rFonts w:ascii="Inter" w:hAnsi="Inter"/>
                <w:b/>
                <w:i w:val="0"/>
                <w:color w:val="111827"/>
                <w:sz w:val="20"/>
              </w:rPr>
              <w:t>Section 4 (Validation Column Height)</w:t>
            </w:r>
          </w:p>
        </w:tc>
        <w:tc>
          <w:tcPr>
            <w:tcW w:type="dxa" w:w="3120"/>
            <w:shd w:fill="F9FAFB"/>
            <w:tcMar>
              <w:top w:w="100" w:type="dxa"/>
              <w:bottom w:w="100" w:type="dxa"/>
              <w:left w:w="150" w:type="dxa"/>
              <w:right w:w="150" w:type="dxa"/>
            </w:tcMar>
          </w:tcPr>
          <w:p>
            <w:pPr>
              <w:jc w:val="left"/>
            </w:pPr>
            <w:r>
              <w:rPr>
                <w:rFonts w:ascii="Inter" w:hAnsi="Inter"/>
                <w:b w:val="0"/>
                <w:i w:val="0"/>
                <w:color w:val="374151"/>
                <w:sz w:val="20"/>
              </w:rPr>
              <w:t>110 points (Hard rectangles, no accent)</w:t>
            </w:r>
          </w:p>
        </w:tc>
        <w:tc>
          <w:tcPr>
            <w:tcW w:type="dxa" w:w="3120"/>
            <w:shd w:fill="F9FAFB"/>
            <w:tcMar>
              <w:top w:w="100" w:type="dxa"/>
              <w:bottom w:w="100" w:type="dxa"/>
              <w:left w:w="150" w:type="dxa"/>
              <w:right w:w="150" w:type="dxa"/>
            </w:tcMar>
          </w:tcPr>
          <w:p>
            <w:pPr>
              <w:jc w:val="left"/>
            </w:pPr>
            <w:r>
              <w:rPr>
                <w:rFonts w:ascii="Inter" w:hAnsi="Inter"/>
                <w:b/>
                <w:i w:val="0"/>
                <w:color w:val="111827"/>
                <w:sz w:val="20"/>
              </w:rPr>
              <w:t>92 points (Rounded status cards, colored accent lines)</w:t>
            </w:r>
          </w:p>
        </w:tc>
      </w:tr>
      <w:tr>
        <w:tc>
          <w:tcPr>
            <w:tcW w:type="dxa" w:w="3120"/>
            <w:shd w:fill="FFFFFF"/>
            <w:tcMar>
              <w:top w:w="100" w:type="dxa"/>
              <w:bottom w:w="100" w:type="dxa"/>
              <w:left w:w="150" w:type="dxa"/>
              <w:right w:w="150" w:type="dxa"/>
            </w:tcMar>
          </w:tcPr>
          <w:p>
            <w:pPr>
              <w:jc w:val="left"/>
            </w:pPr>
            <w:r>
              <w:rPr>
                <w:rFonts w:ascii="Inter" w:hAnsi="Inter"/>
                <w:b/>
                <w:i w:val="0"/>
                <w:color w:val="111827"/>
                <w:sz w:val="20"/>
              </w:rPr>
              <w:t>Meta Data Strip Height</w:t>
            </w:r>
          </w:p>
        </w:tc>
        <w:tc>
          <w:tcPr>
            <w:tcW w:type="dxa" w:w="3120"/>
            <w:shd w:fill="FFFFFF"/>
            <w:tcMar>
              <w:top w:w="100" w:type="dxa"/>
              <w:bottom w:w="100" w:type="dxa"/>
              <w:left w:w="150" w:type="dxa"/>
              <w:right w:w="150" w:type="dxa"/>
            </w:tcMar>
          </w:tcPr>
          <w:p>
            <w:pPr>
              <w:jc w:val="left"/>
            </w:pPr>
            <w:r>
              <w:rPr>
                <w:rFonts w:ascii="Inter" w:hAnsi="Inter"/>
                <w:b w:val="0"/>
                <w:i w:val="0"/>
                <w:color w:val="374151"/>
                <w:sz w:val="20"/>
              </w:rPr>
              <w:t>22 points (Generic box)</w:t>
            </w:r>
          </w:p>
        </w:tc>
        <w:tc>
          <w:tcPr>
            <w:tcW w:type="dxa" w:w="3120"/>
            <w:shd w:fill="FFFFFF"/>
            <w:tcMar>
              <w:top w:w="100" w:type="dxa"/>
              <w:bottom w:w="100" w:type="dxa"/>
              <w:left w:w="150" w:type="dxa"/>
              <w:right w:w="150" w:type="dxa"/>
            </w:tcMar>
          </w:tcPr>
          <w:p>
            <w:pPr>
              <w:jc w:val="left"/>
            </w:pPr>
            <w:r>
              <w:rPr>
                <w:rFonts w:ascii="Inter" w:hAnsi="Inter"/>
                <w:b/>
                <w:i w:val="0"/>
                <w:color w:val="111827"/>
                <w:sz w:val="20"/>
              </w:rPr>
              <w:t>18 points (Rounded box, light blue fill)</w:t>
            </w:r>
          </w:p>
        </w:tc>
      </w:tr>
      <w:tr>
        <w:tc>
          <w:tcPr>
            <w:tcW w:type="dxa" w:w="3120"/>
            <w:shd w:fill="F9FAFB"/>
            <w:tcMar>
              <w:top w:w="100" w:type="dxa"/>
              <w:bottom w:w="100" w:type="dxa"/>
              <w:left w:w="150" w:type="dxa"/>
              <w:right w:w="150" w:type="dxa"/>
            </w:tcMar>
          </w:tcPr>
          <w:p>
            <w:pPr>
              <w:jc w:val="left"/>
            </w:pPr>
            <w:r>
              <w:rPr>
                <w:rFonts w:ascii="Inter" w:hAnsi="Inter"/>
                <w:b/>
                <w:i w:val="0"/>
                <w:color w:val="111827"/>
                <w:sz w:val="20"/>
              </w:rPr>
              <w:t>Table Row Height (Single Line)</w:t>
            </w:r>
          </w:p>
        </w:tc>
        <w:tc>
          <w:tcPr>
            <w:tcW w:type="dxa" w:w="3120"/>
            <w:shd w:fill="FEF2F2"/>
            <w:tcMar>
              <w:top w:w="100" w:type="dxa"/>
              <w:bottom w:w="100" w:type="dxa"/>
              <w:left w:w="150" w:type="dxa"/>
              <w:right w:w="150" w:type="dxa"/>
            </w:tcMar>
          </w:tcPr>
          <w:p>
            <w:pPr>
              <w:jc w:val="left"/>
            </w:pPr>
            <w:r>
              <w:rPr>
                <w:rFonts w:ascii="Inter" w:hAnsi="Inter"/>
                <w:b w:val="0"/>
                <w:i w:val="0"/>
                <w:color w:val="991B1B"/>
                <w:sz w:val="20"/>
              </w:rPr>
              <w:t>18.0 points (4.0pt padding)</w:t>
            </w:r>
          </w:p>
        </w:tc>
        <w:tc>
          <w:tcPr>
            <w:tcW w:type="dxa" w:w="3120"/>
            <w:shd w:fill="ECFDF5"/>
            <w:tcMar>
              <w:top w:w="100" w:type="dxa"/>
              <w:bottom w:w="100" w:type="dxa"/>
              <w:left w:w="150" w:type="dxa"/>
              <w:right w:w="150" w:type="dxa"/>
            </w:tcMar>
          </w:tcPr>
          <w:p>
            <w:pPr>
              <w:jc w:val="left"/>
            </w:pPr>
            <w:r>
              <w:rPr>
                <w:rFonts w:ascii="Inter" w:hAnsi="Inter"/>
                <w:b/>
                <w:i w:val="0"/>
                <w:color w:val="065F46"/>
                <w:sz w:val="20"/>
              </w:rPr>
              <w:t>14.5 points (2.5pt padding, Helvetica 7.5pt, compact height)</w:t>
            </w:r>
          </w:p>
        </w:tc>
      </w:tr>
    </w:tbl>
    <w:p/>
    <w:p>
      <w:pPr>
        <w:spacing w:before="720"/>
        <w:jc w:val="center"/>
      </w:pPr>
      <w:r>
        <w:rPr>
          <w:rFonts w:ascii="Outfit" w:hAnsi="Outfit"/>
          <w:b/>
          <w:color w:val="4B5563"/>
        </w:rPr>
        <w:t>--- END OF PRODUCTION TECHNICAL SUMMARY — COMPLETED &amp; SYNCED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