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4A50" w14:textId="77777777" w:rsidR="00B94069" w:rsidRDefault="3ACE1BE8" w:rsidP="008E520B">
      <w:pPr>
        <w:spacing w:before="1200" w:after="200"/>
      </w:pPr>
      <w:r w:rsidRPr="3ACE1BE8">
        <w:rPr>
          <w:b/>
          <w:bCs/>
          <w:sz w:val="40"/>
          <w:szCs w:val="40"/>
          <w:lang w:val="en-US"/>
        </w:rPr>
        <w:t>Identifying UBOs Under the ADGM BOC Regulations</w:t>
      </w:r>
    </w:p>
    <w:p w14:paraId="3CBF86C2" w14:textId="4663F6CF" w:rsidR="00B94069" w:rsidRDefault="001E3A8A" w:rsidP="008E520B">
      <w:pPr>
        <w:spacing w:after="600"/>
      </w:pPr>
      <w:r>
        <w:rPr>
          <w:sz w:val="28"/>
          <w:szCs w:val="28"/>
        </w:rPr>
        <w:t>A Practical Guide for Corporate Service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94069" w14:paraId="1005DE41"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A195AC" w14:textId="77777777" w:rsidR="00B94069" w:rsidRDefault="001E3A8A">
            <w:pPr>
              <w:spacing w:before="40" w:after="40" w:line="280" w:lineRule="auto"/>
            </w:pPr>
            <w:r>
              <w:rPr>
                <w:b/>
                <w:bCs/>
              </w:rPr>
              <w:t>Audience</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F7AF1E" w14:textId="77777777" w:rsidR="00B94069" w:rsidRDefault="001E3A8A">
            <w:pPr>
              <w:spacing w:before="40" w:after="40" w:line="280" w:lineRule="auto"/>
            </w:pPr>
            <w:r>
              <w:t>ADGM-registered Corporate Service Providers</w:t>
            </w:r>
          </w:p>
        </w:tc>
      </w:tr>
      <w:tr w:rsidR="00B94069" w14:paraId="168A820E"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0B6093" w14:textId="77777777" w:rsidR="00B94069" w:rsidRDefault="001E3A8A">
            <w:pPr>
              <w:spacing w:before="40" w:after="40" w:line="280" w:lineRule="auto"/>
            </w:pPr>
            <w:r>
              <w:rPr>
                <w:b/>
                <w:bCs/>
              </w:rPr>
              <w:t>Regulatory base</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84F3D1" w14:textId="14E94C15" w:rsidR="00B94069" w:rsidRDefault="001E3A8A">
            <w:pPr>
              <w:spacing w:before="40" w:after="40" w:line="280" w:lineRule="auto"/>
            </w:pPr>
            <w:r>
              <w:t xml:space="preserve">ADGM Beneficial Ownership and Control Regulations 2022 </w:t>
            </w:r>
          </w:p>
        </w:tc>
      </w:tr>
      <w:tr w:rsidR="00B94069" w14:paraId="58E682CB"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AC007E" w14:textId="77777777" w:rsidR="00B94069" w:rsidRDefault="001E3A8A">
            <w:pPr>
              <w:spacing w:before="40" w:after="40" w:line="280" w:lineRule="auto"/>
            </w:pPr>
            <w:r>
              <w:rPr>
                <w:b/>
                <w:bCs/>
              </w:rPr>
              <w:t>Examples</w:t>
            </w:r>
          </w:p>
        </w:tc>
        <w:tc>
          <w:tcPr>
            <w:tcW w:w="6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9BBE76" w14:textId="67E1A9DA" w:rsidR="00B94069" w:rsidRDefault="008E520B">
            <w:pPr>
              <w:spacing w:before="40" w:after="40" w:line="280" w:lineRule="auto"/>
            </w:pPr>
            <w:r>
              <w:t>Refer to the file: ADGM UBO Course Examples.pptx</w:t>
            </w:r>
          </w:p>
        </w:tc>
      </w:tr>
    </w:tbl>
    <w:p w14:paraId="1E347BFE" w14:textId="77777777" w:rsidR="00B94069" w:rsidRDefault="001E3A8A">
      <w:r>
        <w:br w:type="page"/>
      </w:r>
    </w:p>
    <w:p w14:paraId="5E85755F" w14:textId="77777777" w:rsidR="00B94069" w:rsidRDefault="001E3A8A">
      <w:pPr>
        <w:spacing w:before="200" w:after="240"/>
      </w:pPr>
      <w:r>
        <w:rPr>
          <w:b/>
          <w:bCs/>
          <w:sz w:val="32"/>
          <w:szCs w:val="32"/>
        </w:rPr>
        <w:lastRenderedPageBreak/>
        <w:t>Course syllabus</w:t>
      </w:r>
    </w:p>
    <w:p w14:paraId="40F49CE5" w14:textId="77777777" w:rsidR="00B94069" w:rsidRDefault="001E3A8A">
      <w:pPr>
        <w:spacing w:after="200"/>
      </w:pPr>
      <w:r>
        <w:t>The course consists of five modules, in the following order:</w:t>
      </w:r>
    </w:p>
    <w:tbl>
      <w:tblPr>
        <w:tblW w:w="11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7280"/>
      </w:tblGrid>
      <w:tr w:rsidR="00AC171E" w14:paraId="4922DA92" w14:textId="77777777" w:rsidTr="4ACCE223">
        <w:trPr>
          <w:tblHeader/>
        </w:trPr>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0333DFCD" w14:textId="77777777" w:rsidR="00AC171E" w:rsidRDefault="00AC171E">
            <w:pPr>
              <w:spacing w:before="40" w:after="40" w:line="280" w:lineRule="auto"/>
            </w:pPr>
            <w:r>
              <w:rPr>
                <w:b/>
                <w:bCs/>
              </w:rPr>
              <w:t>#</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781D7072" w14:textId="77777777" w:rsidR="00AC171E" w:rsidRDefault="00AC171E">
            <w:pPr>
              <w:spacing w:before="40" w:after="40" w:line="280" w:lineRule="auto"/>
            </w:pPr>
            <w:r>
              <w:rPr>
                <w:b/>
                <w:bCs/>
              </w:rPr>
              <w:t>Module</w:t>
            </w:r>
          </w:p>
        </w:tc>
        <w:tc>
          <w:tcPr>
            <w:tcW w:w="7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03A76D90" w14:textId="77777777" w:rsidR="00AC171E" w:rsidRDefault="00AC171E">
            <w:pPr>
              <w:spacing w:before="40" w:after="40" w:line="280" w:lineRule="auto"/>
            </w:pPr>
            <w:r>
              <w:rPr>
                <w:b/>
                <w:bCs/>
              </w:rPr>
              <w:t>Focus</w:t>
            </w:r>
          </w:p>
        </w:tc>
      </w:tr>
      <w:tr w:rsidR="00AC171E" w14:paraId="49DEB6C7" w14:textId="77777777" w:rsidTr="4ACCE223">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927E1CA" w14:textId="77777777" w:rsidR="00AC171E" w:rsidRDefault="00AC171E">
            <w:pPr>
              <w:spacing w:before="40" w:after="40" w:line="280" w:lineRule="auto"/>
              <w:jc w:val="center"/>
            </w:pPr>
            <w:r>
              <w:rPr>
                <w:b/>
                <w:bCs/>
              </w:rPr>
              <w:t>1</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6A0DD88C" w14:textId="77777777" w:rsidR="00AC171E" w:rsidRDefault="00AC171E">
            <w:pPr>
              <w:spacing w:before="30" w:after="30" w:line="280" w:lineRule="auto"/>
            </w:pPr>
            <w:r>
              <w:rPr>
                <w:b/>
                <w:bCs/>
              </w:rPr>
              <w:t>Introduction and Regulatory Context</w:t>
            </w:r>
          </w:p>
        </w:tc>
        <w:tc>
          <w:tcPr>
            <w:tcW w:w="7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65945FD" w14:textId="77777777" w:rsidR="00AC171E" w:rsidRDefault="00AC171E">
            <w:pPr>
              <w:spacing w:before="40" w:after="40" w:line="280" w:lineRule="auto"/>
            </w:pPr>
            <w:r>
              <w:t>The existing ADGM framework on beneficial ownership and control; timeline of the Regulations from 2018 to today; alignment with international standards (FATF Recommendations 24 and 25, OECD, UAE federal framework); who has access to the Record of Beneficial Owners; consequences of non-compliance; the role of Corporate Service Providers.</w:t>
            </w:r>
          </w:p>
        </w:tc>
      </w:tr>
      <w:tr w:rsidR="00AC171E" w14:paraId="21A7409C" w14:textId="77777777" w:rsidTr="4ACCE223">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016CF28" w14:textId="77777777" w:rsidR="00AC171E" w:rsidRDefault="00AC171E">
            <w:pPr>
              <w:spacing w:before="40" w:after="40" w:line="280" w:lineRule="auto"/>
              <w:jc w:val="center"/>
            </w:pPr>
            <w:r>
              <w:rPr>
                <w:b/>
                <w:bCs/>
              </w:rPr>
              <w:t>2</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615E35D" w14:textId="77777777" w:rsidR="00AC171E" w:rsidRDefault="00AC171E">
            <w:pPr>
              <w:spacing w:before="30" w:after="30" w:line="280" w:lineRule="auto"/>
            </w:pPr>
            <w:r>
              <w:rPr>
                <w:b/>
                <w:bCs/>
              </w:rPr>
              <w:t>Foundational Concepts: Defined Terms, Records, and the Meaning of Beneficial Ownership</w:t>
            </w:r>
          </w:p>
        </w:tc>
        <w:tc>
          <w:tcPr>
            <w:tcW w:w="7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388C982" w14:textId="098EA7EB" w:rsidR="00AC171E" w:rsidRDefault="4ACCE223" w:rsidP="00B210D7">
            <w:pPr>
              <w:spacing w:before="40" w:after="40" w:line="280" w:lineRule="auto"/>
            </w:pPr>
            <w:r w:rsidRPr="4ACCE223">
              <w:rPr>
                <w:lang w:val="en-US"/>
              </w:rPr>
              <w:t>Definition of "ADGM Person" and the four entity types in scope; definition of "officer"; the Record of Beneficial Owners and the Record of Nominee Directors; required particulars of a beneficial owner; the ongoing obligation to keep records up to date and to notify the Registrar within 15 days; the distinction between legal ownership and beneficial ownership.</w:t>
            </w:r>
          </w:p>
        </w:tc>
      </w:tr>
      <w:tr w:rsidR="00AC171E" w14:paraId="5CA0314F" w14:textId="77777777" w:rsidTr="4ACCE223">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86673C5" w14:textId="77777777" w:rsidR="00AC171E" w:rsidRDefault="00AC171E">
            <w:pPr>
              <w:spacing w:before="40" w:after="40" w:line="280" w:lineRule="auto"/>
              <w:jc w:val="center"/>
            </w:pPr>
            <w:r>
              <w:rPr>
                <w:b/>
                <w:bCs/>
              </w:rPr>
              <w:t>3</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D7410E6" w14:textId="22DCDED5" w:rsidR="00AC171E" w:rsidRDefault="3ACE1BE8">
            <w:pPr>
              <w:spacing w:before="30" w:after="30" w:line="280" w:lineRule="auto"/>
            </w:pPr>
            <w:r w:rsidRPr="3ACE1BE8">
              <w:rPr>
                <w:b/>
                <w:bCs/>
                <w:lang w:val="en-US"/>
              </w:rPr>
              <w:t>Identifying Beneficial Owners: The 3-Test Approach</w:t>
            </w:r>
          </w:p>
        </w:tc>
        <w:tc>
          <w:tcPr>
            <w:tcW w:w="7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508C5FD" w14:textId="213DAA03" w:rsidR="00AC171E" w:rsidRDefault="3ACE1BE8">
            <w:pPr>
              <w:spacing w:before="40" w:after="40" w:line="280" w:lineRule="auto"/>
            </w:pPr>
            <w:r w:rsidRPr="3ACE1BE8">
              <w:rPr>
                <w:lang w:val="en-US"/>
              </w:rPr>
              <w:t xml:space="preserve">The </w:t>
            </w:r>
            <w:proofErr w:type="gramStart"/>
            <w:r w:rsidRPr="3ACE1BE8">
              <w:rPr>
                <w:lang w:val="en-US"/>
              </w:rPr>
              <w:t>3 test</w:t>
            </w:r>
            <w:proofErr w:type="gramEnd"/>
            <w:r w:rsidRPr="3ACE1BE8">
              <w:rPr>
                <w:lang w:val="en-US"/>
              </w:rPr>
              <w:t xml:space="preserve"> approach in Schedule 1, paragraph 1, applied separately to a company, a limited liability partnership, and a partnership; indirect ownership and the chain rule; the four cases in which tracing through to a natural person is not required.</w:t>
            </w:r>
          </w:p>
        </w:tc>
      </w:tr>
      <w:tr w:rsidR="00AC171E" w14:paraId="7195CC01" w14:textId="77777777" w:rsidTr="4ACCE223">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8907899" w14:textId="77777777" w:rsidR="00AC171E" w:rsidRDefault="00AC171E">
            <w:pPr>
              <w:spacing w:before="40" w:after="40" w:line="280" w:lineRule="auto"/>
              <w:jc w:val="center"/>
            </w:pPr>
            <w:r>
              <w:rPr>
                <w:b/>
                <w:bCs/>
              </w:rPr>
              <w:t>4</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96F3158" w14:textId="77777777" w:rsidR="00AC171E" w:rsidRDefault="00AC171E">
            <w:pPr>
              <w:spacing w:before="30" w:after="30" w:line="280" w:lineRule="auto"/>
            </w:pPr>
            <w:r>
              <w:rPr>
                <w:b/>
                <w:bCs/>
              </w:rPr>
              <w:t>Further Rules for Identifying Beneficial Owners</w:t>
            </w:r>
          </w:p>
        </w:tc>
        <w:tc>
          <w:tcPr>
            <w:tcW w:w="7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A24D1E9" w14:textId="77777777" w:rsidR="00AC171E" w:rsidRDefault="00AC171E">
            <w:pPr>
              <w:spacing w:before="40" w:after="40" w:line="280" w:lineRule="auto"/>
            </w:pPr>
            <w:r>
              <w:t>Joint interests; joint arrangements and the family-aggregation rule; shares held by nominees; rights treated as held by the person who controls their exercise; nominee directors and the Record of Nominee Directors.</w:t>
            </w:r>
          </w:p>
        </w:tc>
      </w:tr>
      <w:tr w:rsidR="00AC171E" w14:paraId="38E60141" w14:textId="77777777" w:rsidTr="4ACCE223">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AC04604" w14:textId="77777777" w:rsidR="00AC171E" w:rsidRDefault="00AC171E">
            <w:pPr>
              <w:spacing w:before="40" w:after="40" w:line="280" w:lineRule="auto"/>
              <w:jc w:val="center"/>
            </w:pPr>
            <w:r>
              <w:rPr>
                <w:b/>
                <w:bCs/>
              </w:rPr>
              <w:t>5</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D4AC079" w14:textId="77777777" w:rsidR="00AC171E" w:rsidRDefault="3ACE1BE8">
            <w:pPr>
              <w:spacing w:before="30" w:after="30" w:line="280" w:lineRule="auto"/>
            </w:pPr>
            <w:r w:rsidRPr="3ACE1BE8">
              <w:rPr>
                <w:b/>
                <w:bCs/>
                <w:lang w:val="en-US"/>
              </w:rPr>
              <w:t>Identifying Beneficial Owners of Trusts and Foundations</w:t>
            </w:r>
          </w:p>
        </w:tc>
        <w:tc>
          <w:tcPr>
            <w:tcW w:w="72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F6FA3A7" w14:textId="77777777" w:rsidR="00AC171E" w:rsidRDefault="3ACE1BE8">
            <w:pPr>
              <w:spacing w:before="40" w:after="40" w:line="280" w:lineRule="auto"/>
            </w:pPr>
            <w:r w:rsidRPr="3ACE1BE8">
              <w:rPr>
                <w:lang w:val="en-US"/>
              </w:rPr>
              <w:t>The role-based regime for trusts (Schedule 1, paragraph 2) and foundations (Schedule 1, paragraph 3); meaning of “control” over a trust and over a foundation (including the 10% threshold for DLT foundations); the two trust exceptions (Authorised Person trustee and Investment Trust trustee); the CSP carve-out for foundation council members.</w:t>
            </w:r>
          </w:p>
        </w:tc>
      </w:tr>
    </w:tbl>
    <w:p w14:paraId="6ACAEE4E" w14:textId="77777777" w:rsidR="00B94069" w:rsidRDefault="001E3A8A">
      <w:r>
        <w:br w:type="page"/>
      </w:r>
    </w:p>
    <w:p w14:paraId="0625226C" w14:textId="77777777" w:rsidR="00B94069" w:rsidRDefault="001E3A8A">
      <w:pPr>
        <w:pStyle w:val="Heading1"/>
      </w:pPr>
      <w:r>
        <w:lastRenderedPageBreak/>
        <w:t>Module 1 — Introduction and Regulatory Context</w:t>
      </w:r>
    </w:p>
    <w:p w14:paraId="5848F13D" w14:textId="77777777" w:rsidR="00B94069" w:rsidRDefault="001E3A8A">
      <w:pPr>
        <w:spacing w:before="220" w:after="100"/>
      </w:pPr>
      <w:r>
        <w:rPr>
          <w:b/>
          <w:bCs/>
          <w:sz w:val="24"/>
          <w:szCs w:val="24"/>
        </w:rPr>
        <w:t>Module purpose</w:t>
      </w:r>
    </w:p>
    <w:p w14:paraId="015B9126" w14:textId="77777777" w:rsidR="00B94069" w:rsidRDefault="3ACE1BE8">
      <w:pPr>
        <w:spacing w:before="60" w:after="60" w:line="280" w:lineRule="auto"/>
      </w:pPr>
      <w:r w:rsidRPr="3ACE1BE8">
        <w:rPr>
          <w:lang w:val="en-US"/>
        </w:rPr>
        <w:t>Module 1 sets the regulatory context for the rest of the course. It introduces the existing ADGM framework on beneficial ownership and control, the timeline of how it has developed, its alignment with international standards, who has access to the information, and the consequences of non-compliance at a high level. The technical content on identifying beneficial owners follows in Modules 2 to 5.</w:t>
      </w:r>
    </w:p>
    <w:p w14:paraId="30DC0612" w14:textId="77777777" w:rsidR="00B94069" w:rsidRDefault="001E3A8A">
      <w:pPr>
        <w:spacing w:before="220" w:after="100"/>
      </w:pPr>
      <w:r>
        <w:rPr>
          <w:b/>
          <w:bCs/>
          <w:sz w:val="24"/>
          <w:szCs w:val="24"/>
        </w:rPr>
        <w:t>Learning objectives</w:t>
      </w:r>
    </w:p>
    <w:p w14:paraId="03E19AEA" w14:textId="77777777" w:rsidR="00B94069" w:rsidRDefault="001E3A8A">
      <w:pPr>
        <w:spacing w:before="60" w:after="60" w:line="280" w:lineRule="auto"/>
      </w:pPr>
      <w:r>
        <w:t>By the end of this module, the learner will be able to:</w:t>
      </w:r>
    </w:p>
    <w:p w14:paraId="0100AEBC" w14:textId="77777777" w:rsidR="00B94069" w:rsidRDefault="3ACE1BE8">
      <w:pPr>
        <w:pStyle w:val="ListParagraph"/>
        <w:numPr>
          <w:ilvl w:val="0"/>
          <w:numId w:val="2"/>
        </w:numPr>
        <w:spacing w:before="30" w:after="30" w:line="280" w:lineRule="auto"/>
      </w:pPr>
      <w:r w:rsidRPr="3ACE1BE8">
        <w:rPr>
          <w:lang w:val="en-US"/>
        </w:rPr>
        <w:t>Identify the existing ADGM regulatory framework on beneficial ownership and control.</w:t>
      </w:r>
    </w:p>
    <w:p w14:paraId="123C021B" w14:textId="77777777" w:rsidR="00B94069" w:rsidRDefault="001E3A8A">
      <w:pPr>
        <w:pStyle w:val="ListParagraph"/>
        <w:numPr>
          <w:ilvl w:val="0"/>
          <w:numId w:val="2"/>
        </w:numPr>
        <w:spacing w:before="30" w:after="30" w:line="280" w:lineRule="auto"/>
      </w:pPr>
      <w:r>
        <w:t>Describe the development of the framework over time.</w:t>
      </w:r>
    </w:p>
    <w:p w14:paraId="2329908E" w14:textId="77777777" w:rsidR="00B94069" w:rsidRDefault="3ACE1BE8">
      <w:pPr>
        <w:pStyle w:val="ListParagraph"/>
        <w:numPr>
          <w:ilvl w:val="0"/>
          <w:numId w:val="2"/>
        </w:numPr>
        <w:spacing w:before="30" w:after="30" w:line="280" w:lineRule="auto"/>
      </w:pPr>
      <w:r w:rsidRPr="3ACE1BE8">
        <w:rPr>
          <w:lang w:val="en-US"/>
        </w:rPr>
        <w:t>Recognise the international standards with which the framework is aligned.</w:t>
      </w:r>
    </w:p>
    <w:p w14:paraId="0C9B4A8A" w14:textId="77777777" w:rsidR="00B94069" w:rsidRDefault="001E3A8A">
      <w:pPr>
        <w:pStyle w:val="ListParagraph"/>
        <w:numPr>
          <w:ilvl w:val="0"/>
          <w:numId w:val="2"/>
        </w:numPr>
        <w:spacing w:before="30" w:after="30" w:line="280" w:lineRule="auto"/>
      </w:pPr>
      <w:r>
        <w:t>Understand who has access to the Record of Beneficial Owners.</w:t>
      </w:r>
    </w:p>
    <w:p w14:paraId="3C875764" w14:textId="77777777" w:rsidR="00B94069" w:rsidRDefault="3ACE1BE8">
      <w:pPr>
        <w:pStyle w:val="ListParagraph"/>
        <w:numPr>
          <w:ilvl w:val="0"/>
          <w:numId w:val="2"/>
        </w:numPr>
        <w:spacing w:before="30" w:after="30" w:line="280" w:lineRule="auto"/>
      </w:pPr>
      <w:r w:rsidRPr="3ACE1BE8">
        <w:rPr>
          <w:lang w:val="en-US"/>
        </w:rPr>
        <w:t>Recognise the consequences of non-compliance at a high level.</w:t>
      </w:r>
    </w:p>
    <w:p w14:paraId="2F306734" w14:textId="77777777" w:rsidR="00B94069" w:rsidRDefault="3ACE1BE8">
      <w:pPr>
        <w:pStyle w:val="ListParagraph"/>
        <w:numPr>
          <w:ilvl w:val="0"/>
          <w:numId w:val="2"/>
        </w:numPr>
        <w:spacing w:before="30" w:after="30" w:line="280" w:lineRule="auto"/>
      </w:pPr>
      <w:r w:rsidRPr="3ACE1BE8">
        <w:rPr>
          <w:lang w:val="en-US"/>
        </w:rPr>
        <w:t>Recognise the central role that Corporate Service Providers play within the framework.</w:t>
      </w:r>
    </w:p>
    <w:p w14:paraId="6EF4017E" w14:textId="77777777" w:rsidR="00B94069" w:rsidRDefault="001E3A8A">
      <w:pPr>
        <w:spacing w:before="220" w:after="100"/>
      </w:pPr>
      <w:r>
        <w:rPr>
          <w:b/>
          <w:bCs/>
          <w:sz w:val="24"/>
          <w:szCs w:val="24"/>
        </w:rPr>
        <w:t>Proposed topics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940"/>
        <w:gridCol w:w="4040"/>
        <w:gridCol w:w="2000"/>
      </w:tblGrid>
      <w:tr w:rsidR="00B94069" w14:paraId="2533C408" w14:textId="77777777" w:rsidTr="3ACE1BE8">
        <w:trPr>
          <w:tblHeader/>
        </w:trPr>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21EA232E" w14:textId="77777777" w:rsidR="00B94069" w:rsidRDefault="001E3A8A">
            <w:pPr>
              <w:spacing w:before="40" w:after="40" w:line="280" w:lineRule="auto"/>
            </w:pPr>
            <w:r>
              <w:rPr>
                <w:b/>
                <w:bCs/>
              </w:rPr>
              <w:t>#</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2E545E79" w14:textId="77777777" w:rsidR="00B94069" w:rsidRDefault="001E3A8A">
            <w:pPr>
              <w:spacing w:before="40" w:after="40" w:line="280" w:lineRule="auto"/>
            </w:pPr>
            <w:r>
              <w:rPr>
                <w:b/>
                <w:bCs/>
              </w:rPr>
              <w:t>Topic</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75B91BB9" w14:textId="77777777" w:rsidR="00B94069" w:rsidRDefault="001E3A8A">
            <w:pPr>
              <w:spacing w:before="40" w:after="40" w:line="280" w:lineRule="auto"/>
            </w:pPr>
            <w:r>
              <w:rPr>
                <w:b/>
                <w:bCs/>
              </w:rPr>
              <w:t>What this section covers</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59698B41" w14:textId="77777777" w:rsidR="00B94069" w:rsidRDefault="001E3A8A">
            <w:pPr>
              <w:spacing w:before="40" w:after="40" w:line="280" w:lineRule="auto"/>
            </w:pPr>
            <w:r>
              <w:rPr>
                <w:b/>
                <w:bCs/>
              </w:rPr>
              <w:t>Suggested script</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411030FA" w14:textId="77777777" w:rsidR="00B94069" w:rsidRDefault="001E3A8A">
            <w:pPr>
              <w:spacing w:before="40" w:after="40" w:line="280" w:lineRule="auto"/>
            </w:pPr>
            <w:r>
              <w:rPr>
                <w:b/>
                <w:bCs/>
              </w:rPr>
              <w:t>Regulatory reference</w:t>
            </w:r>
          </w:p>
        </w:tc>
      </w:tr>
      <w:tr w:rsidR="00B94069" w14:paraId="19AC320E" w14:textId="77777777" w:rsidTr="3ACE1BE8">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4DF43F3F" w14:textId="77777777" w:rsidR="00B94069" w:rsidRDefault="001E3A8A">
            <w:pPr>
              <w:spacing w:before="40" w:after="40" w:line="280" w:lineRule="auto"/>
              <w:jc w:val="center"/>
            </w:pPr>
            <w:r>
              <w:rPr>
                <w:b/>
                <w:bCs/>
              </w:rPr>
              <w:t>1</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E2B33A6" w14:textId="77777777" w:rsidR="00B94069" w:rsidRDefault="001E3A8A">
            <w:pPr>
              <w:spacing w:before="30" w:after="30" w:line="280" w:lineRule="auto"/>
            </w:pPr>
            <w:r>
              <w:rPr>
                <w:b/>
                <w:bCs/>
              </w:rPr>
              <w:t>The existing ADGM regulatory framework on beneficial ownership and control</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4A692006" w14:textId="77777777" w:rsidR="00B94069" w:rsidRDefault="3ACE1BE8">
            <w:pPr>
              <w:spacing w:before="30" w:after="30" w:line="280" w:lineRule="auto"/>
            </w:pPr>
            <w:r w:rsidRPr="3ACE1BE8">
              <w:rPr>
                <w:lang w:val="en-US"/>
              </w:rPr>
              <w:t>This section will introduce the existing framework. Identification of corporate beneficial ownership and control is an important tool in the fight against money laundering and other financial crime. Beneficial-ownership identification forms an integral part of ADGM's application review process in registering a legal entity in ADGM. Applicants must provide such information at the time of incorporation, and the information must be kept up to date throughout the life cycle of the legal entity.</w:t>
            </w:r>
          </w:p>
          <w:p w14:paraId="3DFE7347" w14:textId="77777777" w:rsidR="00B94069" w:rsidRDefault="3ACE1BE8">
            <w:pPr>
              <w:spacing w:before="30" w:after="30" w:line="280" w:lineRule="auto"/>
            </w:pPr>
            <w:r w:rsidRPr="3ACE1BE8">
              <w:rPr>
                <w:lang w:val="en-US"/>
              </w:rPr>
              <w:t xml:space="preserve">Applicable ADGM entities must keep a record of the required particulars of their beneficial owners in a Record of Beneficial Owners and must notify the Registrar of any </w:t>
            </w:r>
            <w:r w:rsidRPr="3ACE1BE8">
              <w:rPr>
                <w:lang w:val="en-US"/>
              </w:rPr>
              <w:lastRenderedPageBreak/>
              <w:t>changes. The Regulations apply to all legal entities operating within ADGM, with the exception of branches of foreign companies or foreign partnerships. The four categories of entity within scope (referred to in the Regulations as “ADGM Persons”) are explained in Module 2.</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65993040" w14:textId="77777777" w:rsidR="00B94069" w:rsidRDefault="3ACE1BE8">
            <w:pPr>
              <w:pStyle w:val="ListParagraph"/>
              <w:numPr>
                <w:ilvl w:val="0"/>
                <w:numId w:val="2"/>
              </w:numPr>
              <w:spacing w:before="30" w:after="30" w:line="280" w:lineRule="auto"/>
            </w:pPr>
            <w:r w:rsidRPr="3ACE1BE8">
              <w:rPr>
                <w:lang w:val="en-US"/>
              </w:rPr>
              <w:lastRenderedPageBreak/>
              <w:t>Identification of corporate beneficial ownership and control is an important tool in the fight against money laundering and other financial crime.</w:t>
            </w:r>
          </w:p>
          <w:p w14:paraId="40DCEFB3" w14:textId="77777777" w:rsidR="00B94069" w:rsidRDefault="001E3A8A">
            <w:pPr>
              <w:pStyle w:val="ListParagraph"/>
              <w:numPr>
                <w:ilvl w:val="0"/>
                <w:numId w:val="2"/>
              </w:numPr>
              <w:spacing w:before="30" w:after="30" w:line="280" w:lineRule="auto"/>
            </w:pPr>
            <w:r>
              <w:t>In ADGM, beneficial-ownership identification forms an integral part of the application review process for registering a legal entity.</w:t>
            </w:r>
          </w:p>
          <w:p w14:paraId="76E487CE" w14:textId="77777777" w:rsidR="00B94069" w:rsidRDefault="001E3A8A">
            <w:pPr>
              <w:pStyle w:val="ListParagraph"/>
              <w:numPr>
                <w:ilvl w:val="0"/>
                <w:numId w:val="2"/>
              </w:numPr>
              <w:spacing w:before="30" w:after="30" w:line="280" w:lineRule="auto"/>
            </w:pPr>
            <w:r>
              <w:t>Information on beneficial owners must be provided at the time of incorporation and must be kept up to date throughout the life cycle of the entity.</w:t>
            </w:r>
          </w:p>
          <w:p w14:paraId="383AEB9D" w14:textId="77777777" w:rsidR="00B94069" w:rsidRDefault="001E3A8A">
            <w:pPr>
              <w:pStyle w:val="ListParagraph"/>
              <w:numPr>
                <w:ilvl w:val="0"/>
                <w:numId w:val="2"/>
              </w:numPr>
              <w:spacing w:before="30" w:after="30" w:line="280" w:lineRule="auto"/>
            </w:pPr>
            <w:r>
              <w:lastRenderedPageBreak/>
              <w:t>Each applicable entity must keep a Record of Beneficial Owners and must notify the Registrar of any changes.</w:t>
            </w:r>
          </w:p>
          <w:p w14:paraId="476DB097" w14:textId="77777777" w:rsidR="00B94069" w:rsidRDefault="3ACE1BE8">
            <w:pPr>
              <w:pStyle w:val="ListParagraph"/>
              <w:numPr>
                <w:ilvl w:val="0"/>
                <w:numId w:val="2"/>
              </w:numPr>
              <w:spacing w:before="30" w:after="30" w:line="280" w:lineRule="auto"/>
            </w:pPr>
            <w:r w:rsidRPr="3ACE1BE8">
              <w:rPr>
                <w:lang w:val="en-US"/>
              </w:rPr>
              <w:t>The Regulations apply to all legal entities in ADGM, except branches of foreign companies or foreign partnerships. The four categories within scope are covered in Module 2.</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61C606E" w14:textId="088B7E89" w:rsidR="00B94069" w:rsidRDefault="00B94069">
            <w:pPr>
              <w:spacing w:before="30" w:after="30" w:line="280" w:lineRule="auto"/>
            </w:pPr>
          </w:p>
        </w:tc>
      </w:tr>
      <w:tr w:rsidR="00B94069" w14:paraId="40291156" w14:textId="77777777" w:rsidTr="3ACE1BE8">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E09119B" w14:textId="77777777" w:rsidR="00B94069" w:rsidRDefault="001E3A8A">
            <w:pPr>
              <w:spacing w:before="40" w:after="40" w:line="280" w:lineRule="auto"/>
              <w:jc w:val="center"/>
            </w:pPr>
            <w:r>
              <w:rPr>
                <w:b/>
                <w:bCs/>
              </w:rPr>
              <w:t>2</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CF5754C" w14:textId="77777777" w:rsidR="00B94069" w:rsidRDefault="001E3A8A">
            <w:pPr>
              <w:spacing w:before="30" w:after="30" w:line="280" w:lineRule="auto"/>
            </w:pPr>
            <w:r>
              <w:rPr>
                <w:b/>
                <w:bCs/>
              </w:rPr>
              <w:t>Timeline of UBO regulations in ADGM</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FA1C68B" w14:textId="77777777" w:rsidR="00B94069" w:rsidRDefault="3ACE1BE8">
            <w:pPr>
              <w:spacing w:before="30" w:after="30" w:line="280" w:lineRule="auto"/>
            </w:pPr>
            <w:r w:rsidRPr="3ACE1BE8">
              <w:rPr>
                <w:lang w:val="en-US"/>
              </w:rPr>
              <w:t>This section will outline, at a high level, how the framework has developed. The original Beneficial Ownership and Control Regulations were issued in 2018. Following the ADGM Registration Authority's review against international and federal requirements, the Beneficial Ownership and Control Regulations 2022 were enacted and the 2018 Regulations were repealed.</w:t>
            </w:r>
          </w:p>
          <w:p w14:paraId="6C4A857B" w14:textId="77777777" w:rsidR="00B94069" w:rsidRDefault="3ACE1BE8">
            <w:pPr>
              <w:spacing w:before="30" w:after="30" w:line="280" w:lineRule="auto"/>
            </w:pPr>
            <w:r w:rsidRPr="3ACE1BE8">
              <w:rPr>
                <w:lang w:val="en-US"/>
              </w:rPr>
              <w:t>The framework has since been refined through a number of consolidated amendments — most notably to clarify the cascade approach to identifying beneficial owners of legal persons — to strengthen the regime and to keep it aligned with evolving best practice. The version of the Regulations applicable today is the consolidated Beneficial Ownership and Control Regulations 2022, as amended.</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1EFA85D" w14:textId="77777777" w:rsidR="00B94069" w:rsidRDefault="001E3A8A">
            <w:pPr>
              <w:pStyle w:val="ListParagraph"/>
              <w:numPr>
                <w:ilvl w:val="0"/>
                <w:numId w:val="2"/>
              </w:numPr>
              <w:spacing w:before="30" w:after="30" w:line="280" w:lineRule="auto"/>
            </w:pPr>
            <w:r>
              <w:t>The original Beneficial Ownership and Control Regulations were issued in 2018.</w:t>
            </w:r>
          </w:p>
          <w:p w14:paraId="621AA1D1" w14:textId="77777777" w:rsidR="00B94069" w:rsidRDefault="001E3A8A">
            <w:pPr>
              <w:pStyle w:val="ListParagraph"/>
              <w:numPr>
                <w:ilvl w:val="0"/>
                <w:numId w:val="2"/>
              </w:numPr>
              <w:spacing w:before="30" w:after="30" w:line="280" w:lineRule="auto"/>
            </w:pPr>
            <w:r>
              <w:t>Following a review by the ADGM Registration Authority against international and federal requirements, the Beneficial Ownership and Control Regulations 2022 were enacted, and the 2018 Regulations were repealed.</w:t>
            </w:r>
          </w:p>
          <w:p w14:paraId="32BECB4F" w14:textId="77777777" w:rsidR="00B94069" w:rsidRDefault="3ACE1BE8">
            <w:pPr>
              <w:pStyle w:val="ListParagraph"/>
              <w:numPr>
                <w:ilvl w:val="0"/>
                <w:numId w:val="2"/>
              </w:numPr>
              <w:spacing w:before="30" w:after="30" w:line="280" w:lineRule="auto"/>
            </w:pPr>
            <w:r w:rsidRPr="3ACE1BE8">
              <w:rPr>
                <w:lang w:val="en-US"/>
              </w:rPr>
              <w:t>The 2022 Regulations have since been refined through a number of consolidated amendments, most notably to clarify the cascade approach to identifying beneficial owners of legal persons.</w:t>
            </w:r>
          </w:p>
          <w:p w14:paraId="5C8A7442" w14:textId="77777777" w:rsidR="00B94069" w:rsidRDefault="3ACE1BE8">
            <w:pPr>
              <w:pStyle w:val="ListParagraph"/>
              <w:numPr>
                <w:ilvl w:val="0"/>
                <w:numId w:val="2"/>
              </w:numPr>
              <w:spacing w:before="30" w:after="30" w:line="280" w:lineRule="auto"/>
            </w:pPr>
            <w:r w:rsidRPr="3ACE1BE8">
              <w:rPr>
                <w:lang w:val="en-US"/>
              </w:rPr>
              <w:t>The version applicable today is the consolidated Beneficial Ownership and Control Regulations 2022, as amended.</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469AEAA8" w14:textId="6A81F315" w:rsidR="00B94069" w:rsidRDefault="00B94069">
            <w:pPr>
              <w:spacing w:before="30" w:after="30" w:line="280" w:lineRule="auto"/>
            </w:pPr>
          </w:p>
        </w:tc>
      </w:tr>
      <w:tr w:rsidR="00B94069" w14:paraId="35D8546A" w14:textId="77777777" w:rsidTr="3ACE1BE8">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28AF613" w14:textId="77777777" w:rsidR="00B94069" w:rsidRDefault="001E3A8A">
            <w:pPr>
              <w:spacing w:before="40" w:after="40" w:line="280" w:lineRule="auto"/>
              <w:jc w:val="center"/>
            </w:pPr>
            <w:r>
              <w:rPr>
                <w:b/>
                <w:bCs/>
              </w:rPr>
              <w:t>3</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80EE49C" w14:textId="77777777" w:rsidR="00B94069" w:rsidRDefault="001E3A8A">
            <w:pPr>
              <w:spacing w:before="30" w:after="30" w:line="280" w:lineRule="auto"/>
            </w:pPr>
            <w:r>
              <w:rPr>
                <w:b/>
                <w:bCs/>
              </w:rPr>
              <w:t>Alignment with international standards</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E6506DE" w14:textId="77777777" w:rsidR="00B94069" w:rsidRDefault="3ACE1BE8">
            <w:pPr>
              <w:spacing w:before="30" w:after="30" w:line="280" w:lineRule="auto"/>
            </w:pPr>
            <w:r w:rsidRPr="3ACE1BE8">
              <w:rPr>
                <w:lang w:val="en-US"/>
              </w:rPr>
              <w:t xml:space="preserve">This section will explain how the ADGM framework is aligned with international standards on beneficial ownership and control. The Registration Authority has taken significant steps to implement relevant international standards on anti-money laundering and combating the financing of terrorism and proliferation, </w:t>
            </w:r>
            <w:r w:rsidRPr="3ACE1BE8">
              <w:rPr>
                <w:lang w:val="en-US"/>
              </w:rPr>
              <w:lastRenderedPageBreak/>
              <w:t>and remains strongly committed to helping the UAE fulfil its obligations as part of the international community.</w:t>
            </w:r>
          </w:p>
          <w:p w14:paraId="64C56D74" w14:textId="77777777" w:rsidR="00B94069" w:rsidRDefault="3ACE1BE8">
            <w:pPr>
              <w:spacing w:before="30" w:after="30" w:line="280" w:lineRule="auto"/>
            </w:pPr>
            <w:r w:rsidRPr="3ACE1BE8">
              <w:rPr>
                <w:lang w:val="en-US"/>
              </w:rPr>
              <w:t>The framework is aligned with the standards set by the Financial Action Task Force (FATF) — in particular FATF Recommendations 24 and 25, on the transparency and beneficial ownership of legal persons and legal arrangements. It is also aligned with the requirements of the Organisation for Economic Cooperation and Development (OECD) on international tax transparency, and with the wider UAE federal framework on anti-money laundering, counter-terrorism financing, financing of illegal organisations, and beneficial ownership.</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504F02F" w14:textId="77777777" w:rsidR="00B94069" w:rsidRDefault="001E3A8A">
            <w:pPr>
              <w:pStyle w:val="ListParagraph"/>
              <w:numPr>
                <w:ilvl w:val="0"/>
                <w:numId w:val="2"/>
              </w:numPr>
              <w:spacing w:before="30" w:after="30" w:line="280" w:lineRule="auto"/>
            </w:pPr>
            <w:r>
              <w:lastRenderedPageBreak/>
              <w:t>The ADGM Registration Authority has taken significant steps to implement relevant international standards on AML and counter-terrorism financing.</w:t>
            </w:r>
          </w:p>
          <w:p w14:paraId="297EE3E9" w14:textId="77777777" w:rsidR="00B94069" w:rsidRDefault="001E3A8A">
            <w:pPr>
              <w:pStyle w:val="ListParagraph"/>
              <w:numPr>
                <w:ilvl w:val="0"/>
                <w:numId w:val="2"/>
              </w:numPr>
              <w:spacing w:before="30" w:after="30" w:line="280" w:lineRule="auto"/>
            </w:pPr>
            <w:r>
              <w:t xml:space="preserve">The ADGM framework is aligned with FATF standards — in particular FATF </w:t>
            </w:r>
            <w:r>
              <w:lastRenderedPageBreak/>
              <w:t>Recommendations 24 and 25 — on the transparency and beneficial ownership of legal persons and legal arrangements.</w:t>
            </w:r>
          </w:p>
          <w:p w14:paraId="03FA3B43" w14:textId="77777777" w:rsidR="00B94069" w:rsidRDefault="001E3A8A">
            <w:pPr>
              <w:pStyle w:val="ListParagraph"/>
              <w:numPr>
                <w:ilvl w:val="0"/>
                <w:numId w:val="2"/>
              </w:numPr>
              <w:spacing w:before="30" w:after="30" w:line="280" w:lineRule="auto"/>
            </w:pPr>
            <w:r>
              <w:t>The framework is also aligned with OECD requirements on international tax transparency.</w:t>
            </w:r>
          </w:p>
          <w:p w14:paraId="31C0361C" w14:textId="77777777" w:rsidR="00B94069" w:rsidRDefault="3ACE1BE8">
            <w:pPr>
              <w:pStyle w:val="ListParagraph"/>
              <w:numPr>
                <w:ilvl w:val="0"/>
                <w:numId w:val="2"/>
              </w:numPr>
              <w:spacing w:before="30" w:after="30" w:line="280" w:lineRule="auto"/>
            </w:pPr>
            <w:r w:rsidRPr="3ACE1BE8">
              <w:rPr>
                <w:lang w:val="en-US"/>
              </w:rPr>
              <w:t>It is aligned with the wider UAE federal framework on AML, counter-terrorism financing, financing of illegal organisations, and beneficial ownership.</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5E88F90" w14:textId="77777777" w:rsidR="00B94069" w:rsidRDefault="001E3A8A">
            <w:pPr>
              <w:spacing w:before="30" w:after="30" w:line="280" w:lineRule="auto"/>
            </w:pPr>
            <w:r>
              <w:lastRenderedPageBreak/>
              <w:t>FATF Rec 24, 25; OECD; UAE Federal AML; UAE Federal UBO</w:t>
            </w:r>
          </w:p>
        </w:tc>
      </w:tr>
      <w:tr w:rsidR="00B94069" w14:paraId="4380AA6C" w14:textId="77777777" w:rsidTr="3ACE1BE8">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472B3CD3" w14:textId="77777777" w:rsidR="00B94069" w:rsidRDefault="001E3A8A">
            <w:pPr>
              <w:spacing w:before="40" w:after="40" w:line="280" w:lineRule="auto"/>
              <w:jc w:val="center"/>
            </w:pPr>
            <w:r>
              <w:rPr>
                <w:b/>
                <w:bCs/>
              </w:rPr>
              <w:t>4</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60C94E15" w14:textId="77777777" w:rsidR="00B94069" w:rsidRDefault="001E3A8A">
            <w:pPr>
              <w:spacing w:before="30" w:after="30" w:line="280" w:lineRule="auto"/>
            </w:pPr>
            <w:r>
              <w:rPr>
                <w:b/>
                <w:bCs/>
              </w:rPr>
              <w:t>Accessibility — who has access to the information</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5C556E5" w14:textId="77777777" w:rsidR="00B94069" w:rsidRDefault="3ACE1BE8">
            <w:pPr>
              <w:spacing w:before="30" w:after="30" w:line="280" w:lineRule="auto"/>
            </w:pPr>
            <w:r w:rsidRPr="3ACE1BE8">
              <w:rPr>
                <w:lang w:val="en-US"/>
              </w:rPr>
              <w:t>This section will set out, in three points, who has access to the Record of Beneficial Owners.</w:t>
            </w:r>
          </w:p>
          <w:p w14:paraId="1EA34BD0" w14:textId="77777777" w:rsidR="00B94069" w:rsidRDefault="001E3A8A">
            <w:pPr>
              <w:pStyle w:val="ListParagraph"/>
              <w:numPr>
                <w:ilvl w:val="0"/>
                <w:numId w:val="2"/>
              </w:numPr>
              <w:spacing w:before="30" w:after="30" w:line="280" w:lineRule="auto"/>
            </w:pPr>
            <w:r>
              <w:t>The Record of Beneficial Owners is not published publicly, for privacy reasons.</w:t>
            </w:r>
          </w:p>
          <w:p w14:paraId="79A01C03" w14:textId="77777777" w:rsidR="00B94069" w:rsidRDefault="001E3A8A">
            <w:pPr>
              <w:pStyle w:val="ListParagraph"/>
              <w:numPr>
                <w:ilvl w:val="0"/>
                <w:numId w:val="2"/>
              </w:numPr>
              <w:spacing w:before="30" w:after="30" w:line="280" w:lineRule="auto"/>
            </w:pPr>
            <w:r>
              <w:t>Access to the Record is limited to designated personnel of the ADGM Registration Authority.</w:t>
            </w:r>
          </w:p>
          <w:p w14:paraId="0E5F9ACD" w14:textId="77777777" w:rsidR="00B94069" w:rsidRDefault="3ACE1BE8">
            <w:pPr>
              <w:pStyle w:val="ListParagraph"/>
              <w:numPr>
                <w:ilvl w:val="0"/>
                <w:numId w:val="2"/>
              </w:numPr>
              <w:spacing w:before="30" w:after="30" w:line="280" w:lineRule="auto"/>
            </w:pPr>
            <w:r w:rsidRPr="3ACE1BE8">
              <w:rPr>
                <w:lang w:val="en-US"/>
              </w:rPr>
              <w:t>The Registrar may disclose beneficial-ownership information to third parties only in accordance with the requirements of section 967 of the ADGM Companies Regulations 2020, or with the consent of the legal entity to whom the information relates.</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4C259C2" w14:textId="77777777" w:rsidR="00B94069" w:rsidRDefault="001E3A8A">
            <w:pPr>
              <w:pStyle w:val="ListParagraph"/>
              <w:numPr>
                <w:ilvl w:val="0"/>
                <w:numId w:val="2"/>
              </w:numPr>
              <w:spacing w:before="30" w:after="30" w:line="280" w:lineRule="auto"/>
            </w:pPr>
            <w:r>
              <w:t>The Record of Beneficial Owners is not published publicly, for privacy reasons.</w:t>
            </w:r>
          </w:p>
          <w:p w14:paraId="2EFA0C31" w14:textId="77777777" w:rsidR="00B94069" w:rsidRDefault="001E3A8A">
            <w:pPr>
              <w:pStyle w:val="ListParagraph"/>
              <w:numPr>
                <w:ilvl w:val="0"/>
                <w:numId w:val="2"/>
              </w:numPr>
              <w:spacing w:before="30" w:after="30" w:line="280" w:lineRule="auto"/>
            </w:pPr>
            <w:r>
              <w:t>Access is limited to designated personnel of the ADGM Registration Authority.</w:t>
            </w:r>
          </w:p>
          <w:p w14:paraId="49B28DCA" w14:textId="77777777" w:rsidR="00B94069" w:rsidRDefault="3ACE1BE8">
            <w:pPr>
              <w:pStyle w:val="ListParagraph"/>
              <w:numPr>
                <w:ilvl w:val="0"/>
                <w:numId w:val="2"/>
              </w:numPr>
              <w:spacing w:before="30" w:after="30" w:line="280" w:lineRule="auto"/>
            </w:pPr>
            <w:r w:rsidRPr="3ACE1BE8">
              <w:rPr>
                <w:lang w:val="en-US"/>
              </w:rPr>
              <w:t>The Registrar may disclose information to third parties only under section 967 of the ADGM Companies Regulations 2020, or with the consent of the legal entity to whom the information relates.</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61F65DFD" w14:textId="16575801" w:rsidR="00B94069" w:rsidRDefault="00B94069">
            <w:pPr>
              <w:spacing w:before="30" w:after="30" w:line="280" w:lineRule="auto"/>
            </w:pPr>
          </w:p>
        </w:tc>
      </w:tr>
      <w:tr w:rsidR="00B94069" w14:paraId="6728C4CA" w14:textId="77777777" w:rsidTr="3ACE1BE8">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A16C036" w14:textId="77777777" w:rsidR="00B94069" w:rsidRDefault="001E3A8A">
            <w:pPr>
              <w:spacing w:before="40" w:after="40" w:line="280" w:lineRule="auto"/>
              <w:jc w:val="center"/>
            </w:pPr>
            <w:r>
              <w:rPr>
                <w:b/>
                <w:bCs/>
              </w:rPr>
              <w:t>5</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5D89C54" w14:textId="77777777" w:rsidR="00B94069" w:rsidRDefault="001E3A8A">
            <w:pPr>
              <w:spacing w:before="30" w:after="30" w:line="280" w:lineRule="auto"/>
            </w:pPr>
            <w:r>
              <w:rPr>
                <w:b/>
                <w:bCs/>
              </w:rPr>
              <w:t>Penalties — consequences of non-compliance</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1F20BA6" w14:textId="77777777" w:rsidR="00B94069" w:rsidRDefault="001E3A8A">
            <w:pPr>
              <w:spacing w:before="30" w:after="30" w:line="280" w:lineRule="auto"/>
            </w:pPr>
            <w:r>
              <w:t>This section will explain, in brief, the consequences of non-compliance with the Regulations.</w:t>
            </w:r>
          </w:p>
          <w:p w14:paraId="2DB59D92" w14:textId="77777777" w:rsidR="00B94069" w:rsidRDefault="3ACE1BE8">
            <w:pPr>
              <w:pStyle w:val="ListParagraph"/>
              <w:numPr>
                <w:ilvl w:val="0"/>
                <w:numId w:val="2"/>
              </w:numPr>
              <w:spacing w:before="30" w:after="30" w:line="280" w:lineRule="auto"/>
            </w:pPr>
            <w:r w:rsidRPr="3ACE1BE8">
              <w:rPr>
                <w:lang w:val="en-US"/>
              </w:rPr>
              <w:t>Failure to comply with the relevant provisions of the Regulations is subject to a maximum of a level 9 fine, which is USD 54,000,000.</w:t>
            </w:r>
          </w:p>
          <w:p w14:paraId="2B6AC1B5" w14:textId="77777777" w:rsidR="00B94069" w:rsidRDefault="3ACE1BE8">
            <w:pPr>
              <w:pStyle w:val="ListParagraph"/>
              <w:numPr>
                <w:ilvl w:val="0"/>
                <w:numId w:val="2"/>
              </w:numPr>
              <w:spacing w:before="30" w:after="30" w:line="280" w:lineRule="auto"/>
            </w:pPr>
            <w:r w:rsidRPr="3ACE1BE8">
              <w:rPr>
                <w:lang w:val="en-US"/>
              </w:rPr>
              <w:t xml:space="preserve">The Registrar may recommend the removal of a person as a beneficial owner where the Registrar </w:t>
            </w:r>
            <w:r w:rsidRPr="3ACE1BE8">
              <w:rPr>
                <w:lang w:val="en-US"/>
              </w:rPr>
              <w:lastRenderedPageBreak/>
              <w:t>considers it appropriate, and may, in certain circumstances, cancel the licence of an ADGM Person or strike it off the register.</w:t>
            </w:r>
          </w:p>
          <w:p w14:paraId="39960429" w14:textId="77777777" w:rsidR="00B94069" w:rsidRDefault="3ACE1BE8">
            <w:pPr>
              <w:pStyle w:val="ListParagraph"/>
              <w:numPr>
                <w:ilvl w:val="0"/>
                <w:numId w:val="2"/>
              </w:numPr>
              <w:spacing w:before="30" w:after="30" w:line="280" w:lineRule="auto"/>
            </w:pPr>
            <w:r w:rsidRPr="3ACE1BE8">
              <w:rPr>
                <w:lang w:val="en-US"/>
              </w:rPr>
              <w:t>A reasonable-steps defence is available where the ADGM Person can demonstrate that it took all reasonable steps to comply.</w:t>
            </w:r>
          </w:p>
          <w:p w14:paraId="4B2A76B4" w14:textId="77777777" w:rsidR="00B94069" w:rsidRDefault="001E3A8A">
            <w:pPr>
              <w:pStyle w:val="ListParagraph"/>
              <w:numPr>
                <w:ilvl w:val="0"/>
                <w:numId w:val="2"/>
              </w:numPr>
              <w:spacing w:before="30" w:after="30" w:line="280" w:lineRule="auto"/>
            </w:pPr>
            <w:r>
              <w:t>The detail of the enforcement mechanics sits outside the scope of this course.</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718C11E" w14:textId="77777777" w:rsidR="00B94069" w:rsidRDefault="3ACE1BE8">
            <w:pPr>
              <w:pStyle w:val="ListParagraph"/>
              <w:numPr>
                <w:ilvl w:val="0"/>
                <w:numId w:val="2"/>
              </w:numPr>
              <w:spacing w:before="30" w:after="30" w:line="280" w:lineRule="auto"/>
            </w:pPr>
            <w:r w:rsidRPr="3ACE1BE8">
              <w:rPr>
                <w:lang w:val="en-US"/>
              </w:rPr>
              <w:lastRenderedPageBreak/>
              <w:t>Failure to comply with the Regulations is subject to a maximum level 9 fine of USD 54,000,000.</w:t>
            </w:r>
          </w:p>
          <w:p w14:paraId="4BB55AB0" w14:textId="77777777" w:rsidR="00B94069" w:rsidRDefault="3ACE1BE8">
            <w:pPr>
              <w:pStyle w:val="ListParagraph"/>
              <w:numPr>
                <w:ilvl w:val="0"/>
                <w:numId w:val="2"/>
              </w:numPr>
              <w:spacing w:before="30" w:after="30" w:line="280" w:lineRule="auto"/>
            </w:pPr>
            <w:r w:rsidRPr="3ACE1BE8">
              <w:rPr>
                <w:lang w:val="en-US"/>
              </w:rPr>
              <w:t xml:space="preserve">The Registrar may recommend the removal of a beneficial owner, and may in certain circumstances cancel the licence </w:t>
            </w:r>
            <w:r w:rsidRPr="3ACE1BE8">
              <w:rPr>
                <w:lang w:val="en-US"/>
              </w:rPr>
              <w:lastRenderedPageBreak/>
              <w:t>of an ADGM Person or strike it off the register.</w:t>
            </w:r>
          </w:p>
          <w:p w14:paraId="0764F406" w14:textId="77777777" w:rsidR="00B94069" w:rsidRDefault="3ACE1BE8">
            <w:pPr>
              <w:pStyle w:val="ListParagraph"/>
              <w:numPr>
                <w:ilvl w:val="0"/>
                <w:numId w:val="2"/>
              </w:numPr>
              <w:spacing w:before="30" w:after="30" w:line="280" w:lineRule="auto"/>
            </w:pPr>
            <w:r w:rsidRPr="3ACE1BE8">
              <w:rPr>
                <w:lang w:val="en-US"/>
              </w:rPr>
              <w:t>A reasonable-steps defence is available where the ADGM Person can demonstrate it took all reasonable steps to comply.</w:t>
            </w:r>
          </w:p>
          <w:p w14:paraId="46F234BD" w14:textId="77777777" w:rsidR="00B94069" w:rsidRDefault="001E3A8A">
            <w:pPr>
              <w:pStyle w:val="ListParagraph"/>
              <w:numPr>
                <w:ilvl w:val="0"/>
                <w:numId w:val="2"/>
              </w:numPr>
              <w:spacing w:before="30" w:after="30" w:line="280" w:lineRule="auto"/>
            </w:pPr>
            <w:r>
              <w:t>Detailed enforcement procedure is outside the scope of this course.</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4DE1718" w14:textId="46349279" w:rsidR="00B94069" w:rsidRDefault="00B94069">
            <w:pPr>
              <w:spacing w:before="30" w:after="30" w:line="280" w:lineRule="auto"/>
            </w:pPr>
          </w:p>
        </w:tc>
      </w:tr>
      <w:tr w:rsidR="00B94069" w14:paraId="6166AD03" w14:textId="77777777" w:rsidTr="3ACE1BE8">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21267C1" w14:textId="77777777" w:rsidR="00B94069" w:rsidRDefault="001E3A8A">
            <w:pPr>
              <w:spacing w:before="40" w:after="40" w:line="280" w:lineRule="auto"/>
              <w:jc w:val="center"/>
            </w:pPr>
            <w:r>
              <w:rPr>
                <w:b/>
                <w:bCs/>
              </w:rPr>
              <w:t>6</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7231FF2" w14:textId="77777777" w:rsidR="00B94069" w:rsidRDefault="001E3A8A">
            <w:pPr>
              <w:spacing w:before="30" w:after="30" w:line="280" w:lineRule="auto"/>
            </w:pPr>
            <w:r>
              <w:rPr>
                <w:b/>
                <w:bCs/>
              </w:rPr>
              <w:t>The role of Corporate Service Providers</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98D4FAB" w14:textId="77777777" w:rsidR="00B94069" w:rsidRDefault="3ACE1BE8">
            <w:pPr>
              <w:spacing w:before="30" w:after="30" w:line="280" w:lineRule="auto"/>
            </w:pPr>
            <w:r w:rsidRPr="3ACE1BE8">
              <w:rPr>
                <w:lang w:val="en-US"/>
              </w:rPr>
              <w:t>This section will explain the role that Corporate Service Providers play within the ADGM framework. CSPs collect, verify and submit beneficial-ownership information on behalf of the entities they service, and are themselves ADGM Persons with their own obligations under the Regulations. The remainder of this course is designed for CSPs in both capacities.</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D363B46" w14:textId="77777777" w:rsidR="00B94069" w:rsidRDefault="3ACE1BE8">
            <w:pPr>
              <w:pStyle w:val="ListParagraph"/>
              <w:numPr>
                <w:ilvl w:val="0"/>
                <w:numId w:val="2"/>
              </w:numPr>
              <w:spacing w:before="30" w:after="30" w:line="280" w:lineRule="auto"/>
            </w:pPr>
            <w:r w:rsidRPr="3ACE1BE8">
              <w:rPr>
                <w:lang w:val="en-US"/>
              </w:rPr>
              <w:t>CSPs play a central role: they collect, verify and submit beneficial-ownership information on behalf of the entities they service.</w:t>
            </w:r>
          </w:p>
          <w:p w14:paraId="448CB256" w14:textId="77777777" w:rsidR="00B94069" w:rsidRDefault="001E3A8A">
            <w:pPr>
              <w:pStyle w:val="ListParagraph"/>
              <w:numPr>
                <w:ilvl w:val="0"/>
                <w:numId w:val="2"/>
              </w:numPr>
              <w:spacing w:before="30" w:after="30" w:line="280" w:lineRule="auto"/>
            </w:pPr>
            <w:r>
              <w:t>CSPs are themselves ADGM Persons with their own obligations under the Regulations.</w:t>
            </w:r>
          </w:p>
          <w:p w14:paraId="64A27923" w14:textId="77777777" w:rsidR="00B94069" w:rsidRDefault="3ACE1BE8">
            <w:pPr>
              <w:pStyle w:val="ListParagraph"/>
              <w:numPr>
                <w:ilvl w:val="0"/>
                <w:numId w:val="2"/>
              </w:numPr>
              <w:spacing w:before="30" w:after="30" w:line="280" w:lineRule="auto"/>
            </w:pPr>
            <w:r w:rsidRPr="3ACE1BE8">
              <w:rPr>
                <w:lang w:val="en-US"/>
              </w:rPr>
              <w:t>The remainder of this course is designed for CSPs in both capacities.</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480E2322" w14:textId="374683B9" w:rsidR="00B94069" w:rsidRDefault="00B94069">
            <w:pPr>
              <w:spacing w:before="30" w:after="30" w:line="280" w:lineRule="auto"/>
            </w:pPr>
          </w:p>
        </w:tc>
      </w:tr>
    </w:tbl>
    <w:p w14:paraId="3B0827E1" w14:textId="77777777" w:rsidR="00B94069" w:rsidRDefault="001E3A8A">
      <w:r>
        <w:br w:type="page"/>
      </w:r>
    </w:p>
    <w:p w14:paraId="42EEA9C5" w14:textId="77777777" w:rsidR="00B94069" w:rsidRDefault="001E3A8A">
      <w:pPr>
        <w:pStyle w:val="Heading1"/>
      </w:pPr>
      <w:r>
        <w:lastRenderedPageBreak/>
        <w:t>Module 2 — Foundational Concepts: Defined Terms, Records, and the Meaning of Beneficial Ownership</w:t>
      </w:r>
    </w:p>
    <w:p w14:paraId="1BE20E86" w14:textId="77777777" w:rsidR="00B94069" w:rsidRDefault="001E3A8A">
      <w:pPr>
        <w:spacing w:before="220" w:after="100"/>
      </w:pPr>
      <w:r>
        <w:rPr>
          <w:b/>
          <w:bCs/>
          <w:sz w:val="24"/>
          <w:szCs w:val="24"/>
        </w:rPr>
        <w:t>Module purpose</w:t>
      </w:r>
    </w:p>
    <w:p w14:paraId="501A39F1" w14:textId="027CCF91" w:rsidR="002A30B7" w:rsidRDefault="002A30B7">
      <w:pPr>
        <w:spacing w:before="220" w:after="100"/>
      </w:pPr>
      <w:r w:rsidRPr="002A30B7">
        <w:t xml:space="preserve">Module 2 introduces the defined terms and core concepts that the rest of the course is built on. It sets out the meaning of "ADGM Person" and "officer" as used in the Regulations, the two records that ADGM Persons are required to keep, the required particulars of a beneficial owner, the ongoing obligation to keep those records up to date and to notify the Registrar of any change, and the distinction between legal ownership and beneficial ownership that underpins the identification framework </w:t>
      </w:r>
      <w:r w:rsidR="002F451C">
        <w:t>explained</w:t>
      </w:r>
      <w:r w:rsidRPr="002A30B7">
        <w:t xml:space="preserve"> in Modules 3 to 5.</w:t>
      </w:r>
    </w:p>
    <w:p w14:paraId="0FE8A5E9" w14:textId="3513B52C" w:rsidR="00B94069" w:rsidRDefault="001E3A8A">
      <w:pPr>
        <w:spacing w:before="220" w:after="100"/>
      </w:pPr>
      <w:r>
        <w:rPr>
          <w:b/>
          <w:bCs/>
          <w:sz w:val="24"/>
          <w:szCs w:val="24"/>
        </w:rPr>
        <w:t>Learning objectives</w:t>
      </w:r>
    </w:p>
    <w:p w14:paraId="6B31A080" w14:textId="77777777" w:rsidR="00B94069" w:rsidRDefault="001E3A8A">
      <w:pPr>
        <w:spacing w:before="60" w:after="60" w:line="280" w:lineRule="auto"/>
      </w:pPr>
      <w:r>
        <w:t>By the end of this module, the learner will be able to:</w:t>
      </w:r>
    </w:p>
    <w:p w14:paraId="69E74BEE" w14:textId="77777777" w:rsidR="00B94069" w:rsidRDefault="3ACE1BE8">
      <w:pPr>
        <w:pStyle w:val="ListParagraph"/>
        <w:numPr>
          <w:ilvl w:val="0"/>
          <w:numId w:val="2"/>
        </w:numPr>
        <w:spacing w:before="30" w:after="30" w:line="280" w:lineRule="auto"/>
      </w:pPr>
      <w:r w:rsidRPr="3ACE1BE8">
        <w:rPr>
          <w:lang w:val="en-US"/>
        </w:rPr>
        <w:t>State the meaning of “ADGM Person” under the Regulations and identify the four entity types within scope.</w:t>
      </w:r>
    </w:p>
    <w:p w14:paraId="6958C5FF" w14:textId="77777777" w:rsidR="00B94069" w:rsidRDefault="001E3A8A">
      <w:pPr>
        <w:pStyle w:val="ListParagraph"/>
        <w:numPr>
          <w:ilvl w:val="0"/>
          <w:numId w:val="2"/>
        </w:numPr>
        <w:spacing w:before="30" w:after="30" w:line="280" w:lineRule="auto"/>
      </w:pPr>
      <w:r>
        <w:t>State the meaning of “officer” as it applies to each entity type.</w:t>
      </w:r>
    </w:p>
    <w:p w14:paraId="0DB0ADFE" w14:textId="359761BC" w:rsidR="00B94069" w:rsidRDefault="00DF7F9F">
      <w:pPr>
        <w:pStyle w:val="ListParagraph"/>
        <w:numPr>
          <w:ilvl w:val="0"/>
          <w:numId w:val="2"/>
        </w:numPr>
        <w:spacing w:before="30" w:after="30" w:line="280" w:lineRule="auto"/>
      </w:pPr>
      <w:r>
        <w:t>Understand the Record of Beneficial Owners and Record of Nominee Directors.</w:t>
      </w:r>
    </w:p>
    <w:p w14:paraId="4E0FA165" w14:textId="77777777" w:rsidR="00B94069" w:rsidRDefault="3ACE1BE8">
      <w:pPr>
        <w:pStyle w:val="ListParagraph"/>
        <w:numPr>
          <w:ilvl w:val="0"/>
          <w:numId w:val="2"/>
        </w:numPr>
        <w:spacing w:before="30" w:after="30" w:line="280" w:lineRule="auto"/>
      </w:pPr>
      <w:r w:rsidRPr="3ACE1BE8">
        <w:rPr>
          <w:lang w:val="en-US"/>
        </w:rPr>
        <w:t>Identify the required particulars of a beneficial owner.</w:t>
      </w:r>
    </w:p>
    <w:p w14:paraId="087A8729" w14:textId="74889F5E" w:rsidR="002A30B7" w:rsidRDefault="3ACE1BE8" w:rsidP="002A30B7">
      <w:pPr>
        <w:pStyle w:val="ListParagraph"/>
        <w:numPr>
          <w:ilvl w:val="0"/>
          <w:numId w:val="2"/>
        </w:numPr>
        <w:spacing w:before="30" w:after="30" w:line="280" w:lineRule="auto"/>
      </w:pPr>
      <w:r w:rsidRPr="3ACE1BE8">
        <w:rPr>
          <w:lang w:val="en-US"/>
        </w:rPr>
        <w:t>Recognise the ongoing obligation to keep records up to date and to notify the Registrar of any change within 15 days.</w:t>
      </w:r>
    </w:p>
    <w:p w14:paraId="48AF7B67" w14:textId="77777777" w:rsidR="00B94069" w:rsidRDefault="001E3A8A">
      <w:pPr>
        <w:pStyle w:val="ListParagraph"/>
        <w:numPr>
          <w:ilvl w:val="0"/>
          <w:numId w:val="2"/>
        </w:numPr>
        <w:spacing w:before="30" w:after="30" w:line="280" w:lineRule="auto"/>
      </w:pPr>
      <w:r>
        <w:t>Explain the distinction between legal ownership and beneficial ownership.</w:t>
      </w:r>
    </w:p>
    <w:p w14:paraId="0F1E04D9" w14:textId="77777777" w:rsidR="00B94069" w:rsidRDefault="001E3A8A">
      <w:pPr>
        <w:spacing w:before="220" w:after="100"/>
      </w:pPr>
      <w:r>
        <w:rPr>
          <w:b/>
          <w:bCs/>
          <w:sz w:val="24"/>
          <w:szCs w:val="24"/>
        </w:rPr>
        <w:t>Proposed topics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940"/>
        <w:gridCol w:w="4040"/>
        <w:gridCol w:w="2000"/>
      </w:tblGrid>
      <w:tr w:rsidR="00B94069" w14:paraId="5760E082" w14:textId="77777777" w:rsidTr="1A5F11DC">
        <w:trPr>
          <w:tblHeader/>
        </w:trPr>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0DACB7ED" w14:textId="77777777" w:rsidR="00B94069" w:rsidRDefault="001E3A8A">
            <w:pPr>
              <w:spacing w:before="40" w:after="40" w:line="280" w:lineRule="auto"/>
            </w:pPr>
            <w:r>
              <w:rPr>
                <w:b/>
                <w:bCs/>
              </w:rPr>
              <w:t>#</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3618B054" w14:textId="77777777" w:rsidR="00B94069" w:rsidRDefault="001E3A8A">
            <w:pPr>
              <w:spacing w:before="40" w:after="40" w:line="280" w:lineRule="auto"/>
            </w:pPr>
            <w:r>
              <w:rPr>
                <w:b/>
                <w:bCs/>
              </w:rPr>
              <w:t>Topic</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6C3146F4" w14:textId="77777777" w:rsidR="00B94069" w:rsidRDefault="001E3A8A">
            <w:pPr>
              <w:spacing w:before="40" w:after="40" w:line="280" w:lineRule="auto"/>
            </w:pPr>
            <w:r>
              <w:rPr>
                <w:b/>
                <w:bCs/>
              </w:rPr>
              <w:t>What this section covers</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397BE093" w14:textId="77777777" w:rsidR="00B94069" w:rsidRDefault="001E3A8A">
            <w:pPr>
              <w:spacing w:before="40" w:after="40" w:line="280" w:lineRule="auto"/>
            </w:pPr>
            <w:r>
              <w:rPr>
                <w:b/>
                <w:bCs/>
              </w:rPr>
              <w:t>Suggested script</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20" w:type="dxa"/>
              <w:bottom w:w="100" w:type="dxa"/>
              <w:right w:w="120" w:type="dxa"/>
            </w:tcMar>
          </w:tcPr>
          <w:p w14:paraId="60632A76" w14:textId="77777777" w:rsidR="00B94069" w:rsidRDefault="001E3A8A">
            <w:pPr>
              <w:spacing w:before="40" w:after="40" w:line="280" w:lineRule="auto"/>
            </w:pPr>
            <w:r>
              <w:rPr>
                <w:b/>
                <w:bCs/>
              </w:rPr>
              <w:t>Regulatory reference</w:t>
            </w:r>
          </w:p>
        </w:tc>
      </w:tr>
      <w:tr w:rsidR="00B94069" w14:paraId="3D8BA1FA" w14:textId="77777777" w:rsidTr="1A5F11DC">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A91CDCB" w14:textId="77777777" w:rsidR="00B94069" w:rsidRDefault="001E3A8A">
            <w:pPr>
              <w:spacing w:before="40" w:after="40" w:line="280" w:lineRule="auto"/>
              <w:jc w:val="center"/>
            </w:pPr>
            <w:r>
              <w:rPr>
                <w:b/>
                <w:bCs/>
              </w:rPr>
              <w:t>1</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690B42D" w14:textId="77777777" w:rsidR="00B94069" w:rsidRDefault="001E3A8A">
            <w:pPr>
              <w:spacing w:before="30" w:after="30" w:line="280" w:lineRule="auto"/>
            </w:pPr>
            <w:r>
              <w:rPr>
                <w:b/>
                <w:bCs/>
              </w:rPr>
              <w:t>Definition of ADGM Person</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85CC423" w14:textId="77777777" w:rsidR="00B94069" w:rsidRDefault="001E3A8A">
            <w:pPr>
              <w:spacing w:before="30" w:after="30" w:line="280" w:lineRule="auto"/>
            </w:pPr>
            <w:r>
              <w:t>This section will set out the meaning of “ADGM Person” under the Regulations. An ADGM Person is one of four entity types:</w:t>
            </w:r>
          </w:p>
          <w:p w14:paraId="19DD6FD9" w14:textId="77777777" w:rsidR="00B94069" w:rsidRDefault="001E3A8A">
            <w:pPr>
              <w:pStyle w:val="ListParagraph"/>
              <w:numPr>
                <w:ilvl w:val="0"/>
                <w:numId w:val="2"/>
              </w:numPr>
              <w:spacing w:before="30" w:after="30" w:line="280" w:lineRule="auto"/>
            </w:pPr>
            <w:r>
              <w:t>a company incorporated under the ADGM Companies Regulations 2020;</w:t>
            </w:r>
          </w:p>
          <w:p w14:paraId="5F18987E" w14:textId="77777777" w:rsidR="00B94069" w:rsidRDefault="3ACE1BE8">
            <w:pPr>
              <w:pStyle w:val="ListParagraph"/>
              <w:numPr>
                <w:ilvl w:val="0"/>
                <w:numId w:val="2"/>
              </w:numPr>
              <w:spacing w:before="30" w:after="30" w:line="280" w:lineRule="auto"/>
            </w:pPr>
            <w:r w:rsidRPr="3ACE1BE8">
              <w:rPr>
                <w:lang w:val="en-US"/>
              </w:rPr>
              <w:t>a limited liability partnership established under the ADGM Limited Liability Partnerships Regulations 2015;</w:t>
            </w:r>
          </w:p>
          <w:p w14:paraId="4D9F109C" w14:textId="77777777" w:rsidR="00B94069" w:rsidRDefault="1A5F11DC">
            <w:pPr>
              <w:pStyle w:val="ListParagraph"/>
              <w:numPr>
                <w:ilvl w:val="0"/>
                <w:numId w:val="2"/>
              </w:numPr>
              <w:spacing w:before="30" w:after="30" w:line="280" w:lineRule="auto"/>
            </w:pPr>
            <w:r w:rsidRPr="1A5F11DC">
              <w:rPr>
                <w:lang w:val="en-US"/>
              </w:rPr>
              <w:t>a limited partnership that has elected to possess legal personality and is registered under the Limited Partnership Act 1907 in ADGM; or</w:t>
            </w:r>
          </w:p>
          <w:p w14:paraId="6A4D0DA8" w14:textId="77777777" w:rsidR="00B94069" w:rsidRDefault="1A5F11DC">
            <w:pPr>
              <w:pStyle w:val="ListParagraph"/>
              <w:numPr>
                <w:ilvl w:val="0"/>
                <w:numId w:val="2"/>
              </w:numPr>
              <w:spacing w:before="30" w:after="30" w:line="280" w:lineRule="auto"/>
            </w:pPr>
            <w:r w:rsidRPr="1A5F11DC">
              <w:rPr>
                <w:lang w:val="en-US"/>
              </w:rPr>
              <w:lastRenderedPageBreak/>
              <w:t>a foundation established under the ADGM Foundations Regulations 2017 or the ADGM Distributed Ledger Technology Foundations Regulations 2023.</w:t>
            </w:r>
          </w:p>
          <w:p w14:paraId="2911CFD5" w14:textId="77777777" w:rsidR="00B94069" w:rsidRDefault="001E3A8A">
            <w:pPr>
              <w:spacing w:before="30" w:after="30" w:line="280" w:lineRule="auto"/>
            </w:pPr>
            <w:r>
              <w:t>The Regulations do not apply to branches of foreign companies or foreign partnerships.</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B5EE424" w14:textId="77777777" w:rsidR="00B94069" w:rsidRDefault="001E3A8A">
            <w:pPr>
              <w:pStyle w:val="ListParagraph"/>
              <w:numPr>
                <w:ilvl w:val="0"/>
                <w:numId w:val="2"/>
              </w:numPr>
              <w:spacing w:before="30" w:after="30" w:line="280" w:lineRule="auto"/>
            </w:pPr>
            <w:r>
              <w:lastRenderedPageBreak/>
              <w:t>An ADGM Person is one of four entity types under the Regulations:</w:t>
            </w:r>
          </w:p>
          <w:p w14:paraId="7262F0AC" w14:textId="77777777" w:rsidR="00B94069" w:rsidRDefault="001E3A8A">
            <w:pPr>
              <w:pStyle w:val="ListParagraph"/>
              <w:numPr>
                <w:ilvl w:val="0"/>
                <w:numId w:val="2"/>
              </w:numPr>
              <w:spacing w:before="30" w:after="30" w:line="280" w:lineRule="auto"/>
            </w:pPr>
            <w:r>
              <w:t>A company incorporated under the ADGM Companies Regulations 2020.</w:t>
            </w:r>
          </w:p>
          <w:p w14:paraId="58B7EE25" w14:textId="77777777" w:rsidR="00B94069" w:rsidRDefault="001E3A8A">
            <w:pPr>
              <w:pStyle w:val="ListParagraph"/>
              <w:numPr>
                <w:ilvl w:val="0"/>
                <w:numId w:val="2"/>
              </w:numPr>
              <w:spacing w:before="30" w:after="30" w:line="280" w:lineRule="auto"/>
            </w:pPr>
            <w:r>
              <w:t>An LLP established under the ADGM Limited Liability Partnerships Regulations 2015.</w:t>
            </w:r>
          </w:p>
          <w:p w14:paraId="2337DE6E" w14:textId="77777777" w:rsidR="00B94069" w:rsidRDefault="001E3A8A">
            <w:pPr>
              <w:pStyle w:val="ListParagraph"/>
              <w:numPr>
                <w:ilvl w:val="0"/>
                <w:numId w:val="2"/>
              </w:numPr>
              <w:spacing w:before="30" w:after="30" w:line="280" w:lineRule="auto"/>
            </w:pPr>
            <w:r>
              <w:t>A limited partnership that has elected legal personality, registered under the Limited Partnership Act 1907 in ADGM.</w:t>
            </w:r>
          </w:p>
          <w:p w14:paraId="315CE566" w14:textId="77777777" w:rsidR="00B94069" w:rsidRDefault="001E3A8A">
            <w:pPr>
              <w:pStyle w:val="ListParagraph"/>
              <w:numPr>
                <w:ilvl w:val="0"/>
                <w:numId w:val="2"/>
              </w:numPr>
              <w:spacing w:before="30" w:after="30" w:line="280" w:lineRule="auto"/>
            </w:pPr>
            <w:r>
              <w:lastRenderedPageBreak/>
              <w:t>A foundation established under the ADGM Foundations Regulations 2017 or the ADGM Distributed Ledger Technology Foundations Regulations 2023.</w:t>
            </w:r>
          </w:p>
          <w:p w14:paraId="53D93FD0" w14:textId="77777777" w:rsidR="00B94069" w:rsidRDefault="001E3A8A">
            <w:pPr>
              <w:pStyle w:val="ListParagraph"/>
              <w:numPr>
                <w:ilvl w:val="0"/>
                <w:numId w:val="2"/>
              </w:numPr>
              <w:spacing w:before="30" w:after="30" w:line="280" w:lineRule="auto"/>
            </w:pPr>
            <w:r>
              <w:t>The Regulations do not apply to branches of foreign companies or foreign partnerships.</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071EC86" w14:textId="77777777" w:rsidR="00B94069" w:rsidRDefault="001E3A8A">
            <w:pPr>
              <w:spacing w:before="30" w:after="30" w:line="280" w:lineRule="auto"/>
            </w:pPr>
            <w:r>
              <w:lastRenderedPageBreak/>
              <w:t>BOCR 2022, s.26(1)</w:t>
            </w:r>
          </w:p>
        </w:tc>
      </w:tr>
      <w:tr w:rsidR="00B94069" w14:paraId="1037158D" w14:textId="77777777" w:rsidTr="1A5F11DC">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0D1D0BC" w14:textId="77777777" w:rsidR="00B94069" w:rsidRDefault="001E3A8A">
            <w:pPr>
              <w:spacing w:before="40" w:after="40" w:line="280" w:lineRule="auto"/>
              <w:jc w:val="center"/>
            </w:pPr>
            <w:r>
              <w:rPr>
                <w:b/>
                <w:bCs/>
              </w:rPr>
              <w:t>2</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C4178C3" w14:textId="77777777" w:rsidR="00B94069" w:rsidRDefault="001E3A8A">
            <w:pPr>
              <w:spacing w:before="30" w:after="30" w:line="280" w:lineRule="auto"/>
            </w:pPr>
            <w:r>
              <w:rPr>
                <w:b/>
                <w:bCs/>
              </w:rPr>
              <w:t>Definition of officer</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6C2C114" w14:textId="77777777" w:rsidR="00B94069" w:rsidRDefault="001E3A8A">
            <w:pPr>
              <w:spacing w:before="30" w:after="30" w:line="280" w:lineRule="auto"/>
            </w:pPr>
            <w:r>
              <w:t>This section will set out the meaning of “officer” of an ADGM Person, which varies by entity type.</w:t>
            </w:r>
          </w:p>
          <w:p w14:paraId="2876205E" w14:textId="77777777" w:rsidR="00B94069" w:rsidRDefault="001E3A8A">
            <w:pPr>
              <w:pStyle w:val="ListParagraph"/>
              <w:numPr>
                <w:ilvl w:val="0"/>
                <w:numId w:val="2"/>
              </w:numPr>
              <w:spacing w:before="30" w:after="30" w:line="280" w:lineRule="auto"/>
            </w:pPr>
            <w:r>
              <w:t>For a company: “officer” has the meaning prescribed under the ADGM Companies Regulations 2020.</w:t>
            </w:r>
          </w:p>
          <w:p w14:paraId="56C4729D" w14:textId="77777777" w:rsidR="00B94069" w:rsidRDefault="001E3A8A">
            <w:pPr>
              <w:pStyle w:val="ListParagraph"/>
              <w:numPr>
                <w:ilvl w:val="0"/>
                <w:numId w:val="2"/>
              </w:numPr>
              <w:spacing w:before="30" w:after="30" w:line="280" w:lineRule="auto"/>
            </w:pPr>
            <w:r>
              <w:t>For an LLP: those members exercising functions under the members' agreement equivalent to the functions of the officers of a company.</w:t>
            </w:r>
          </w:p>
          <w:p w14:paraId="496DE147" w14:textId="77777777" w:rsidR="00B94069" w:rsidRDefault="001E3A8A">
            <w:pPr>
              <w:pStyle w:val="ListParagraph"/>
              <w:numPr>
                <w:ilvl w:val="0"/>
                <w:numId w:val="2"/>
              </w:numPr>
              <w:spacing w:before="30" w:after="30" w:line="280" w:lineRule="auto"/>
            </w:pPr>
            <w:r>
              <w:t>For a limited partnership with legal personality: the general partner, or the officers and directors of the general partner where the general partner is not a natural person.</w:t>
            </w:r>
          </w:p>
          <w:p w14:paraId="17683E62" w14:textId="77777777" w:rsidR="00B94069" w:rsidRDefault="001E3A8A">
            <w:pPr>
              <w:pStyle w:val="ListParagraph"/>
              <w:numPr>
                <w:ilvl w:val="0"/>
                <w:numId w:val="2"/>
              </w:numPr>
              <w:spacing w:before="30" w:after="30" w:line="280" w:lineRule="auto"/>
            </w:pPr>
            <w:r>
              <w:t>For a foundation: the founder, councillor, or guardian of the foundation.</w:t>
            </w:r>
          </w:p>
          <w:p w14:paraId="152DE40F" w14:textId="77777777" w:rsidR="00B94069" w:rsidRDefault="001E3A8A">
            <w:pPr>
              <w:spacing w:before="30" w:after="30" w:line="280" w:lineRule="auto"/>
            </w:pPr>
            <w:r>
              <w:t>The definition matters because it forms the basis of the officer-fallback test for identifying beneficial owners, covered in Module 3.</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C92DE9B" w14:textId="77777777" w:rsidR="00B94069" w:rsidRDefault="001E3A8A">
            <w:pPr>
              <w:pStyle w:val="ListParagraph"/>
              <w:numPr>
                <w:ilvl w:val="0"/>
                <w:numId w:val="2"/>
              </w:numPr>
              <w:spacing w:before="30" w:after="30" w:line="280" w:lineRule="auto"/>
            </w:pPr>
            <w:r>
              <w:t>The meaning of “officer” varies by entity type:</w:t>
            </w:r>
          </w:p>
          <w:p w14:paraId="49729AE7" w14:textId="77777777" w:rsidR="00B94069" w:rsidRDefault="001E3A8A">
            <w:pPr>
              <w:pStyle w:val="ListParagraph"/>
              <w:numPr>
                <w:ilvl w:val="0"/>
                <w:numId w:val="2"/>
              </w:numPr>
              <w:spacing w:before="30" w:after="30" w:line="280" w:lineRule="auto"/>
            </w:pPr>
            <w:r>
              <w:t>Company: as defined under the ADGM Companies Regulations 2020.</w:t>
            </w:r>
          </w:p>
          <w:p w14:paraId="4CAD6B68" w14:textId="77777777" w:rsidR="00B94069" w:rsidRDefault="001E3A8A">
            <w:pPr>
              <w:pStyle w:val="ListParagraph"/>
              <w:numPr>
                <w:ilvl w:val="0"/>
                <w:numId w:val="2"/>
              </w:numPr>
              <w:spacing w:before="30" w:after="30" w:line="280" w:lineRule="auto"/>
            </w:pPr>
            <w:r>
              <w:t>LLP: members exercising functions equivalent to a company's officers.</w:t>
            </w:r>
          </w:p>
          <w:p w14:paraId="33FE464E" w14:textId="77777777" w:rsidR="00B94069" w:rsidRDefault="001E3A8A">
            <w:pPr>
              <w:pStyle w:val="ListParagraph"/>
              <w:numPr>
                <w:ilvl w:val="0"/>
                <w:numId w:val="2"/>
              </w:numPr>
              <w:spacing w:before="30" w:after="30" w:line="280" w:lineRule="auto"/>
            </w:pPr>
            <w:r>
              <w:t>Limited partnership with legal personality: the general partner, or the officers and directors of the general partner if it is not a natural person.</w:t>
            </w:r>
          </w:p>
          <w:p w14:paraId="3CDBE9CA" w14:textId="77777777" w:rsidR="00B94069" w:rsidRDefault="001E3A8A">
            <w:pPr>
              <w:pStyle w:val="ListParagraph"/>
              <w:numPr>
                <w:ilvl w:val="0"/>
                <w:numId w:val="2"/>
              </w:numPr>
              <w:spacing w:before="30" w:after="30" w:line="280" w:lineRule="auto"/>
            </w:pPr>
            <w:r>
              <w:t>Foundation: the founder, councillor, or guardian.</w:t>
            </w:r>
          </w:p>
          <w:p w14:paraId="5BA4C0D9" w14:textId="77777777" w:rsidR="00B94069" w:rsidRDefault="001E3A8A">
            <w:pPr>
              <w:pStyle w:val="ListParagraph"/>
              <w:numPr>
                <w:ilvl w:val="0"/>
                <w:numId w:val="2"/>
              </w:numPr>
              <w:spacing w:before="30" w:after="30" w:line="280" w:lineRule="auto"/>
            </w:pPr>
            <w:r>
              <w:t>The definition forms the basis of the officer-fallback test, covered in Module 3.</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A873632" w14:textId="77777777" w:rsidR="00B94069" w:rsidRDefault="001E3A8A">
            <w:pPr>
              <w:spacing w:before="30" w:after="30" w:line="280" w:lineRule="auto"/>
            </w:pPr>
            <w:r>
              <w:t>BOCR 2022, s.26(2)</w:t>
            </w:r>
          </w:p>
        </w:tc>
      </w:tr>
      <w:tr w:rsidR="00B94069" w14:paraId="5F7AB17C" w14:textId="77777777" w:rsidTr="1A5F11DC">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C427F97" w14:textId="77777777" w:rsidR="00B94069" w:rsidRDefault="001E3A8A">
            <w:pPr>
              <w:spacing w:before="40" w:after="40" w:line="280" w:lineRule="auto"/>
              <w:jc w:val="center"/>
            </w:pPr>
            <w:r>
              <w:rPr>
                <w:b/>
                <w:bCs/>
              </w:rPr>
              <w:t>3</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E2594A2" w14:textId="77777777" w:rsidR="00B94069" w:rsidRDefault="001E3A8A">
            <w:pPr>
              <w:spacing w:before="30" w:after="30" w:line="280" w:lineRule="auto"/>
            </w:pPr>
            <w:r>
              <w:rPr>
                <w:b/>
                <w:bCs/>
              </w:rPr>
              <w:t>The two records</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2C3B6FC" w14:textId="77777777" w:rsidR="00B94069" w:rsidRDefault="001E3A8A">
            <w:pPr>
              <w:spacing w:before="30" w:after="30" w:line="280" w:lineRule="auto"/>
            </w:pPr>
            <w:r>
              <w:t>This section will introduce the two records that ADGM Persons are required to maintain.</w:t>
            </w:r>
          </w:p>
          <w:p w14:paraId="394FBADD" w14:textId="77777777" w:rsidR="00B94069" w:rsidRDefault="001E3A8A">
            <w:pPr>
              <w:pStyle w:val="ListParagraph"/>
              <w:numPr>
                <w:ilvl w:val="0"/>
                <w:numId w:val="2"/>
              </w:numPr>
              <w:spacing w:before="30" w:after="30" w:line="280" w:lineRule="auto"/>
            </w:pPr>
            <w:r>
              <w:t>The Record of Beneficial Owners is required of every ADGM Person; it contains the required particulars of each beneficial owner.</w:t>
            </w:r>
          </w:p>
          <w:p w14:paraId="42C0778B" w14:textId="77777777" w:rsidR="00B94069" w:rsidRDefault="001E3A8A">
            <w:pPr>
              <w:pStyle w:val="ListParagraph"/>
              <w:numPr>
                <w:ilvl w:val="0"/>
                <w:numId w:val="2"/>
              </w:numPr>
              <w:spacing w:before="30" w:after="30" w:line="280" w:lineRule="auto"/>
            </w:pPr>
            <w:r>
              <w:lastRenderedPageBreak/>
              <w:t>The Record of Nominee Directors is required only where the ADGM Person has one or more nominee directors; it records each nominee director and the person on whose behalf the nominee director acts.</w:t>
            </w:r>
          </w:p>
          <w:p w14:paraId="6CB6DF5E" w14:textId="77777777" w:rsidR="00B94069" w:rsidRDefault="001E3A8A">
            <w:pPr>
              <w:pStyle w:val="ListParagraph"/>
              <w:numPr>
                <w:ilvl w:val="0"/>
                <w:numId w:val="2"/>
              </w:numPr>
              <w:spacing w:before="30" w:after="30" w:line="280" w:lineRule="auto"/>
            </w:pPr>
            <w:r>
              <w:t>Both records must be established within one month of the ADGM Person's establishment.</w:t>
            </w:r>
          </w:p>
          <w:p w14:paraId="3EA40B1D" w14:textId="77777777" w:rsidR="00B94069" w:rsidRDefault="001E3A8A">
            <w:pPr>
              <w:spacing w:before="30" w:after="30" w:line="280" w:lineRule="auto"/>
            </w:pPr>
            <w:r>
              <w:t>The detailed requirements relating to each record sit outside the scope of this course.</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64B3C04" w14:textId="77777777" w:rsidR="00B94069" w:rsidRDefault="001E3A8A">
            <w:pPr>
              <w:pStyle w:val="ListParagraph"/>
              <w:numPr>
                <w:ilvl w:val="0"/>
                <w:numId w:val="2"/>
              </w:numPr>
              <w:spacing w:before="30" w:after="30" w:line="280" w:lineRule="auto"/>
            </w:pPr>
            <w:r>
              <w:lastRenderedPageBreak/>
              <w:t>Every ADGM Person maintains a Record of Beneficial Owners.</w:t>
            </w:r>
          </w:p>
          <w:p w14:paraId="7F4A2F2E" w14:textId="77777777" w:rsidR="00B94069" w:rsidRDefault="001E3A8A">
            <w:pPr>
              <w:pStyle w:val="ListParagraph"/>
              <w:numPr>
                <w:ilvl w:val="0"/>
                <w:numId w:val="2"/>
              </w:numPr>
              <w:spacing w:before="30" w:after="30" w:line="280" w:lineRule="auto"/>
            </w:pPr>
            <w:r>
              <w:t>A separate Record of Nominee Directors is required only if the ADGM Person has nominee directors.</w:t>
            </w:r>
          </w:p>
          <w:p w14:paraId="5C00EDB9" w14:textId="77777777" w:rsidR="00B94069" w:rsidRDefault="1A5F11DC">
            <w:pPr>
              <w:pStyle w:val="ListParagraph"/>
              <w:numPr>
                <w:ilvl w:val="0"/>
                <w:numId w:val="2"/>
              </w:numPr>
              <w:spacing w:before="30" w:after="30" w:line="280" w:lineRule="auto"/>
            </w:pPr>
            <w:r w:rsidRPr="1A5F11DC">
              <w:rPr>
                <w:lang w:val="en-GB"/>
              </w:rPr>
              <w:lastRenderedPageBreak/>
              <w:t>Both records must be established within one month of the ADGM Person's establishment.</w:t>
            </w:r>
          </w:p>
          <w:p w14:paraId="2AACAF58" w14:textId="0B8D3248" w:rsidR="00B94069" w:rsidRDefault="00B94069" w:rsidP="00DF7F9F">
            <w:pPr>
              <w:spacing w:before="30" w:after="30" w:line="280" w:lineRule="auto"/>
              <w:ind w:left="120"/>
            </w:pP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DCF9457" w14:textId="77777777" w:rsidR="00B94069" w:rsidRDefault="001E3A8A">
            <w:pPr>
              <w:spacing w:before="30" w:after="30" w:line="280" w:lineRule="auto"/>
            </w:pPr>
            <w:r>
              <w:lastRenderedPageBreak/>
              <w:t>BOCR 2022, ss.2 and 2A</w:t>
            </w:r>
          </w:p>
        </w:tc>
      </w:tr>
      <w:tr w:rsidR="00B94069" w14:paraId="5511C9C0" w14:textId="77777777" w:rsidTr="1A5F11DC">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0F7C0C3" w14:textId="77777777" w:rsidR="00B94069" w:rsidRDefault="001E3A8A">
            <w:pPr>
              <w:spacing w:before="40" w:after="40" w:line="280" w:lineRule="auto"/>
              <w:jc w:val="center"/>
            </w:pPr>
            <w:r>
              <w:rPr>
                <w:b/>
                <w:bCs/>
              </w:rPr>
              <w:t>4</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BAA9CBB" w14:textId="77777777" w:rsidR="00B94069" w:rsidRDefault="001E3A8A">
            <w:pPr>
              <w:spacing w:before="30" w:after="30" w:line="280" w:lineRule="auto"/>
            </w:pPr>
            <w:r>
              <w:rPr>
                <w:b/>
                <w:bCs/>
              </w:rPr>
              <w:t>Required particulars of a beneficial owner</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B4B8C00" w14:textId="77777777" w:rsidR="00B94069" w:rsidRDefault="001E3A8A">
            <w:pPr>
              <w:spacing w:before="30" w:after="30" w:line="280" w:lineRule="auto"/>
            </w:pPr>
            <w:r>
              <w:t>This section will set out the required particulars — the items of information that must be recorded in the Record of Beneficial Owners.</w:t>
            </w:r>
          </w:p>
          <w:p w14:paraId="3C46A7AE" w14:textId="77777777" w:rsidR="00B94069" w:rsidRDefault="001E3A8A">
            <w:pPr>
              <w:spacing w:before="30" w:after="30" w:line="280" w:lineRule="auto"/>
            </w:pPr>
            <w:r>
              <w:t>For a natural-person beneficial owner:</w:t>
            </w:r>
          </w:p>
          <w:p w14:paraId="7D9B8337" w14:textId="77777777" w:rsidR="00B94069" w:rsidRDefault="001E3A8A">
            <w:pPr>
              <w:pStyle w:val="ListParagraph"/>
              <w:numPr>
                <w:ilvl w:val="0"/>
                <w:numId w:val="2"/>
              </w:numPr>
              <w:spacing w:before="30" w:after="30" w:line="280" w:lineRule="auto"/>
            </w:pPr>
            <w:r>
              <w:t>full name (including any former names);</w:t>
            </w:r>
          </w:p>
          <w:p w14:paraId="5205E059" w14:textId="77777777" w:rsidR="00B94069" w:rsidRDefault="001E3A8A">
            <w:pPr>
              <w:pStyle w:val="ListParagraph"/>
              <w:numPr>
                <w:ilvl w:val="0"/>
                <w:numId w:val="2"/>
              </w:numPr>
              <w:spacing w:before="30" w:after="30" w:line="280" w:lineRule="auto"/>
            </w:pPr>
            <w:r>
              <w:t>residential address and, if different, an address for service of notices;</w:t>
            </w:r>
          </w:p>
          <w:p w14:paraId="467C8A7A" w14:textId="77777777" w:rsidR="00B94069" w:rsidRDefault="001E3A8A">
            <w:pPr>
              <w:pStyle w:val="ListParagraph"/>
              <w:numPr>
                <w:ilvl w:val="0"/>
                <w:numId w:val="2"/>
              </w:numPr>
              <w:spacing w:before="30" w:after="30" w:line="280" w:lineRule="auto"/>
            </w:pPr>
            <w:r>
              <w:t>date and place of birth;</w:t>
            </w:r>
          </w:p>
          <w:p w14:paraId="32D9437C" w14:textId="77777777" w:rsidR="00B94069" w:rsidRDefault="001E3A8A">
            <w:pPr>
              <w:pStyle w:val="ListParagraph"/>
              <w:numPr>
                <w:ilvl w:val="0"/>
                <w:numId w:val="2"/>
              </w:numPr>
              <w:spacing w:before="30" w:after="30" w:line="280" w:lineRule="auto"/>
            </w:pPr>
            <w:r>
              <w:t>nationality;</w:t>
            </w:r>
          </w:p>
          <w:p w14:paraId="53FECBBB" w14:textId="77777777" w:rsidR="00B94069" w:rsidRDefault="001E3A8A">
            <w:pPr>
              <w:pStyle w:val="ListParagraph"/>
              <w:numPr>
                <w:ilvl w:val="0"/>
                <w:numId w:val="2"/>
              </w:numPr>
              <w:spacing w:before="30" w:after="30" w:line="280" w:lineRule="auto"/>
            </w:pPr>
            <w:r>
              <w:t>occupation;</w:t>
            </w:r>
          </w:p>
          <w:p w14:paraId="70DA9D0C" w14:textId="77777777" w:rsidR="00B94069" w:rsidRDefault="1A5F11DC">
            <w:pPr>
              <w:pStyle w:val="ListParagraph"/>
              <w:numPr>
                <w:ilvl w:val="0"/>
                <w:numId w:val="2"/>
              </w:numPr>
              <w:spacing w:before="30" w:after="30" w:line="280" w:lineRule="auto"/>
            </w:pPr>
            <w:r w:rsidRPr="1A5F11DC">
              <w:rPr>
                <w:lang w:val="en-GB"/>
              </w:rPr>
              <w:t>information identifying the person from their passport;</w:t>
            </w:r>
          </w:p>
          <w:p w14:paraId="0DC7C694" w14:textId="77777777" w:rsidR="00B94069" w:rsidRDefault="001E3A8A">
            <w:pPr>
              <w:pStyle w:val="ListParagraph"/>
              <w:numPr>
                <w:ilvl w:val="0"/>
                <w:numId w:val="2"/>
              </w:numPr>
              <w:spacing w:before="30" w:after="30" w:line="280" w:lineRule="auto"/>
            </w:pPr>
            <w:r>
              <w:t>the date on which the person became a beneficial owner of the ADGM Person;</w:t>
            </w:r>
          </w:p>
          <w:p w14:paraId="4419E0ED" w14:textId="77777777" w:rsidR="00B94069" w:rsidRDefault="001E3A8A">
            <w:pPr>
              <w:pStyle w:val="ListParagraph"/>
              <w:numPr>
                <w:ilvl w:val="0"/>
                <w:numId w:val="2"/>
              </w:numPr>
              <w:spacing w:before="30" w:after="30" w:line="280" w:lineRule="auto"/>
            </w:pPr>
            <w:r>
              <w:t>the date on which the person ceased to be a beneficial owner;</w:t>
            </w:r>
          </w:p>
          <w:p w14:paraId="2FD6B0AD" w14:textId="77777777" w:rsidR="00B94069" w:rsidRDefault="1A5F11DC">
            <w:pPr>
              <w:pStyle w:val="ListParagraph"/>
              <w:numPr>
                <w:ilvl w:val="0"/>
                <w:numId w:val="2"/>
              </w:numPr>
              <w:spacing w:before="30" w:after="30" w:line="280" w:lineRule="auto"/>
            </w:pPr>
            <w:r w:rsidRPr="1A5F11DC">
              <w:rPr>
                <w:lang w:val="en-GB"/>
              </w:rPr>
              <w:t>the grounds on which that person is considered to be a beneficial owner.</w:t>
            </w:r>
          </w:p>
          <w:p w14:paraId="5A44A8C0" w14:textId="77777777" w:rsidR="00B94069" w:rsidRDefault="001E3A8A">
            <w:pPr>
              <w:spacing w:before="30" w:after="30" w:line="280" w:lineRule="auto"/>
            </w:pPr>
            <w:r>
              <w:t xml:space="preserve">Where the beneficial owner is a listed company, a UAE Federal Government or member-Emirate-government-owned company, an Emiri-decree company, or a company wholly-owned by a government or government </w:t>
            </w:r>
            <w:r>
              <w:lastRenderedPageBreak/>
              <w:t>agency of a Relevant Jurisdiction, the required particulars are: registered name; registered address; registered email address (if applicable); registration number; country of registration; and the date the person became a beneficial owner.</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70AA7AB" w14:textId="77777777" w:rsidR="00B94069" w:rsidRDefault="001E3A8A">
            <w:pPr>
              <w:pStyle w:val="ListParagraph"/>
              <w:numPr>
                <w:ilvl w:val="0"/>
                <w:numId w:val="2"/>
              </w:numPr>
              <w:spacing w:before="30" w:after="30" w:line="280" w:lineRule="auto"/>
            </w:pPr>
            <w:r>
              <w:lastRenderedPageBreak/>
              <w:t>Nine required particulars for a natural-person beneficial owner: full name (incl. former names); residential address and address for service; date and place of birth; nationality; occupation; passport information; date became a beneficial owner; date ceased to be a beneficial owner; grounds.</w:t>
            </w:r>
          </w:p>
          <w:p w14:paraId="0ECEFD67" w14:textId="77777777" w:rsidR="00B94069" w:rsidRDefault="001E3A8A">
            <w:pPr>
              <w:pStyle w:val="ListParagraph"/>
              <w:numPr>
                <w:ilvl w:val="0"/>
                <w:numId w:val="2"/>
              </w:numPr>
              <w:spacing w:before="30" w:after="30" w:line="280" w:lineRule="auto"/>
            </w:pPr>
            <w:r>
              <w:t>Six required particulars for a listed company, UAE government-owned company, Emiri-decree company, or Relevant-Jurisdiction-government-owned company: registered name; registered address; registered email (if applicable); registration number; country of registration; date became a beneficial owner.</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5DC0753" w14:textId="77777777" w:rsidR="00B94069" w:rsidRDefault="001E3A8A">
            <w:pPr>
              <w:spacing w:before="30" w:after="30" w:line="280" w:lineRule="auto"/>
            </w:pPr>
            <w:r>
              <w:t>BOCR 2022, s.2(4)</w:t>
            </w:r>
          </w:p>
        </w:tc>
      </w:tr>
      <w:tr w:rsidR="002A30B7" w14:paraId="2396DFAE" w14:textId="77777777" w:rsidTr="1A5F11DC">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47AE4EF" w14:textId="455FE539" w:rsidR="002A30B7" w:rsidRDefault="002A30B7">
            <w:pPr>
              <w:spacing w:before="40" w:after="40" w:line="280" w:lineRule="auto"/>
              <w:jc w:val="center"/>
              <w:rPr>
                <w:b/>
                <w:bCs/>
              </w:rPr>
            </w:pPr>
            <w:r>
              <w:rPr>
                <w:b/>
                <w:bCs/>
              </w:rPr>
              <w:t>5</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69AD6E40" w14:textId="2A9226C7" w:rsidR="002A30B7" w:rsidRDefault="002A30B7" w:rsidP="002A30B7">
            <w:pPr>
              <w:spacing w:before="30" w:after="30" w:line="280" w:lineRule="auto"/>
              <w:rPr>
                <w:b/>
                <w:bCs/>
              </w:rPr>
            </w:pPr>
            <w:r w:rsidRPr="002A30B7">
              <w:rPr>
                <w:b/>
                <w:bCs/>
              </w:rPr>
              <w:t>Keeping the records up to date: the ongoing obligation</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6C6092C3" w14:textId="77777777" w:rsidR="002A30B7" w:rsidRPr="002A30B7" w:rsidRDefault="1A5F11DC" w:rsidP="002A30B7">
            <w:pPr>
              <w:spacing w:before="30" w:after="30" w:line="280" w:lineRule="auto"/>
            </w:pPr>
            <w:r w:rsidRPr="1A5F11DC">
              <w:rPr>
                <w:lang w:val="en-GB"/>
              </w:rPr>
              <w:t>This section will set out the ongoing obligation on every ADGM Person to keep its records of beneficial owners and nominee directors true, accurate, complete and up to date, and the deadline for notifying the Registrar of any change.</w:t>
            </w:r>
          </w:p>
          <w:p w14:paraId="4FEB3B8C" w14:textId="77777777" w:rsidR="002A30B7" w:rsidRPr="002A30B7" w:rsidRDefault="1A5F11DC" w:rsidP="002A30B7">
            <w:pPr>
              <w:numPr>
                <w:ilvl w:val="0"/>
                <w:numId w:val="3"/>
              </w:numPr>
              <w:spacing w:before="30" w:after="30" w:line="280" w:lineRule="auto"/>
            </w:pPr>
            <w:r w:rsidRPr="1A5F11DC">
              <w:rPr>
                <w:lang w:val="en-GB"/>
              </w:rPr>
              <w:t>Each ADGM Person must take reasonable steps to ensure that the particulars recorded in its Record of Beneficial Owners and its Record of Nominee Directors (if any) remain true, accurate, complete and up to date.</w:t>
            </w:r>
          </w:p>
          <w:p w14:paraId="0E585BAE" w14:textId="77777777" w:rsidR="002A30B7" w:rsidRPr="002A30B7" w:rsidRDefault="002A30B7" w:rsidP="002A30B7">
            <w:pPr>
              <w:numPr>
                <w:ilvl w:val="0"/>
                <w:numId w:val="3"/>
              </w:numPr>
              <w:spacing w:before="30" w:after="30" w:line="280" w:lineRule="auto"/>
            </w:pPr>
            <w:r w:rsidRPr="002A30B7">
              <w:t>Where the ADGM Person knows or has reasonable cause to believe that a "relevant change" has occurred, it must request details of the change in writing from the affected person.</w:t>
            </w:r>
          </w:p>
          <w:p w14:paraId="6EC1D250" w14:textId="77777777" w:rsidR="002A30B7" w:rsidRPr="002A30B7" w:rsidRDefault="002A30B7" w:rsidP="002A30B7">
            <w:pPr>
              <w:numPr>
                <w:ilvl w:val="0"/>
                <w:numId w:val="3"/>
              </w:numPr>
              <w:spacing w:before="30" w:after="30" w:line="280" w:lineRule="auto"/>
            </w:pPr>
            <w:r w:rsidRPr="002A30B7">
              <w:t>A "relevant change" includes: a share transfer that makes a person a beneficial owner; a person ceasing to be a beneficial owner or nominee director; a new beneficial owner or nominee director; a change in the person on whose behalf a nominee director acts; or any other change rendering the recorded particulars incorrect or incomplete.</w:t>
            </w:r>
          </w:p>
          <w:p w14:paraId="1CAE386E" w14:textId="77777777" w:rsidR="002A30B7" w:rsidRPr="002A30B7" w:rsidRDefault="1A5F11DC" w:rsidP="002A30B7">
            <w:pPr>
              <w:numPr>
                <w:ilvl w:val="0"/>
                <w:numId w:val="3"/>
              </w:numPr>
              <w:spacing w:before="30" w:after="30" w:line="280" w:lineRule="auto"/>
            </w:pPr>
            <w:r w:rsidRPr="1A5F11DC">
              <w:rPr>
                <w:lang w:val="en-GB"/>
              </w:rPr>
              <w:t xml:space="preserve">Where a relevant change has occurred, the ADGM Person must submit a notice of the change to the Registrar within 15 days of the </w:t>
            </w:r>
            <w:r w:rsidRPr="1A5F11DC">
              <w:rPr>
                <w:lang w:val="en-GB"/>
              </w:rPr>
              <w:lastRenderedPageBreak/>
              <w:t>date on which the ADGM Person is informed of the change.</w:t>
            </w:r>
          </w:p>
          <w:p w14:paraId="62B7A70E" w14:textId="77777777" w:rsidR="002A30B7" w:rsidRPr="002A30B7" w:rsidRDefault="1A5F11DC" w:rsidP="002A30B7">
            <w:pPr>
              <w:spacing w:before="30" w:after="30" w:line="280" w:lineRule="auto"/>
            </w:pPr>
            <w:r w:rsidRPr="1A5F11DC">
              <w:rPr>
                <w:lang w:val="en-GB"/>
              </w:rPr>
              <w:t>Where a relevant change has occurred, the analysis set out in Modules 3, 4 and 5 must be re-applied to identify any new beneficial owners. The detailed mechanics of the response process and the filing form for changes to be submitted to the Registrar sit outside the scope of this course.</w:t>
            </w:r>
          </w:p>
          <w:p w14:paraId="3D6B8DC1" w14:textId="77777777" w:rsidR="002A30B7" w:rsidRDefault="002A30B7">
            <w:pPr>
              <w:spacing w:before="30" w:after="30" w:line="280" w:lineRule="auto"/>
            </w:pP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5832CC3C" w14:textId="77777777" w:rsidR="002A30B7" w:rsidRDefault="1A5F11DC" w:rsidP="00F435A8">
            <w:pPr>
              <w:pStyle w:val="ListParagraph"/>
              <w:numPr>
                <w:ilvl w:val="0"/>
                <w:numId w:val="5"/>
              </w:numPr>
              <w:spacing w:before="30" w:after="30" w:line="280" w:lineRule="auto"/>
            </w:pPr>
            <w:r w:rsidRPr="1A5F11DC">
              <w:rPr>
                <w:lang w:val="en-US"/>
              </w:rPr>
              <w:lastRenderedPageBreak/>
              <w:t>Identification is not a one-off task. Section 3 of the Regulations imposes an ongoing obligation to keep the records true, accurate, complete and up to date.</w:t>
            </w:r>
          </w:p>
          <w:p w14:paraId="2FD20698" w14:textId="77777777" w:rsidR="002A30B7" w:rsidRDefault="002A30B7" w:rsidP="00F435A8">
            <w:pPr>
              <w:pStyle w:val="ListParagraph"/>
              <w:numPr>
                <w:ilvl w:val="0"/>
                <w:numId w:val="5"/>
              </w:numPr>
              <w:spacing w:before="30" w:after="30" w:line="280" w:lineRule="auto"/>
            </w:pPr>
            <w:r>
              <w:t>Where the ADGM Person knows or has reasonable cause to believe that a "relevant change" has occurred, it must request details of the change in writing from the affected person.</w:t>
            </w:r>
          </w:p>
          <w:p w14:paraId="2753C52B" w14:textId="77777777" w:rsidR="002A30B7" w:rsidRDefault="002A30B7" w:rsidP="00F435A8">
            <w:pPr>
              <w:pStyle w:val="ListParagraph"/>
              <w:numPr>
                <w:ilvl w:val="0"/>
                <w:numId w:val="5"/>
              </w:numPr>
              <w:spacing w:before="30" w:after="30" w:line="280" w:lineRule="auto"/>
            </w:pPr>
            <w:r>
              <w:t>A "relevant change" includes share transfers creating a new beneficial owner; a person ceasing to be a beneficial owner or nominee director; a new appointment; a change in the person on whose behalf a nominee director acts; or any other change rendering the recorded particulars incorrect or incomplete.</w:t>
            </w:r>
          </w:p>
          <w:p w14:paraId="53BFD531" w14:textId="77777777" w:rsidR="002A30B7" w:rsidRDefault="002A30B7" w:rsidP="00F435A8">
            <w:pPr>
              <w:pStyle w:val="ListParagraph"/>
              <w:numPr>
                <w:ilvl w:val="0"/>
                <w:numId w:val="5"/>
              </w:numPr>
              <w:spacing w:before="30" w:after="30" w:line="280" w:lineRule="auto"/>
            </w:pPr>
            <w:r>
              <w:t>Section 5 of the Regulations requires the ADGM Person to notify the Registrar of any relevant change within 15 days of the date the ADGM Person is informed of the change.</w:t>
            </w:r>
          </w:p>
          <w:p w14:paraId="01629916" w14:textId="77777777" w:rsidR="002A30B7" w:rsidRDefault="002A30B7" w:rsidP="00F435A8">
            <w:pPr>
              <w:pStyle w:val="ListParagraph"/>
              <w:numPr>
                <w:ilvl w:val="0"/>
                <w:numId w:val="5"/>
              </w:numPr>
              <w:spacing w:before="30" w:after="30" w:line="280" w:lineRule="auto"/>
            </w:pPr>
            <w:r>
              <w:lastRenderedPageBreak/>
              <w:t>When a relevant change occurs, the identification analysis in Modules 3, 4 and 5 must be re-applied to the new circumstances.</w:t>
            </w:r>
          </w:p>
          <w:p w14:paraId="75BF6026" w14:textId="77777777" w:rsidR="00DF7F9F" w:rsidRDefault="00DF7F9F" w:rsidP="00DF7F9F">
            <w:pPr>
              <w:spacing w:before="30" w:after="30" w:line="280" w:lineRule="auto"/>
            </w:pPr>
          </w:p>
          <w:p w14:paraId="6229EC4B" w14:textId="00B33330" w:rsidR="002A30B7" w:rsidRDefault="002A30B7" w:rsidP="00DF7F9F">
            <w:pPr>
              <w:spacing w:before="30" w:after="30" w:line="280" w:lineRule="auto"/>
            </w:pPr>
            <w:r>
              <w:t>Detailed mechanics of the response process and the filing form are outside the scope of this course.</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D5AE883" w14:textId="1F896622" w:rsidR="002A30B7" w:rsidRDefault="002A30B7" w:rsidP="002A30B7">
            <w:pPr>
              <w:spacing w:before="30" w:after="30" w:line="280" w:lineRule="auto"/>
            </w:pPr>
            <w:r w:rsidRPr="002A30B7">
              <w:lastRenderedPageBreak/>
              <w:t>BOCR 2022, ss.3 and 5</w:t>
            </w:r>
          </w:p>
        </w:tc>
      </w:tr>
      <w:tr w:rsidR="00B94069" w14:paraId="57CDEC63" w14:textId="77777777" w:rsidTr="1A5F11DC">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2675B959" w14:textId="70402505" w:rsidR="00B94069" w:rsidRDefault="002A30B7">
            <w:pPr>
              <w:spacing w:before="40" w:after="40" w:line="280" w:lineRule="auto"/>
              <w:jc w:val="center"/>
            </w:pPr>
            <w:r w:rsidRPr="002A30B7">
              <w:rPr>
                <w:b/>
                <w:bCs/>
              </w:rPr>
              <w:t>6</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D5442B5" w14:textId="77777777" w:rsidR="00B94069" w:rsidRDefault="001E3A8A">
            <w:pPr>
              <w:spacing w:before="30" w:after="30" w:line="280" w:lineRule="auto"/>
            </w:pPr>
            <w:r>
              <w:rPr>
                <w:b/>
                <w:bCs/>
              </w:rPr>
              <w:t>Legal ownership and beneficial ownership — the core distinction</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48FD625" w14:textId="77777777" w:rsidR="00B94069" w:rsidRDefault="001E3A8A">
            <w:pPr>
              <w:spacing w:before="30" w:after="30" w:line="280" w:lineRule="auto"/>
            </w:pPr>
            <w:r>
              <w:t>This section will explain, at greater length, the distinction between legal ownership and beneficial ownership.</w:t>
            </w:r>
          </w:p>
          <w:p w14:paraId="4D1732B7" w14:textId="436D400B" w:rsidR="00B94069" w:rsidRDefault="001E3A8A">
            <w:pPr>
              <w:pStyle w:val="ListParagraph"/>
              <w:numPr>
                <w:ilvl w:val="0"/>
                <w:numId w:val="2"/>
              </w:numPr>
              <w:spacing w:before="30" w:after="30" w:line="280" w:lineRule="auto"/>
            </w:pPr>
            <w:r>
              <w:t>The legal owner of an entity is the person recorded as the owner</w:t>
            </w:r>
            <w:r w:rsidR="00DF7F9F">
              <w:t>,</w:t>
            </w:r>
            <w:r>
              <w:t xml:space="preserve"> typically the person named on the share register of a company, in the members</w:t>
            </w:r>
            <w:r w:rsidR="00DF7F9F">
              <w:t xml:space="preserve"> </w:t>
            </w:r>
            <w:r>
              <w:t>register of an LLP, or in the partnership agreement.</w:t>
            </w:r>
          </w:p>
          <w:p w14:paraId="0E017844" w14:textId="77777777" w:rsidR="00B94069" w:rsidRDefault="001E3A8A">
            <w:pPr>
              <w:pStyle w:val="ListParagraph"/>
              <w:numPr>
                <w:ilvl w:val="0"/>
                <w:numId w:val="2"/>
              </w:numPr>
              <w:spacing w:before="30" w:after="30" w:line="280" w:lineRule="auto"/>
            </w:pPr>
            <w:r>
              <w:t>The beneficial owner is the natural person who ultimately owns or controls the entity.</w:t>
            </w:r>
          </w:p>
          <w:p w14:paraId="696F7DC0" w14:textId="77D6A6B4" w:rsidR="00B94069" w:rsidRDefault="1A5F11DC">
            <w:pPr>
              <w:spacing w:before="30" w:after="30" w:line="280" w:lineRule="auto"/>
            </w:pPr>
            <w:r w:rsidRPr="1A5F11DC">
              <w:rPr>
                <w:lang w:val="en-US"/>
              </w:rPr>
              <w:t xml:space="preserve">In many cases the legal owner and the beneficial owner are the same person, but not always. The Regulations are concerned with beneficial owners, the natural persons who ultimately own or control the entity. </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5381FAA" w14:textId="77777777" w:rsidR="00B94069" w:rsidRDefault="001E3A8A">
            <w:pPr>
              <w:pStyle w:val="ListParagraph"/>
              <w:numPr>
                <w:ilvl w:val="0"/>
                <w:numId w:val="2"/>
              </w:numPr>
              <w:spacing w:before="30" w:after="30" w:line="280" w:lineRule="auto"/>
            </w:pPr>
            <w:r>
              <w:t>The legal owner is the person recorded as the owner — typically the person on the share register, members' register, or partnership agreement.</w:t>
            </w:r>
          </w:p>
          <w:p w14:paraId="0523B2B3" w14:textId="77777777" w:rsidR="00B94069" w:rsidRDefault="1A5F11DC">
            <w:pPr>
              <w:pStyle w:val="ListParagraph"/>
              <w:numPr>
                <w:ilvl w:val="0"/>
                <w:numId w:val="2"/>
              </w:numPr>
              <w:spacing w:before="30" w:after="30" w:line="280" w:lineRule="auto"/>
            </w:pPr>
            <w:r w:rsidRPr="1A5F11DC">
              <w:rPr>
                <w:lang w:val="en-US"/>
              </w:rPr>
              <w:t>The beneficial owner is the natural person who ultimately owns or controls the entity.</w:t>
            </w:r>
          </w:p>
          <w:p w14:paraId="458B2CE8" w14:textId="77777777" w:rsidR="00B94069" w:rsidRDefault="1A5F11DC">
            <w:pPr>
              <w:pStyle w:val="ListParagraph"/>
              <w:numPr>
                <w:ilvl w:val="0"/>
                <w:numId w:val="2"/>
              </w:numPr>
              <w:spacing w:before="30" w:after="30" w:line="280" w:lineRule="auto"/>
            </w:pPr>
            <w:r w:rsidRPr="1A5F11DC">
              <w:rPr>
                <w:lang w:val="en-US"/>
              </w:rPr>
              <w:t xml:space="preserve">Often these are the same person. </w:t>
            </w:r>
            <w:proofErr w:type="gramStart"/>
            <w:r w:rsidRPr="1A5F11DC">
              <w:rPr>
                <w:lang w:val="en-US"/>
              </w:rPr>
              <w:t>Often</w:t>
            </w:r>
            <w:proofErr w:type="gramEnd"/>
            <w:r w:rsidRPr="1A5F11DC">
              <w:rPr>
                <w:lang w:val="en-US"/>
              </w:rPr>
              <w:t xml:space="preserve"> they are not.</w:t>
            </w:r>
          </w:p>
          <w:p w14:paraId="07469CBF" w14:textId="315F1183" w:rsidR="00B94069" w:rsidRDefault="001E3A8A">
            <w:pPr>
              <w:pStyle w:val="ListParagraph"/>
              <w:numPr>
                <w:ilvl w:val="0"/>
                <w:numId w:val="2"/>
              </w:numPr>
              <w:spacing w:before="30" w:after="30" w:line="280" w:lineRule="auto"/>
            </w:pPr>
            <w:r>
              <w:t>The Regulations are concerned with beneficial owners</w:t>
            </w:r>
            <w:r w:rsidR="00DF7F9F">
              <w:t xml:space="preserve">. </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3AF80468" w14:textId="77777777" w:rsidR="00B94069" w:rsidRDefault="001E3A8A">
            <w:pPr>
              <w:spacing w:before="30" w:after="30" w:line="280" w:lineRule="auto"/>
            </w:pPr>
            <w:r>
              <w:t>BOCR 2022, Schedule 1</w:t>
            </w:r>
          </w:p>
        </w:tc>
      </w:tr>
      <w:tr w:rsidR="00B94069" w14:paraId="133C1E3D" w14:textId="77777777" w:rsidTr="1A5F11DC">
        <w:tc>
          <w:tcPr>
            <w:tcW w:w="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1F26D4E" w14:textId="0EAE076F" w:rsidR="00B94069" w:rsidRDefault="002A30B7">
            <w:pPr>
              <w:spacing w:before="40" w:after="40" w:line="280" w:lineRule="auto"/>
              <w:jc w:val="center"/>
            </w:pPr>
            <w:r w:rsidRPr="002A30B7">
              <w:rPr>
                <w:b/>
                <w:bCs/>
              </w:rPr>
              <w:t>7</w:t>
            </w:r>
          </w:p>
        </w:tc>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C580CEC" w14:textId="77777777" w:rsidR="00B94069" w:rsidRDefault="001E3A8A">
            <w:pPr>
              <w:spacing w:before="30" w:after="30" w:line="280" w:lineRule="auto"/>
            </w:pPr>
            <w:r>
              <w:rPr>
                <w:b/>
                <w:bCs/>
              </w:rPr>
              <w:t>Why legal and beneficial ownership can differ</w:t>
            </w:r>
          </w:p>
        </w:tc>
        <w:tc>
          <w:tcPr>
            <w:tcW w:w="4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78F48D6D" w14:textId="77777777" w:rsidR="00B94069" w:rsidRDefault="001E3A8A">
            <w:pPr>
              <w:spacing w:before="30" w:after="30" w:line="280" w:lineRule="auto"/>
            </w:pPr>
            <w:r>
              <w:t>This section will explain the principal ways in which legal ownership and beneficial ownership can diverge.</w:t>
            </w:r>
          </w:p>
          <w:p w14:paraId="58E28AAD" w14:textId="77777777" w:rsidR="00B94069" w:rsidRDefault="001E3A8A">
            <w:pPr>
              <w:pStyle w:val="ListParagraph"/>
              <w:numPr>
                <w:ilvl w:val="0"/>
                <w:numId w:val="2"/>
              </w:numPr>
              <w:spacing w:before="30" w:after="30" w:line="280" w:lineRule="auto"/>
            </w:pPr>
            <w:r>
              <w:t>Where shares are held through one or more layers of intermediate holding entities.</w:t>
            </w:r>
          </w:p>
          <w:p w14:paraId="05EF0743" w14:textId="77777777" w:rsidR="00B94069" w:rsidRDefault="001E3A8A">
            <w:pPr>
              <w:pStyle w:val="ListParagraph"/>
              <w:numPr>
                <w:ilvl w:val="0"/>
                <w:numId w:val="2"/>
              </w:numPr>
              <w:spacing w:before="30" w:after="30" w:line="280" w:lineRule="auto"/>
            </w:pPr>
            <w:r>
              <w:t>Where shares are held by a nominee shareholder on behalf of another person.</w:t>
            </w:r>
          </w:p>
          <w:p w14:paraId="3DF644D8" w14:textId="77777777" w:rsidR="00B94069" w:rsidRDefault="001E3A8A">
            <w:pPr>
              <w:pStyle w:val="ListParagraph"/>
              <w:numPr>
                <w:ilvl w:val="0"/>
                <w:numId w:val="2"/>
              </w:numPr>
              <w:spacing w:before="30" w:after="30" w:line="280" w:lineRule="auto"/>
            </w:pPr>
            <w:r>
              <w:t xml:space="preserve">Where rights of control are held outside the share register — for example, under a shareholders' </w:t>
            </w:r>
            <w:r>
              <w:lastRenderedPageBreak/>
              <w:t>agreement that confers voting or board-appointment rights on a particular person.</w:t>
            </w:r>
          </w:p>
          <w:p w14:paraId="2BBBF274" w14:textId="77777777" w:rsidR="00B94069" w:rsidRDefault="001E3A8A">
            <w:pPr>
              <w:pStyle w:val="ListParagraph"/>
              <w:numPr>
                <w:ilvl w:val="0"/>
                <w:numId w:val="2"/>
              </w:numPr>
              <w:spacing w:before="30" w:after="30" w:line="280" w:lineRule="auto"/>
            </w:pPr>
            <w:r>
              <w:t>Where a trust, foundation or similar arrangement appears in the ownership chain.</w:t>
            </w:r>
          </w:p>
          <w:p w14:paraId="645119C4" w14:textId="77777777" w:rsidR="00B94069" w:rsidRDefault="001E3A8A">
            <w:pPr>
              <w:spacing w:before="30" w:after="30" w:line="280" w:lineRule="auto"/>
            </w:pPr>
            <w:r>
              <w:t>In each of these cases, the recorded legal owner is not the natural person who ultimately owns or controls the entity. The identification mechanics that apply are covered in Modules 3, 4 and 5.</w:t>
            </w:r>
          </w:p>
        </w:tc>
        <w:tc>
          <w:tcPr>
            <w:tcW w:w="4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165654F0" w14:textId="77777777" w:rsidR="00B94069" w:rsidRDefault="001E3A8A">
            <w:pPr>
              <w:pStyle w:val="ListParagraph"/>
              <w:numPr>
                <w:ilvl w:val="0"/>
                <w:numId w:val="2"/>
              </w:numPr>
              <w:spacing w:before="30" w:after="30" w:line="280" w:lineRule="auto"/>
            </w:pPr>
            <w:r>
              <w:lastRenderedPageBreak/>
              <w:t>Legal and beneficial ownership can diverge in four common ways:</w:t>
            </w:r>
          </w:p>
          <w:p w14:paraId="090541C6" w14:textId="77777777" w:rsidR="00B94069" w:rsidRDefault="001E3A8A">
            <w:pPr>
              <w:pStyle w:val="ListParagraph"/>
              <w:numPr>
                <w:ilvl w:val="0"/>
                <w:numId w:val="2"/>
              </w:numPr>
              <w:spacing w:before="30" w:after="30" w:line="280" w:lineRule="auto"/>
            </w:pPr>
            <w:r>
              <w:t>(</w:t>
            </w:r>
            <w:proofErr w:type="spellStart"/>
            <w:r>
              <w:t>i</w:t>
            </w:r>
            <w:proofErr w:type="spellEnd"/>
            <w:r>
              <w:t>) shares held through intermediate holding entities;</w:t>
            </w:r>
          </w:p>
          <w:p w14:paraId="29B90074" w14:textId="77777777" w:rsidR="00B94069" w:rsidRDefault="001E3A8A">
            <w:pPr>
              <w:pStyle w:val="ListParagraph"/>
              <w:numPr>
                <w:ilvl w:val="0"/>
                <w:numId w:val="2"/>
              </w:numPr>
              <w:spacing w:before="30" w:after="30" w:line="280" w:lineRule="auto"/>
            </w:pPr>
            <w:r>
              <w:t>(ii) shares held by a nominee shareholder for another person;</w:t>
            </w:r>
          </w:p>
          <w:p w14:paraId="39532C78" w14:textId="77777777" w:rsidR="00B94069" w:rsidRDefault="1A5F11DC">
            <w:pPr>
              <w:pStyle w:val="ListParagraph"/>
              <w:numPr>
                <w:ilvl w:val="0"/>
                <w:numId w:val="2"/>
              </w:numPr>
              <w:spacing w:before="30" w:after="30" w:line="280" w:lineRule="auto"/>
            </w:pPr>
            <w:r w:rsidRPr="1A5F11DC">
              <w:rPr>
                <w:lang w:val="en-US"/>
              </w:rPr>
              <w:lastRenderedPageBreak/>
              <w:t>(iii) control rights held outside the share register — e.g. under a shareholders' agreement;</w:t>
            </w:r>
          </w:p>
          <w:p w14:paraId="46DDD8A0" w14:textId="77777777" w:rsidR="00B94069" w:rsidRDefault="1A5F11DC">
            <w:pPr>
              <w:pStyle w:val="ListParagraph"/>
              <w:numPr>
                <w:ilvl w:val="0"/>
                <w:numId w:val="2"/>
              </w:numPr>
              <w:spacing w:before="30" w:after="30" w:line="280" w:lineRule="auto"/>
            </w:pPr>
            <w:r w:rsidRPr="1A5F11DC">
              <w:rPr>
                <w:lang w:val="en-US"/>
              </w:rPr>
              <w:t>(iv) a trust, foundation or similar arrangement in the ownership chain.</w:t>
            </w:r>
          </w:p>
          <w:p w14:paraId="47CC5495" w14:textId="77777777" w:rsidR="00B94069" w:rsidRDefault="001E3A8A">
            <w:pPr>
              <w:pStyle w:val="ListParagraph"/>
              <w:numPr>
                <w:ilvl w:val="0"/>
                <w:numId w:val="2"/>
              </w:numPr>
              <w:spacing w:before="30" w:after="30" w:line="280" w:lineRule="auto"/>
            </w:pPr>
            <w:r>
              <w:t>Identification mechanics for each case are covered in Modules 3, 4 and 5.</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20" w:type="dxa"/>
              <w:bottom w:w="100" w:type="dxa"/>
              <w:right w:w="120" w:type="dxa"/>
            </w:tcMar>
          </w:tcPr>
          <w:p w14:paraId="04D5A589" w14:textId="77777777" w:rsidR="00B94069" w:rsidRDefault="001E3A8A">
            <w:pPr>
              <w:spacing w:before="30" w:after="30" w:line="280" w:lineRule="auto"/>
            </w:pPr>
            <w:r>
              <w:lastRenderedPageBreak/>
              <w:t>BOCR 2022, Schedule 1</w:t>
            </w:r>
          </w:p>
        </w:tc>
      </w:tr>
    </w:tbl>
    <w:p w14:paraId="0460B6BF" w14:textId="77777777" w:rsidR="00B94069" w:rsidRDefault="001E3A8A">
      <w:r>
        <w:br w:type="page"/>
      </w:r>
    </w:p>
    <w:sectPr w:rsidR="00B94069">
      <w:footerReference w:type="even" r:id="rId7"/>
      <w:footerReference w:type="default" r:id="rId8"/>
      <w:footerReference w:type="first" r:id="rId9"/>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665CF" w14:textId="77777777" w:rsidR="002F522F" w:rsidRDefault="002F522F" w:rsidP="00AC171E">
      <w:r>
        <w:separator/>
      </w:r>
    </w:p>
  </w:endnote>
  <w:endnote w:type="continuationSeparator" w:id="0">
    <w:p w14:paraId="461A738F" w14:textId="77777777" w:rsidR="002F522F" w:rsidRDefault="002F522F" w:rsidP="00AC1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D3CC" w14:textId="1334F658" w:rsidR="00AC171E" w:rsidRDefault="00AC171E">
    <w:pPr>
      <w:pStyle w:val="Footer"/>
    </w:pPr>
    <w:r>
      <w:rPr>
        <w:noProof/>
      </w:rPr>
      <mc:AlternateContent>
        <mc:Choice Requires="wps">
          <w:drawing>
            <wp:anchor distT="0" distB="0" distL="0" distR="0" simplePos="0" relativeHeight="251659264" behindDoc="0" locked="0" layoutInCell="1" allowOverlap="1" wp14:anchorId="71DB4CC2" wp14:editId="43530E99">
              <wp:simplePos x="635" y="635"/>
              <wp:positionH relativeFrom="page">
                <wp:align>center</wp:align>
              </wp:positionH>
              <wp:positionV relativeFrom="page">
                <wp:align>bottom</wp:align>
              </wp:positionV>
              <wp:extent cx="676910" cy="345440"/>
              <wp:effectExtent l="0" t="0" r="8890" b="0"/>
              <wp:wrapNone/>
              <wp:docPr id="1780456503"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45440"/>
                      </a:xfrm>
                      <a:prstGeom prst="rect">
                        <a:avLst/>
                      </a:prstGeom>
                      <a:noFill/>
                      <a:ln>
                        <a:noFill/>
                      </a:ln>
                    </wps:spPr>
                    <wps:txbx>
                      <w:txbxContent>
                        <w:p w14:paraId="1592C151" w14:textId="3A0F0D61" w:rsidR="00AC171E" w:rsidRPr="00AC171E" w:rsidRDefault="00AC171E" w:rsidP="00AC171E">
                          <w:pPr>
                            <w:rPr>
                              <w:rFonts w:ascii="Aptos" w:eastAsia="Aptos" w:hAnsi="Aptos" w:cs="Aptos"/>
                              <w:noProof/>
                              <w:color w:val="0000FF"/>
                            </w:rPr>
                          </w:pPr>
                          <w:r w:rsidRPr="00AC171E">
                            <w:rPr>
                              <w:rFonts w:ascii="Aptos" w:eastAsia="Aptos" w:hAnsi="Aptos" w:cs="Aptos"/>
                              <w:noProof/>
                              <w:color w:val="0000FF"/>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1DB4CC2">
              <v:stroke joinstyle="miter"/>
              <v:path gradientshapeok="t" o:connecttype="rect"/>
            </v:shapetype>
            <v:shape id="Text Box 2" style="position:absolute;margin-left:0;margin-top:0;width:53.3pt;height:27.2pt;z-index:251659264;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">
              <v:fill o:detectmouseclick="t"/>
              <v:textbox style="mso-fit-shape-to-text:t" inset="0,0,0,15pt">
                <w:txbxContent>
                  <w:p w:rsidRPr="00AC171E" w:rsidR="00AC171E" w:rsidP="00AC171E" w:rsidRDefault="00AC171E" w14:paraId="1592C151" w14:textId="3A0F0D61">
                    <w:pPr>
                      <w:rPr>
                        <w:rFonts w:ascii="Aptos" w:hAnsi="Aptos" w:eastAsia="Aptos" w:cs="Aptos"/>
                        <w:noProof/>
                        <w:color w:val="0000FF"/>
                      </w:rPr>
                    </w:pPr>
                    <w:r w:rsidRPr="00AC171E">
                      <w:rPr>
                        <w:rFonts w:ascii="Aptos" w:hAnsi="Aptos" w:eastAsia="Aptos" w:cs="Aptos"/>
                        <w:noProof/>
                        <w:color w:val="0000FF"/>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D7B5" w14:textId="6599F0C2" w:rsidR="00AC171E" w:rsidRDefault="00AC171E">
    <w:pPr>
      <w:pStyle w:val="Footer"/>
    </w:pPr>
    <w:r>
      <w:rPr>
        <w:noProof/>
      </w:rPr>
      <mc:AlternateContent>
        <mc:Choice Requires="wps">
          <w:drawing>
            <wp:anchor distT="0" distB="0" distL="0" distR="0" simplePos="0" relativeHeight="251660288" behindDoc="0" locked="0" layoutInCell="1" allowOverlap="1" wp14:anchorId="5DB63677" wp14:editId="514E2234">
              <wp:simplePos x="685800" y="7167563"/>
              <wp:positionH relativeFrom="page">
                <wp:align>center</wp:align>
              </wp:positionH>
              <wp:positionV relativeFrom="page">
                <wp:align>bottom</wp:align>
              </wp:positionV>
              <wp:extent cx="676910" cy="345440"/>
              <wp:effectExtent l="0" t="0" r="8890" b="0"/>
              <wp:wrapNone/>
              <wp:docPr id="1541801494"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45440"/>
                      </a:xfrm>
                      <a:prstGeom prst="rect">
                        <a:avLst/>
                      </a:prstGeom>
                      <a:noFill/>
                      <a:ln>
                        <a:noFill/>
                      </a:ln>
                    </wps:spPr>
                    <wps:txbx>
                      <w:txbxContent>
                        <w:p w14:paraId="12A767F3" w14:textId="3B4B9F9B" w:rsidR="00AC171E" w:rsidRPr="00AC171E" w:rsidRDefault="00AC171E" w:rsidP="00AC171E">
                          <w:pPr>
                            <w:rPr>
                              <w:rFonts w:ascii="Aptos" w:eastAsia="Aptos" w:hAnsi="Aptos" w:cs="Aptos"/>
                              <w:noProof/>
                              <w:color w:val="0000FF"/>
                            </w:rPr>
                          </w:pPr>
                          <w:r w:rsidRPr="00AC171E">
                            <w:rPr>
                              <w:rFonts w:ascii="Aptos" w:eastAsia="Aptos" w:hAnsi="Aptos" w:cs="Aptos"/>
                              <w:noProof/>
                              <w:color w:val="0000FF"/>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DB63677">
              <v:stroke joinstyle="miter"/>
              <v:path gradientshapeok="t" o:connecttype="rect"/>
            </v:shapetype>
            <v:shape id="Text Box 3" style="position:absolute;margin-left:0;margin-top:0;width:53.3pt;height:27.2pt;z-index:251660288;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">
              <v:fill o:detectmouseclick="t"/>
              <v:textbox style="mso-fit-shape-to-text:t" inset="0,0,0,15pt">
                <w:txbxContent>
                  <w:p w:rsidRPr="00AC171E" w:rsidR="00AC171E" w:rsidP="00AC171E" w:rsidRDefault="00AC171E" w14:paraId="12A767F3" w14:textId="3B4B9F9B">
                    <w:pPr>
                      <w:rPr>
                        <w:rFonts w:ascii="Aptos" w:hAnsi="Aptos" w:eastAsia="Aptos" w:cs="Aptos"/>
                        <w:noProof/>
                        <w:color w:val="0000FF"/>
                      </w:rPr>
                    </w:pPr>
                    <w:r w:rsidRPr="00AC171E">
                      <w:rPr>
                        <w:rFonts w:ascii="Aptos" w:hAnsi="Aptos" w:eastAsia="Aptos" w:cs="Aptos"/>
                        <w:noProof/>
                        <w:color w:val="0000FF"/>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0C90" w14:textId="710B8653" w:rsidR="00AC171E" w:rsidRDefault="00AC171E">
    <w:pPr>
      <w:pStyle w:val="Footer"/>
    </w:pPr>
    <w:r>
      <w:rPr>
        <w:noProof/>
      </w:rPr>
      <mc:AlternateContent>
        <mc:Choice Requires="wps">
          <w:drawing>
            <wp:anchor distT="0" distB="0" distL="0" distR="0" simplePos="0" relativeHeight="251658240" behindDoc="0" locked="0" layoutInCell="1" allowOverlap="1" wp14:anchorId="622D125D" wp14:editId="41E0A493">
              <wp:simplePos x="635" y="635"/>
              <wp:positionH relativeFrom="page">
                <wp:align>center</wp:align>
              </wp:positionH>
              <wp:positionV relativeFrom="page">
                <wp:align>bottom</wp:align>
              </wp:positionV>
              <wp:extent cx="676910" cy="345440"/>
              <wp:effectExtent l="0" t="0" r="8890" b="0"/>
              <wp:wrapNone/>
              <wp:docPr id="746492283"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45440"/>
                      </a:xfrm>
                      <a:prstGeom prst="rect">
                        <a:avLst/>
                      </a:prstGeom>
                      <a:noFill/>
                      <a:ln>
                        <a:noFill/>
                      </a:ln>
                    </wps:spPr>
                    <wps:txbx>
                      <w:txbxContent>
                        <w:p w14:paraId="285B34FA" w14:textId="4E0C28E5" w:rsidR="00AC171E" w:rsidRPr="00AC171E" w:rsidRDefault="00AC171E" w:rsidP="00AC171E">
                          <w:pPr>
                            <w:rPr>
                              <w:rFonts w:ascii="Aptos" w:eastAsia="Aptos" w:hAnsi="Aptos" w:cs="Aptos"/>
                              <w:noProof/>
                              <w:color w:val="0000FF"/>
                            </w:rPr>
                          </w:pPr>
                          <w:r w:rsidRPr="00AC171E">
                            <w:rPr>
                              <w:rFonts w:ascii="Aptos" w:eastAsia="Aptos" w:hAnsi="Aptos" w:cs="Aptos"/>
                              <w:noProof/>
                              <w:color w:val="0000FF"/>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22D125D">
              <v:stroke joinstyle="miter"/>
              <v:path gradientshapeok="t" o:connecttype="rect"/>
            </v:shapetype>
            <v:shape id="Text Box 1" style="position:absolute;margin-left:0;margin-top:0;width:53.3pt;height:27.2pt;z-index:251658240;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">
              <v:fill o:detectmouseclick="t"/>
              <v:textbox style="mso-fit-shape-to-text:t" inset="0,0,0,15pt">
                <w:txbxContent>
                  <w:p w:rsidRPr="00AC171E" w:rsidR="00AC171E" w:rsidP="00AC171E" w:rsidRDefault="00AC171E" w14:paraId="285B34FA" w14:textId="4E0C28E5">
                    <w:pPr>
                      <w:rPr>
                        <w:rFonts w:ascii="Aptos" w:hAnsi="Aptos" w:eastAsia="Aptos" w:cs="Aptos"/>
                        <w:noProof/>
                        <w:color w:val="0000FF"/>
                      </w:rPr>
                    </w:pPr>
                    <w:r w:rsidRPr="00AC171E">
                      <w:rPr>
                        <w:rFonts w:ascii="Aptos" w:hAnsi="Aptos" w:eastAsia="Aptos" w:cs="Aptos"/>
                        <w:noProof/>
                        <w:color w:val="0000FF"/>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5DC58" w14:textId="77777777" w:rsidR="002F522F" w:rsidRDefault="002F522F" w:rsidP="00AC171E">
      <w:r>
        <w:separator/>
      </w:r>
    </w:p>
  </w:footnote>
  <w:footnote w:type="continuationSeparator" w:id="0">
    <w:p w14:paraId="165511D0" w14:textId="77777777" w:rsidR="002F522F" w:rsidRDefault="002F522F" w:rsidP="00AC17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65A"/>
    <w:multiLevelType w:val="hybridMultilevel"/>
    <w:tmpl w:val="AB44C9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74D35F5"/>
    <w:multiLevelType w:val="hybridMultilevel"/>
    <w:tmpl w:val="E0AE1C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2C794C07"/>
    <w:multiLevelType w:val="hybridMultilevel"/>
    <w:tmpl w:val="C2A83F3C"/>
    <w:lvl w:ilvl="0" w:tplc="6D8E60BC">
      <w:start w:val="1"/>
      <w:numFmt w:val="bullet"/>
      <w:lvlText w:val="•"/>
      <w:lvlJc w:val="left"/>
      <w:pPr>
        <w:ind w:left="360" w:hanging="240"/>
      </w:pPr>
    </w:lvl>
    <w:lvl w:ilvl="1" w:tplc="8BD04870">
      <w:numFmt w:val="decimal"/>
      <w:lvlText w:val=""/>
      <w:lvlJc w:val="left"/>
    </w:lvl>
    <w:lvl w:ilvl="2" w:tplc="54D87CC2">
      <w:numFmt w:val="decimal"/>
      <w:lvlText w:val=""/>
      <w:lvlJc w:val="left"/>
    </w:lvl>
    <w:lvl w:ilvl="3" w:tplc="9710B674">
      <w:numFmt w:val="decimal"/>
      <w:lvlText w:val=""/>
      <w:lvlJc w:val="left"/>
    </w:lvl>
    <w:lvl w:ilvl="4" w:tplc="0026EC26">
      <w:numFmt w:val="decimal"/>
      <w:lvlText w:val=""/>
      <w:lvlJc w:val="left"/>
    </w:lvl>
    <w:lvl w:ilvl="5" w:tplc="0B9A6AC6">
      <w:numFmt w:val="decimal"/>
      <w:lvlText w:val=""/>
      <w:lvlJc w:val="left"/>
    </w:lvl>
    <w:lvl w:ilvl="6" w:tplc="C59804F2">
      <w:numFmt w:val="decimal"/>
      <w:lvlText w:val=""/>
      <w:lvlJc w:val="left"/>
    </w:lvl>
    <w:lvl w:ilvl="7" w:tplc="1B423C18">
      <w:numFmt w:val="decimal"/>
      <w:lvlText w:val=""/>
      <w:lvlJc w:val="left"/>
    </w:lvl>
    <w:lvl w:ilvl="8" w:tplc="F19EC2E2">
      <w:numFmt w:val="decimal"/>
      <w:lvlText w:val=""/>
      <w:lvlJc w:val="left"/>
    </w:lvl>
  </w:abstractNum>
  <w:abstractNum w:abstractNumId="3" w15:restartNumberingAfterBreak="0">
    <w:nsid w:val="49A1728D"/>
    <w:multiLevelType w:val="hybridMultilevel"/>
    <w:tmpl w:val="A712F618"/>
    <w:lvl w:ilvl="0" w:tplc="7CA674CC">
      <w:start w:val="1"/>
      <w:numFmt w:val="bullet"/>
      <w:lvlText w:val="●"/>
      <w:lvlJc w:val="left"/>
      <w:pPr>
        <w:ind w:left="720" w:hanging="360"/>
      </w:pPr>
    </w:lvl>
    <w:lvl w:ilvl="1" w:tplc="58B466D4">
      <w:start w:val="1"/>
      <w:numFmt w:val="bullet"/>
      <w:lvlText w:val="○"/>
      <w:lvlJc w:val="left"/>
      <w:pPr>
        <w:ind w:left="1440" w:hanging="360"/>
      </w:pPr>
    </w:lvl>
    <w:lvl w:ilvl="2" w:tplc="4F643CBA">
      <w:start w:val="1"/>
      <w:numFmt w:val="bullet"/>
      <w:lvlText w:val="■"/>
      <w:lvlJc w:val="left"/>
      <w:pPr>
        <w:ind w:left="2160" w:hanging="360"/>
      </w:pPr>
    </w:lvl>
    <w:lvl w:ilvl="3" w:tplc="1714C170">
      <w:start w:val="1"/>
      <w:numFmt w:val="bullet"/>
      <w:lvlText w:val="●"/>
      <w:lvlJc w:val="left"/>
      <w:pPr>
        <w:ind w:left="2880" w:hanging="360"/>
      </w:pPr>
    </w:lvl>
    <w:lvl w:ilvl="4" w:tplc="A080C9B4">
      <w:start w:val="1"/>
      <w:numFmt w:val="bullet"/>
      <w:lvlText w:val="○"/>
      <w:lvlJc w:val="left"/>
      <w:pPr>
        <w:ind w:left="3600" w:hanging="360"/>
      </w:pPr>
    </w:lvl>
    <w:lvl w:ilvl="5" w:tplc="A3CC3368">
      <w:start w:val="1"/>
      <w:numFmt w:val="bullet"/>
      <w:lvlText w:val="■"/>
      <w:lvlJc w:val="left"/>
      <w:pPr>
        <w:ind w:left="4320" w:hanging="360"/>
      </w:pPr>
    </w:lvl>
    <w:lvl w:ilvl="6" w:tplc="90E62B26">
      <w:start w:val="1"/>
      <w:numFmt w:val="bullet"/>
      <w:lvlText w:val="●"/>
      <w:lvlJc w:val="left"/>
      <w:pPr>
        <w:ind w:left="5040" w:hanging="360"/>
      </w:pPr>
    </w:lvl>
    <w:lvl w:ilvl="7" w:tplc="D4AAF85A">
      <w:start w:val="1"/>
      <w:numFmt w:val="bullet"/>
      <w:lvlText w:val="●"/>
      <w:lvlJc w:val="left"/>
      <w:pPr>
        <w:ind w:left="5760" w:hanging="360"/>
      </w:pPr>
    </w:lvl>
    <w:lvl w:ilvl="8" w:tplc="33908782">
      <w:start w:val="1"/>
      <w:numFmt w:val="bullet"/>
      <w:lvlText w:val="●"/>
      <w:lvlJc w:val="left"/>
      <w:pPr>
        <w:ind w:left="6480" w:hanging="360"/>
      </w:pPr>
    </w:lvl>
  </w:abstractNum>
  <w:abstractNum w:abstractNumId="4" w15:restartNumberingAfterBreak="0">
    <w:nsid w:val="72BB36CB"/>
    <w:multiLevelType w:val="multilevel"/>
    <w:tmpl w:val="859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81499">
    <w:abstractNumId w:val="3"/>
    <w:lvlOverride w:ilvl="0">
      <w:startOverride w:val="1"/>
    </w:lvlOverride>
  </w:num>
  <w:num w:numId="2" w16cid:durableId="313531207">
    <w:abstractNumId w:val="2"/>
    <w:lvlOverride w:ilvl="0">
      <w:startOverride w:val="1"/>
    </w:lvlOverride>
  </w:num>
  <w:num w:numId="3" w16cid:durableId="389153419">
    <w:abstractNumId w:val="4"/>
  </w:num>
  <w:num w:numId="4" w16cid:durableId="668951131">
    <w:abstractNumId w:val="1"/>
  </w:num>
  <w:num w:numId="5" w16cid:durableId="43956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069"/>
    <w:rsid w:val="000E4FF1"/>
    <w:rsid w:val="001643D5"/>
    <w:rsid w:val="001E3A8A"/>
    <w:rsid w:val="002A30B7"/>
    <w:rsid w:val="002D23CC"/>
    <w:rsid w:val="002F451C"/>
    <w:rsid w:val="002F522F"/>
    <w:rsid w:val="00410DC8"/>
    <w:rsid w:val="005979EB"/>
    <w:rsid w:val="005A40B3"/>
    <w:rsid w:val="007B058D"/>
    <w:rsid w:val="008478E1"/>
    <w:rsid w:val="008B2ACC"/>
    <w:rsid w:val="008E520B"/>
    <w:rsid w:val="009D730E"/>
    <w:rsid w:val="00AC171E"/>
    <w:rsid w:val="00B210D7"/>
    <w:rsid w:val="00B54034"/>
    <w:rsid w:val="00B94069"/>
    <w:rsid w:val="00CB0210"/>
    <w:rsid w:val="00CD0C3A"/>
    <w:rsid w:val="00D44180"/>
    <w:rsid w:val="00DF2DF4"/>
    <w:rsid w:val="00DF7F9F"/>
    <w:rsid w:val="00E22F92"/>
    <w:rsid w:val="00EE55F0"/>
    <w:rsid w:val="00F435A8"/>
    <w:rsid w:val="1A5F11DC"/>
    <w:rsid w:val="3ACE1BE8"/>
    <w:rsid w:val="4ACCE223"/>
    <w:rsid w:val="533197D1"/>
    <w:rsid w:val="5D87A444"/>
    <w:rsid w:val="6F4A992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FB97"/>
  <w15:docId w15:val="{7DB4B11A-E176-47A1-B9FA-FC9B759DA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AC171E"/>
    <w:pPr>
      <w:tabs>
        <w:tab w:val="center" w:pos="4513"/>
        <w:tab w:val="right" w:pos="9026"/>
      </w:tabs>
    </w:pPr>
  </w:style>
  <w:style w:type="character" w:customStyle="1" w:styleId="FooterChar">
    <w:name w:val="Footer Char"/>
    <w:basedOn w:val="DefaultParagraphFont"/>
    <w:link w:val="Footer"/>
    <w:uiPriority w:val="99"/>
    <w:rsid w:val="00AC1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3263</Words>
  <Characters>18600</Characters>
  <Application>Microsoft Office Word</Application>
  <DocSecurity>0</DocSecurity>
  <Lines>155</Lines>
  <Paragraphs>43</Paragraphs>
  <ScaleCrop>false</ScaleCrop>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UBOs Under the ADGM BOC Regulations — Module Approach Summaries</dc:title>
  <dc:creator>ADGM Registration Authority</dc:creator>
  <dc:description>Module approach summaries for line manager review.</dc:description>
  <cp:lastModifiedBy>Shravani Bhome</cp:lastModifiedBy>
  <cp:revision>3</cp:revision>
  <dcterms:created xsi:type="dcterms:W3CDTF">2026-07-17T10:08:00Z</dcterms:created>
  <dcterms:modified xsi:type="dcterms:W3CDTF">2026-07-17T10:08:00Z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2c7e917b,6a1f9c37,5be60616</vt:lpwstr>
  </property>
  <property fmtid="{D5CDD505-2E9C-101B-9397-08002B2CF9AE}" pid="3" name="ClassificationContentMarkingFooterFontProps">
    <vt:lpwstr>#0000ff,10,Aptos</vt:lpwstr>
  </property>
  <property fmtid="{D5CDD505-2E9C-101B-9397-08002B2CF9AE}" pid="4" name="ClassificationContentMarkingFooterText">
    <vt:lpwstr>Confidential</vt:lpwstr>
  </property>
  <property fmtid="{D5CDD505-2E9C-101B-9397-08002B2CF9AE}" pid="5" name="MSIP_Label_ff56cc6b-8e91-4f6b-ad73-14cd611c8a06_Enabled">
    <vt:lpwstr>true</vt:lpwstr>
  </property>
  <property fmtid="{D5CDD505-2E9C-101B-9397-08002B2CF9AE}" pid="6" name="MSIP_Label_ff56cc6b-8e91-4f6b-ad73-14cd611c8a06_SetDate">
    <vt:lpwstr>2026-05-31T18:05:19Z</vt:lpwstr>
  </property>
  <property fmtid="{D5CDD505-2E9C-101B-9397-08002B2CF9AE}" pid="7" name="MSIP_Label_ff56cc6b-8e91-4f6b-ad73-14cd611c8a06_Method">
    <vt:lpwstr>Standard</vt:lpwstr>
  </property>
  <property fmtid="{D5CDD505-2E9C-101B-9397-08002B2CF9AE}" pid="8" name="MSIP_Label_ff56cc6b-8e91-4f6b-ad73-14cd611c8a06_Name">
    <vt:lpwstr>Internal Information</vt:lpwstr>
  </property>
  <property fmtid="{D5CDD505-2E9C-101B-9397-08002B2CF9AE}" pid="9" name="MSIP_Label_ff56cc6b-8e91-4f6b-ad73-14cd611c8a06_SiteId">
    <vt:lpwstr>27987bdd-43e0-44bf-95a3-94937a2498d4</vt:lpwstr>
  </property>
  <property fmtid="{D5CDD505-2E9C-101B-9397-08002B2CF9AE}" pid="10" name="MSIP_Label_ff56cc6b-8e91-4f6b-ad73-14cd611c8a06_ActionId">
    <vt:lpwstr>681549f6-c36a-4dec-92be-5dc9c6331f15</vt:lpwstr>
  </property>
  <property fmtid="{D5CDD505-2E9C-101B-9397-08002B2CF9AE}" pid="11" name="MSIP_Label_ff56cc6b-8e91-4f6b-ad73-14cd611c8a06_ContentBits">
    <vt:lpwstr>2</vt:lpwstr>
  </property>
  <property fmtid="{D5CDD505-2E9C-101B-9397-08002B2CF9AE}" pid="12" name="MSIP_Label_ff56cc6b-8e91-4f6b-ad73-14cd611c8a06_Tag">
    <vt:lpwstr>10, 3, 0, 1</vt:lpwstr>
  </property>
</Properties>
</file>