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Software Requirements Specification</w:t>
      </w:r>
    </w:p>
    <w:p>
      <w:r>
        <w:rPr>
          <w:rFonts w:ascii="Times New Roman" w:hAnsi="Times New Roman"/>
          <w:i/>
          <w:sz w:val="22"/>
        </w:rPr>
        <w:t>Member interface requirements and Lead integration boundaries</w:t>
      </w:r>
    </w:p>
    <w:p>
      <w:r>
        <w:rPr>
          <w:color w:val="23455B"/>
          <w:sz w:val="18"/>
        </w:rPr>
        <w:t>IRON CHEF v3  |  Vo Trung Tin  |  Reviewed 11 October 2026</w:t>
      </w:r>
    </w:p>
    <w:p>
      <w:r>
        <w:t>This specification covers Vo Trung Tin's Sprint 1–2 deliverables. The graph and scan screens have run in a real browser. The graph capture contains 25 seeded ingredients and four substitution relationships; it does not show a completed Lead graph. The photo screen shows controls, not an accepted detector. Requirements below therefore separate implemented interfaces from acceptance gates.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Document control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English revision 1.2, 11 October 2026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Audience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Member and Lead developers, reviewers, testers, and thesis supervisors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Scope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User, Creator, and reviewer UI; graph, scan, substitution, allergens, feedback, evaluation, and thesis evidence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Outside Member acceptance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Canonical datasets, model training and scoring, reviewed clinical policy, production deployment, and human research</w:t>
            </w:r>
          </w:p>
        </w:tc>
      </w:tr>
    </w:tbl>
    <w:p>
      <w:pPr>
        <w:pStyle w:val="Heading1"/>
      </w:pPr>
      <w:r>
        <w:t>Source baseline and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Source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Evidence used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Sprint 2 report supplied by the user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Work assignment: Vo Trung Tin owns UI requirements, use cases, data flows, and Member scaffold acceptance. The sprint runs 23 September–10 October 2026.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Member backlog, branch codex/member-sprint12-deliverables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Epic 1–12 implementation states and open gates G1–G10; engineering checkpoint dated 6 October 2026.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 backlog v109, origin/master 8bb8167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As of 9 October 2026, Stage 3 is artifact-verified through exact step 327/561. Segment 6 was launched toward step 374. Final model quality and scoring remain unverified.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Browser captures dated 6 October 2026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Actual frontend views of /explore/graph and /scan, with the graph backed by local seed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Frontend and monolith code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Routes, request boundaries, error states, fields, and adapter behavior reviewed for this edition.</w:t>
            </w:r>
          </w:p>
        </w:tc>
      </w:tr>
    </w:tbl>
    <w:p>
      <w:r>
        <w:t>Evidence rule: a browser image proves that a screen appeared during that run; code shows an implemented path; a backlog records the team's checkpoint. None alone proves production deployment, model quality, clinical safety, or a research result.</w:t>
      </w:r>
    </w:p>
    <w:p>
      <w:pPr>
        <w:pStyle w:val="Heading1"/>
      </w:pPr>
      <w:r>
        <w:t>1 Product context and actors</w:t>
      </w:r>
    </w:p>
    <w:p>
      <w:r>
        <w:t>ChefKix combines recipe creation and cooking journeys with ingredient intelligence. The Lead owns scientific evidence, canonical data, models, policies, and evaluation protocols. The Member owns user-facing surfaces and adapters. A visible UI control must not be treated as proof that its external model or evidence source is accepted.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Actor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Goal and access boundary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Guest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May view public welcome, graph, and scan screens. Account-dependent actions may stop at sign-in or integration-pending states.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May save allergen preferences, inspect recipes, scan ingredients, select substitutions, cook, and submit feedback under an authenticated profile.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Creator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May draft, edit, and publish recipes while preserving ingredient quantities and recipe context.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Reviewer or admin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May inspect protected evaluation and thesis evidence views with provenance and claim limits.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 or AI provider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Supplies accepted model artifacts, manifests, graph data, and reviewed policy. UI code cannot independently certify these inputs.</w:t>
            </w:r>
          </w:p>
        </w:tc>
      </w:tr>
    </w:tbl>
    <w:p>
      <w:pPr>
        <w:pStyle w:val="Heading1"/>
      </w:pPr>
      <w:r>
        <w:t>2 Observed browser interface</w:t>
      </w:r>
    </w:p>
    <w:p>
      <w:r>
        <w:drawing>
          <wp:inline xmlns:a="http://schemas.openxmlformats.org/drawingml/2006/main" xmlns:pic="http://schemas.openxmlformats.org/drawingml/2006/picture">
            <wp:extent cx="4500000" cy="253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03-graph-redesigned-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Figure 1. Graph search, relationship filters, coverage summary, and detail panel in the browser on 6 October 2026.</w:t>
      </w:r>
    </w:p>
    <w:p>
      <w:r>
        <w:t>The running graph reported 25 ingredients, seven with links, and four documented substitution relationships. It loaded through the configured Knowledge API, but this was a local seed collection. Chemical-similarity and co-occurrence filters are visible controls; their presence does not establish those data types in the seed response.</w:t>
      </w:r>
    </w:p>
    <w:p>
      <w:r>
        <w:drawing>
          <wp:inline xmlns:a="http://schemas.openxmlformats.org/drawingml/2006/main" xmlns:pic="http://schemas.openxmlformats.org/drawingml/2006/picture">
            <wp:extent cx="4500000" cy="25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03-graph-search-center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Figure 2. Searching Ginger centers an isolated node; compound and nutrition evidence is unavailable.</w:t>
      </w:r>
    </w:p>
    <w:p>
      <w:r>
        <w:drawing>
          <wp:inline xmlns:a="http://schemas.openxmlformats.org/drawingml/2006/main" xmlns:pic="http://schemas.openxmlformats.org/drawingml/2006/picture">
            <wp:extent cx="4500000" cy="253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02b-scan-control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Figure 3. Public scan screen with camera, image upload, and dish-photo controls. No live detector inference is evidenced.</w:t>
      </w:r>
    </w:p>
    <w:p>
      <w:pPr>
        <w:pStyle w:val="Heading1"/>
      </w:pPr>
      <w:r>
        <w:t>3 Functional requirements</w:t>
      </w:r>
    </w:p>
    <w:p>
      <w:pPr>
        <w:pStyle w:val="Heading2"/>
      </w:pPr>
      <w:r>
        <w:t>UI-01 Recipe authoring</w:t>
      </w:r>
    </w:p>
    <w:p>
      <w:r>
        <w:t>The Creator can draft, edit, and publish recipes. Ingredient identities and quantities remain available as context for substitutions.</w:t>
      </w:r>
    </w:p>
    <w:p>
      <w:r>
        <w:t>Current state: Existing workflow; verify the saved context across services.</w:t>
      </w:r>
    </w:p>
    <w:p>
      <w:pPr>
        <w:pStyle w:val="Heading2"/>
      </w:pPr>
      <w:r>
        <w:t>UI-02 Scan and input review</w:t>
      </w:r>
    </w:p>
    <w:p>
      <w:r>
        <w:t>The User can capture or upload an image and see distinct permission, loading, error, unavailable, and demo states. Detections must be reviewable and editable before downstream use; manual input must remain possible.</w:t>
      </w:r>
    </w:p>
    <w:p>
      <w:r>
        <w:t>Current state: Camera, upload, and overlay exist. Per-detection editing and real detector/device acceptance remain open.</w:t>
      </w:r>
    </w:p>
    <w:p>
      <w:pPr>
        <w:pStyle w:val="Heading2"/>
      </w:pPr>
      <w:r>
        <w:t>UI-03 Contextual substitutions</w:t>
      </w:r>
    </w:p>
    <w:p>
      <w:r>
        <w:t>Send ingredient, reason, recipe context, dietary tags, saved allergen flags, and session identity. Show candidate, quantity ratio, confidence, source, and unavailable values separately.</w:t>
      </w:r>
    </w:p>
    <w:p>
      <w:r>
        <w:t>Current state: Adapters and UI exist; verify live source and receipt chain.</w:t>
      </w:r>
    </w:p>
    <w:p>
      <w:pPr>
        <w:pStyle w:val="Heading2"/>
      </w:pPr>
      <w:r>
        <w:t>UI-04 Allergen profile</w:t>
      </w:r>
    </w:p>
    <w:p>
      <w:r>
        <w:t>Support the configured EU 14 and FDA 9 groups plus custom terms; persist normalized flags and forward saved values on later requests.</w:t>
      </w:r>
    </w:p>
    <w:p>
      <w:r>
        <w:t>Current state: Settings and persistence exist; authenticated end-to-end verification remains open.</w:t>
      </w:r>
    </w:p>
    <w:p>
      <w:pPr>
        <w:pStyle w:val="Heading2"/>
      </w:pPr>
      <w:r>
        <w:t>UI-05 Three-valued safety</w:t>
      </w:r>
    </w:p>
    <w:p>
      <w:r>
        <w:t>Safe requires reviewed policy support. Missing, invalid, conflicting, or unknown evidence yields Check. A policy conflict yields Blocked and disables the primary action.</w:t>
      </w:r>
    </w:p>
    <w:p>
      <w:r>
        <w:t>Current state: Resolver and regression tests exist; production policy acceptance is pending.</w:t>
      </w:r>
    </w:p>
    <w:p>
      <w:pPr>
        <w:pStyle w:val="Heading2"/>
      </w:pPr>
      <w:r>
        <w:t>UI-06 Compound explanation</w:t>
      </w:r>
    </w:p>
    <w:p>
      <w:r>
        <w:t>Show source, grounding, units, and unavailable measurements. Compound presence or overlap must not imply cooking suitability, sensory equivalence, nutrition equivalence, or allergen safety.</w:t>
      </w:r>
    </w:p>
    <w:p>
      <w:r>
        <w:t>Current state: UI surface exists; official index and real-payload capture are pending.</w:t>
      </w:r>
    </w:p>
    <w:p>
      <w:pPr>
        <w:pStyle w:val="Heading2"/>
      </w:pPr>
      <w:r>
        <w:t>UI-07 Knowledge graph</w:t>
      </w:r>
    </w:p>
    <w:p>
      <w:r>
        <w:t>Search and center results, drag and pan or zoom, inspect nodes and edges, load bounded neighborhoods, and show actual coverage.</w:t>
      </w:r>
    </w:p>
    <w:p>
      <w:r>
        <w:t>Current state: UI and bounded seed API work; official graph import remains open.</w:t>
      </w:r>
    </w:p>
    <w:p>
      <w:pPr>
        <w:pStyle w:val="Heading2"/>
      </w:pPr>
      <w:r>
        <w:t>UI-08 Evaluation dashboard</w:t>
      </w:r>
    </w:p>
    <w:p>
      <w:r>
        <w:t>Protect the reviewer route, distinguish complete, pending, and rejected results, hide pending numbers, and preserve provenance and claim limits in exports.</w:t>
      </w:r>
    </w:p>
    <w:p>
      <w:r>
        <w:t>Current state: Dashboard and schema validation exist; verified Lead manifests and scores are pending.</w:t>
      </w:r>
    </w:p>
    <w:p>
      <w:pPr>
        <w:pStyle w:val="Heading2"/>
      </w:pPr>
      <w:r>
        <w:t>UI-09 Feedback</w:t>
      </w:r>
    </w:p>
    <w:p>
      <w:r>
        <w:t>Record accept, reject, skip, and post-cooking outcomes against a session and real candidate receipt; show failure and retry states.</w:t>
      </w:r>
    </w:p>
    <w:p>
      <w:r>
        <w:t>Current state: Controls and ingestion paths exist; cross-service recovery and representative outcomes remain open.</w:t>
      </w:r>
    </w:p>
    <w:p>
      <w:pPr>
        <w:pStyle w:val="Heading2"/>
      </w:pPr>
      <w:r>
        <w:t>UI-10 Community</w:t>
      </w:r>
    </w:p>
    <w:p>
      <w:r>
        <w:t>Preserve recipe interactions and gamification while keeping engagement events separate from research labels.</w:t>
      </w:r>
    </w:p>
    <w:p>
      <w:r>
        <w:t>Current state: Existing product workflow; verify separation when reporting results.</w:t>
      </w:r>
    </w:p>
    <w:p>
      <w:pPr>
        <w:pStyle w:val="Heading2"/>
      </w:pPr>
      <w:r>
        <w:t>UI-11 Thesis evidence</w:t>
      </w:r>
    </w:p>
    <w:p>
      <w:r>
        <w:t>Map all 14 Lead chapters to artifact IDs, source routes, and honest readiness states. A planned capture is not a completed reviewed artifact.</w:t>
      </w:r>
    </w:p>
    <w:p>
      <w:r>
        <w:t>Current state: Workspace mapping exists; source-backed captures remain open.</w:t>
      </w:r>
    </w:p>
    <w:p>
      <w:pPr>
        <w:pStyle w:val="Heading1"/>
      </w:pPr>
      <w:r>
        <w:t>4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NQ-01 Safety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No name heuristic, missing allergen flag, model confidence, or compound overlap may upgrade a result to Safe. Missing or invalid policy yields Check; conflicts yield Blocked.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NQ-02 Evidence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Displayed metrics and explanations retain source, status, protocol, and limitations. A displayed hash is metadata until its artifact has been independently checked.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NQ-03 Degraded operation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Missing AI or data services produce explicit pending or error states. Ordinary production requests never silently switch to demo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NQ-04 Privacy and access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Profile data, uploads, and protected evaluation use application authentication boundaries. Private images and profile values are not published as open evidence.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NQ-05 Accessibility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Provide labels, keyboard operation, visible focus, and text cues in addition to color. Large-graph, mobile, and assistive-technology evidence remains required.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NQ-06 Bounded work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Graph depth 0–2 and limit 1–500; image cap 10 MiB; model requests support cancellation and a 30-second upstream timeout. Verify on deployment.</w:t>
            </w:r>
          </w:p>
        </w:tc>
      </w:tr>
    </w:tbl>
    <w:p>
      <w:pPr>
        <w:pStyle w:val="Heading1"/>
      </w:pPr>
      <w:r>
        <w:t>5 External interfaces and data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Interface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Current contract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Graph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GET /knowledge/graph using q or root, depth, and limit. Response includes bounded nodes, edges, and coverage. Seed edges are substitution only; confidence may be null.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Profile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PUT /auth/settings/cooking and PUT /auth/update persist normalized allergen flags under the authenticated user.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Substitution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POST /api/v1/suggest_substitutions carries ingredient, reason, recipe_context, dietary_tags, allergen_flags, and session_id. Candidate safety, evidence, and receipt fields depend on the source.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Compounds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GET /api/v1/compound/profile/{ingredient} and POST /api/v1/compound/analyze-pair require source and grounding before factual display.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Photo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POST /api/ingredient-detection and POST /api/photo-intelligence/ingredient-recipes use bounded same-origin adapters and caller authentication. A 503 indicates unconfigured integration.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Evaluation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frontend /admin/evaluation route is protected and validates the supplied manifest structure. Schema acceptance does not establish scientific validity.</w:t>
            </w:r>
          </w:p>
        </w:tc>
      </w:tr>
    </w:tbl>
    <w:p>
      <w:pPr>
        <w:pStyle w:val="Heading1"/>
      </w:pPr>
      <w:r>
        <w:t>6 Backlog traceability and acceptance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Gate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Implemented surface and remaining evidence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G1 and G6 Evaluation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Dashboard, schema checks, provenance captions, and hidden pending values exist. Close only with verified Lead exports, artifact hashes, strata, intervals, abstention, and review.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G3 Compound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Missing values stay unavailable and source identity is retained. Close with official index payload captures and an ethics-reviewed usefulness study.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G4 Safety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Profile forwarding and three-valued UI exist. Close with reviewed policy, deployed end-to-end flow, and adjudicated benchmark.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G5 Graph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Explorer and bounded API work on seed data. Close with rights, schema, hash, staged import, rollback, coverage, and API-backed captures for the official graph.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G7 Feedback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Controls, receipts, and ingestion exist. Close with cross-service choices and outcomes, retries, replay, recovery, and representative evidence.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G8 Photo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Camera UI and adapters exist. Close with accepted M3/M4 model or index, provider credentials, rights-cleared images, and real-device evidence.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G9 Thesis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Fourteen-chapter workspace exists. Close with source-backed figures, deployment and cost records, ethics/recruitment, and review.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G10 Voice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Optional scaffold is deferred and is not a Sprint 2 acceptance item.</w:t>
            </w:r>
          </w:p>
        </w:tc>
      </w:tr>
    </w:tbl>
    <w:p>
      <w:pPr>
        <w:pStyle w:val="Heading1"/>
      </w:pPr>
      <w:r>
        <w:t>7 Progress claim rule</w:t>
      </w:r>
    </w:p>
    <w:p>
      <w:r>
        <w:t>Lead v109 verifies secondary Stage 3 through exact step 327/561 and records only a Segment 6 launch toward step 374. It does not verify step 374 completion, the final adapter, inference, scoring, or model quality. Likewise, a browser graph image proves the seeded UI rather than the canonical research graph, and a scan screenshot proves controls rather than live user-photo recognition.</w:t>
      </w:r>
    </w:p>
    <w:sectPr w:rsidR="00FC693F" w:rsidRPr="0006063C" w:rsidSect="00034616">
      <w:footerReference w:type="default" r:id="rId9"/>
      <w:pgSz w:w="12240" w:h="15840"/>
      <w:pgMar w:top="1020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IRON CHEF  |  Sprint 2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 w:eastAsia="Times New Roman" w:cs="Times New Roman"/>
      <w:color w:val="1C28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color w:val="2345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color w:val="2345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  <w:pBdr>
        <w:bottom w:val="nil"/>
      </w:pBdr>
    </w:pPr>
    <w:rPr>
      <w:rFonts w:ascii="Times New Roman" w:hAnsi="Times New Roman" w:eastAsia="Times New Roman" w:cs="Times New Roman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