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Data Flow Specification</w:t>
      </w:r>
    </w:p>
    <w:p>
      <w:r>
        <w:rPr>
          <w:rFonts w:ascii="Times New Roman" w:hAnsi="Times New Roman"/>
          <w:i/>
          <w:sz w:val="22"/>
        </w:rPr>
        <w:t>Context diagram, level one flows, data contracts, and trust boundaries</w:t>
      </w:r>
    </w:p>
    <w:p>
      <w:r>
        <w:rPr>
          <w:color w:val="23455B"/>
          <w:sz w:val="18"/>
        </w:rPr>
        <w:t>IRON CHEF v3  |  Vo Trung Tin  |  Reviewed 11 October 2026</w:t>
      </w:r>
    </w:p>
    <w:p>
      <w:r>
        <w:t>This document traces data among the browser, frontend adapters, monolith, and Lead-owned AI or evidence sources. Each flow identifies inputs, transformations, stores, and failure states. A diagram arrow expresses an interface or requirement, not proof that an external model is accepted.</w:t>
      </w:r>
    </w:p>
    <w:p>
      <w:pPr>
        <w:pStyle w:val="Heading1"/>
      </w:pPr>
      <w:r>
        <w:t>Source baseline and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Source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Evidence used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Sprint 2 report supplied by the user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Work assignment: Vo Trung Tin owns UI requirements, use cases, data flows, and Member scaffold acceptance. The sprint runs 23 September–10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Member backlog, branch codex/member-sprint12-deliverables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Epic 1–12 implementation states and open gates G1–G10; engineering checkpoint dated 6 October 2026.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backlog v109, origin/master 8bb8167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As of 9 October 2026, Stage 3 is artifact-verified through exact step 327/561. Segment 6 was launched toward step 374. Final model quality and scoring remain unverified.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Browser captures dated 6 October 2026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Actual frontend views of /explore/graph and /scan, with the graph backed by local seed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Frontend and monolith code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Routes, request boundaries, error states, fields, and adapter behavior reviewed for this edition.</w:t>
            </w:r>
          </w:p>
        </w:tc>
      </w:tr>
    </w:tbl>
    <w:p>
      <w:r>
        <w:t>Evidence rule: a browser image proves that a screen appeared during that run; code shows an implemented path; a backlog records the team's checkpoint. None alone proves production deployment, model quality, clinical safety, or a research result.</w:t>
      </w:r>
    </w:p>
    <w:p>
      <w:pPr>
        <w:pStyle w:val="Heading1"/>
      </w:pPr>
      <w:r>
        <w:t>1 Notation and trust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Term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External entity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User, Creator, Reviewer, or Lead source that supplies or receives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Process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UI or service step that validates and transforms input.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Store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Profile, recipe, graph, receipt/event, or evidence manifest data.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Trust boundary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Browser → same-origin frontend → monolith or model provider. User bearer credentials are not forwarded directly to a model provider.</w:t>
            </w:r>
          </w:p>
        </w:tc>
      </w:tr>
    </w:tbl>
    <w:p>
      <w:pPr>
        <w:pStyle w:val="Heading1"/>
      </w:pPr>
      <w:r>
        <w:t>2 Context diagram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860000" cy="1886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context-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Logical context; detailed request and response paths are specified below.</w:t>
      </w:r>
    </w:p>
    <w:p>
      <w:pPr>
        <w:pStyle w:val="Heading1"/>
      </w:pPr>
      <w:r>
        <w:t>3 Level one processes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Process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Inputs and outputs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P1 Recipe and profile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Creator recipe and User allergen settings → stored recipe, normalized profile, and context for P3.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P2 Photo detection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Camera/upload image plus caller identity → sourced detections or explicit integration-pending state.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P3 Substitution and safety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Ingredient, recipe context, tags, flags, candidate policy → three-valued card and real candidate receipt.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P4 Graph and compounds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Search/root/depth/limit or ingredient pair → bounded graph with coverage and grounded evidence where available.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P5 Feedback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Session, candidate receipt, choice/outcome → durable event, projection, ingestion, and retry identity.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P6 Evaluation and thesis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manifest and artifact references → protected dashboard, figure caption, and evidence readiness state.</w:t>
            </w:r>
          </w:p>
        </w:tc>
      </w:tr>
    </w:tbl>
    <w:p>
      <w:pPr>
        <w:pStyle w:val="Heading1"/>
      </w:pPr>
      <w:r>
        <w:t>4 DF 01 Photo to ingredients and recipe candidates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860000" cy="1886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photo-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8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User correction is an open UI gate and must occur before downstream action in the accepted 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Step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Input, validation, and failure behavior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Browser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Request camera only after action or accept upload. Denied or unsupported camera offers upload or manual input; a guest screenshot does not prove a device-camera run.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Frontend adapter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Authenticate caller; validate multipart image type, non-zero bytes, and ≤10 MiB. Propagate cancellation and cap upstream work at 30 seconds. Return 400/413 or 503 as appropriate.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 detector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Return name, box, confidence, and source only from an accepted configured model. M3 is not yet accepted; malformed or failed response is an error, never fabricated output.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User review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Correct or remove detections and confirm the list. The observed /scan screen does not yet establish this editing control.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Recipe matching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Submit no more than 100 ingredient names of up to 120 characters each through the protected bounded route. Accepted M4 model/index and rights evidence remain open.</w:t>
            </w:r>
          </w:p>
        </w:tc>
      </w:tr>
    </w:tbl>
    <w:p>
      <w:pPr>
        <w:pStyle w:val="Heading1"/>
      </w:pPr>
      <w:r>
        <w:t>5 DF 02 Profile to substitution and safety</w:t>
      </w:r>
    </w:p>
    <w:p>
      <w:r>
        <w:t>Authenticated settings → monolith profile store → normalized allergen flags → substitution request with ingredient, reason, recipe_context, dietary_tags, flags, and session_id → candidate/policy/receipt response → frontend resolver → Safe, Check, or Blocked card → selection or decline. Missing or unreviewed policy never becomes Safe. Custom or unknown terms remain Check without adjudication.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Data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Source and handling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Allergen flags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Saved under the authenticated profile, normalized, forwarded in later requests, and excluded from public evidence logs.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Policy result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Reviewed policy source only. Missing or malformed → Check; conflict → Blocked; Safe only with sufficient reviewed evidence.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Candidate receipt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Preserve source identity for feedback; never synthesize a missing receipt.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Compounds and nutrition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Separate official evidence path with source, grounding, and units. Null means unavailable and never upgrades allergen safety.</w:t>
            </w:r>
          </w:p>
        </w:tc>
      </w:tr>
    </w:tbl>
    <w:p>
      <w:pPr>
        <w:pStyle w:val="Heading1"/>
      </w:pPr>
      <w:r>
        <w:t>6 DF 03 Knowledge graph and compounds</w:t>
      </w:r>
    </w:p>
    <w:p>
      <w:r>
        <w:t>Browser search or root → GET /knowledge/graph with depth 0–2 and limit 1–500 → seed or imported monolith collection → bounded nodes, edges, and coverage → client focus, pan, zoom, and detail. The captured Ginger result has no edge. The four seed edges are substitutions only. Filter labels for chemical similarity and co-occurrence do not create scientific data. Compound profile and pair requests use a separate official source path; ratio is not confidence and overlap does not prove culinary suitability.</w:t>
      </w:r>
    </w:p>
    <w:p>
      <w:pPr>
        <w:pStyle w:val="Heading1"/>
      </w:pPr>
      <w:r>
        <w:t>7 DF 04 Feedback and research evidence</w:t>
      </w:r>
    </w:p>
    <w:p>
      <w:r>
        <w:t>Cooking session → choice/outcome event with candidate receipt → monolith durable write → projection and AI ingestion/replay. Failed writes, retries, and replay retain event identity and cannot be reported as model learning. Separately, Lead dataset/split/protocol/prediction artifacts → manifest and review decision → frontend schema validation → dashboard/export caption → thesis artifact. The frontend validates structure, not the independent identity, rights, review, or correctness of upstream science.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Store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Owner and current state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Profiles and recipes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Monolith product storage and frontend flows exist; deployed authenticated acceptance remains to be checked.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Knowledge graph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Monolith currently serves a 25-ingredient, four-edge seed. Official G5 import is pending.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Receipts and feedback events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AI and monolith paths exist; representative cross-service outcome and recovery evidence remains pending.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Evaluation manifests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Lead-owned. Frontend schema and captions exist; verified artifacts and scored results remain pending.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Thesis captures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Member and Lead reviewers. Fourteen chapters are mapped; individual source-backed captures and reviews remain pending.</w:t>
            </w:r>
          </w:p>
        </w:tc>
      </w:tr>
    </w:tbl>
    <w:p>
      <w:pPr>
        <w:pStyle w:val="Heading1"/>
      </w:pPr>
      <w:r>
        <w:t>8 Data safety and closure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Flow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E8EEF2"/>
          </w:tcPr>
          <w:p>
            <w:pPr>
              <w:keepNext/>
              <w:spacing w:after="0" w:line="269" w:lineRule="auto"/>
            </w:pPr>
            <w:r>
              <w:rPr>
                <w:rFonts w:ascii="Times New Roman" w:hAnsi="Times New Roman"/>
                <w:b/>
                <w:sz w:val="20"/>
              </w:rPr>
              <w:t>Evidence required before closure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Photo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Real devices, provider authentication, accepted detector and retrieval model/index manifests, and image rights. Screen controls are not inference evidence.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Safety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Reviewed policy, authenticated deployed profile-to-policy-to-UI test, and adjudicated benchmark. Compound overlap and absence of a match do not establish Safe.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Graph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Rights/schema/hash-validated import, coverage checks, rollback, and API-backed captures. A seed API is not the canonical graph.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Evaluation</w:t>
            </w:r>
          </w:p>
        </w:tc>
        <w:tc>
          <w:tcPr>
            <w:tcW w:type="dxa" w:w="6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</w:tcPr>
          <w:p>
            <w:pPr>
              <w:spacing w:after="0" w:line="269" w:lineRule="auto"/>
            </w:pPr>
            <w:r>
              <w:rPr>
                <w:rFonts w:ascii="Times New Roman" w:hAnsi="Times New Roman"/>
                <w:b w:val="0"/>
                <w:sz w:val="20"/>
              </w:rPr>
              <w:t>Actual Lead artifacts and checked hashes, split/protocol/seeds, intervals, abstention, and review. A training checkpoint is not a quality score.</w:t>
            </w:r>
          </w:p>
        </w:tc>
      </w:tr>
    </w:tbl>
    <w:p>
      <w:r>
        <w:t>Lead v109 verifies secondary Stage 3 through exact step 327/561 and records a Segment 6 launch toward step 374. Completion of Stage 3, inference, scoring, and model quality remain open.</w:t>
      </w:r>
    </w:p>
    <w:sectPr w:rsidR="00FC693F" w:rsidRPr="0006063C" w:rsidSect="00034616">
      <w:footerReference w:type="default" r:id="rId9"/>
      <w:pgSz w:w="12240" w:h="15840"/>
      <w:pgMar w:top="1020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IRON CHEF  |  Sprint 2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 w:eastAsia="Times New Roman" w:cs="Times New Roman"/>
      <w:color w:val="1C28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 w:cs="Times New Roman"/>
      <w:b/>
      <w:bCs/>
      <w:color w:val="2345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 w:cs="Times New Roman"/>
      <w:b/>
      <w:bCs/>
      <w:color w:val="234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  <w:pBdr>
        <w:bottom w:val="nil"/>
      </w:pBdr>
    </w:pPr>
    <w:rPr>
      <w:rFonts w:ascii="Times New Roman" w:hAnsi="Times New Roman" w:eastAsia="Times New Roman" w:cs="Times New Roman"/>
      <w:b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