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2137" w14:textId="77777777" w:rsidR="00427D5F" w:rsidRPr="00427D5F" w:rsidRDefault="00427D5F" w:rsidP="00427D5F">
      <w:pPr>
        <w:jc w:val="both"/>
        <w:rPr>
          <w:b/>
          <w:bCs/>
          <w:lang w:val="es-MX"/>
        </w:rPr>
      </w:pPr>
      <w:r w:rsidRPr="00427D5F">
        <w:rPr>
          <w:b/>
          <w:bCs/>
          <w:lang w:val="es-MX"/>
        </w:rPr>
        <w:t>1) Resumen ejecutivo</w:t>
      </w:r>
    </w:p>
    <w:p w14:paraId="2E360409" w14:textId="77777777" w:rsidR="00427D5F" w:rsidRDefault="00427D5F" w:rsidP="00427D5F">
      <w:pPr>
        <w:jc w:val="both"/>
        <w:rPr>
          <w:lang w:val="es-MX"/>
        </w:rPr>
      </w:pPr>
      <w:r w:rsidRPr="00427D5F">
        <w:rPr>
          <w:lang w:val="es-MX"/>
        </w:rPr>
        <w:t>Colombia ya registra costos económicos por el cambio climático del orden de US$1.1–1.2 mil millones anuales (≈0,3 % del PIB), y, sin medidas de adaptación de mayor escala, diversos escenarios proyectan mermas del crecimiento anual del PIB entre 1,5 % y 2,5 % hacia mitad de siglo. Estas pérdidas se concentran en sectores sensibles (agricultura, ganadería, infraestructura, vivienda) y se disparan en años con El Niño/La Niña. La evidencia oficial muestra, además, una alta vulnerabilidad regional y la necesidad de financiamiento climático para cerrar brechas y sostener el desarrollo</w:t>
      </w:r>
    </w:p>
    <w:p w14:paraId="0D2AB610" w14:textId="77777777" w:rsidR="007048F1" w:rsidRPr="00427D5F" w:rsidRDefault="007048F1" w:rsidP="00427D5F">
      <w:pPr>
        <w:jc w:val="both"/>
        <w:rPr>
          <w:lang w:val="es-MX"/>
        </w:rPr>
      </w:pPr>
    </w:p>
    <w:p w14:paraId="0CA383C7" w14:textId="77777777" w:rsidR="007048F1" w:rsidRDefault="00427D5F" w:rsidP="00427D5F">
      <w:pPr>
        <w:jc w:val="both"/>
        <w:rPr>
          <w:b/>
          <w:bCs/>
          <w:lang w:val="es-MX"/>
        </w:rPr>
      </w:pPr>
      <w:r w:rsidRPr="00427D5F">
        <w:rPr>
          <w:b/>
          <w:bCs/>
          <w:lang w:val="es-MX"/>
        </w:rPr>
        <w:t>2) Costos y riesgos macroeconómicos</w:t>
      </w:r>
    </w:p>
    <w:p w14:paraId="235CB113" w14:textId="3105F32B" w:rsidR="00427D5F" w:rsidRPr="007048F1" w:rsidRDefault="00427D5F" w:rsidP="00427D5F">
      <w:pPr>
        <w:jc w:val="both"/>
        <w:rPr>
          <w:b/>
          <w:bCs/>
          <w:lang w:val="es-MX"/>
        </w:rPr>
      </w:pPr>
      <w:r w:rsidRPr="00427D5F">
        <w:rPr>
          <w:lang w:val="es-MX"/>
        </w:rPr>
        <w:t xml:space="preserve">El Country Climate and Development Report (CCDR) del Banco Mundial para Colombia concluye que los riesgos climáticos ya erosionan el desempeño macroeconómico (≈0,3 % del PIB) y que, en escenarios sin adaptación, podrían restar hasta 1,5–2,5 % del crecimiento anual en el mediano plazo por choques de productividad, daños a infraestructura y choques de oferta (alimentos/energía). El informe vincula la agenda climática con metas de desarrollo y transición productiva. </w:t>
      </w:r>
    </w:p>
    <w:p w14:paraId="62E53283" w14:textId="50B6F064" w:rsidR="007048F1" w:rsidRPr="00427D5F" w:rsidRDefault="007048F1" w:rsidP="00427D5F">
      <w:pPr>
        <w:jc w:val="both"/>
        <w:rPr>
          <w:lang w:val="es-MX"/>
        </w:rPr>
      </w:pPr>
    </w:p>
    <w:p w14:paraId="5407FFAC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56DE93A6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49A4EC55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6837B11A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6DB75523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0CA96F4C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6171A5ED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311FD662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43CB55C1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6F7016E8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38C0242D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1D583473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5F2E6714" w14:textId="6FDDADD7" w:rsidR="007048F1" w:rsidRDefault="007048F1" w:rsidP="00427D5F">
      <w:pPr>
        <w:jc w:val="both"/>
        <w:rPr>
          <w:b/>
          <w:bCs/>
          <w:lang w:val="es-MX"/>
        </w:rPr>
      </w:pPr>
      <w:r w:rsidRPr="007048F1">
        <w:rPr>
          <w:noProof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5A2851D3" wp14:editId="51779D20">
            <wp:simplePos x="0" y="0"/>
            <wp:positionH relativeFrom="margin">
              <wp:posOffset>257128</wp:posOffset>
            </wp:positionH>
            <wp:positionV relativeFrom="paragraph">
              <wp:posOffset>4786</wp:posOffset>
            </wp:positionV>
            <wp:extent cx="4467860" cy="5841365"/>
            <wp:effectExtent l="0" t="0" r="8890" b="6985"/>
            <wp:wrapSquare wrapText="bothSides"/>
            <wp:docPr id="1792709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098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60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FD7DE2" w14:textId="277869E3" w:rsidR="007048F1" w:rsidRDefault="007048F1" w:rsidP="00427D5F">
      <w:pPr>
        <w:jc w:val="both"/>
        <w:rPr>
          <w:b/>
          <w:bCs/>
          <w:lang w:val="es-MX"/>
        </w:rPr>
      </w:pPr>
    </w:p>
    <w:p w14:paraId="589EA908" w14:textId="1E6D9358" w:rsidR="007048F1" w:rsidRDefault="007048F1" w:rsidP="00427D5F">
      <w:pPr>
        <w:jc w:val="both"/>
        <w:rPr>
          <w:b/>
          <w:bCs/>
          <w:lang w:val="es-MX"/>
        </w:rPr>
      </w:pPr>
    </w:p>
    <w:p w14:paraId="536C1DAB" w14:textId="494B1C1A" w:rsidR="007048F1" w:rsidRDefault="007048F1" w:rsidP="00427D5F">
      <w:pPr>
        <w:jc w:val="both"/>
        <w:rPr>
          <w:b/>
          <w:bCs/>
          <w:lang w:val="es-MX"/>
        </w:rPr>
      </w:pPr>
    </w:p>
    <w:p w14:paraId="26419CF1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1A902F6C" w14:textId="6953EFB1" w:rsidR="007048F1" w:rsidRDefault="007048F1" w:rsidP="00427D5F">
      <w:pPr>
        <w:jc w:val="both"/>
        <w:rPr>
          <w:b/>
          <w:bCs/>
          <w:lang w:val="es-MX"/>
        </w:rPr>
      </w:pPr>
    </w:p>
    <w:p w14:paraId="1E61CA0C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5D78EF45" w14:textId="3DF39851" w:rsidR="007048F1" w:rsidRDefault="007048F1" w:rsidP="00427D5F">
      <w:pPr>
        <w:jc w:val="both"/>
        <w:rPr>
          <w:b/>
          <w:bCs/>
          <w:lang w:val="es-MX"/>
        </w:rPr>
      </w:pPr>
    </w:p>
    <w:p w14:paraId="3E99781B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6E21BDB1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360DCB96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4793B2A6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1DAC86A4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272D78C0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7E8CE28C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7F4ED67D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7B2C71FD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610AF4EE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07243493" w14:textId="77777777" w:rsidR="007048F1" w:rsidRDefault="007048F1" w:rsidP="00427D5F">
      <w:pPr>
        <w:jc w:val="both"/>
        <w:rPr>
          <w:b/>
          <w:bCs/>
          <w:lang w:val="es-MX"/>
        </w:rPr>
      </w:pPr>
    </w:p>
    <w:p w14:paraId="5D6E62DB" w14:textId="7C634392" w:rsidR="00427D5F" w:rsidRPr="00427D5F" w:rsidRDefault="00427D5F" w:rsidP="00427D5F">
      <w:pPr>
        <w:jc w:val="both"/>
        <w:rPr>
          <w:b/>
          <w:bCs/>
          <w:lang w:val="es-MX"/>
        </w:rPr>
      </w:pPr>
      <w:r w:rsidRPr="00427D5F">
        <w:rPr>
          <w:b/>
          <w:bCs/>
          <w:lang w:val="es-MX"/>
        </w:rPr>
        <w:t>3) Evidencia de pérdidas por desastres (La Niña 2021–2023)</w:t>
      </w:r>
    </w:p>
    <w:p w14:paraId="6ED34326" w14:textId="43B41D87" w:rsidR="00427D5F" w:rsidRPr="00427D5F" w:rsidRDefault="00427D5F" w:rsidP="00427D5F">
      <w:pPr>
        <w:jc w:val="both"/>
        <w:rPr>
          <w:lang w:val="es-MX"/>
        </w:rPr>
      </w:pPr>
      <w:r w:rsidRPr="00427D5F">
        <w:rPr>
          <w:lang w:val="es-MX"/>
        </w:rPr>
        <w:t>La UNGRD, con apoyo del PNUD, documenta para La Niña 2021–2023 un consolidado de daños, pérdidas e impactos a nivel nacional (vivienda, vías, agro, acueductos), útil para cuantificar costos por año/departamento y sustentar la presión fiscal y social de los eventos hidrometeorológicos. Este consolidado es la base oficial para estimar necesidades de recuperación y priorización sectorial.</w:t>
      </w:r>
    </w:p>
    <w:p w14:paraId="06D45EAF" w14:textId="77777777" w:rsidR="00427D5F" w:rsidRPr="00427D5F" w:rsidRDefault="00427D5F" w:rsidP="00427D5F">
      <w:pPr>
        <w:jc w:val="both"/>
        <w:rPr>
          <w:b/>
          <w:bCs/>
          <w:lang w:val="es-MX"/>
        </w:rPr>
      </w:pPr>
      <w:r w:rsidRPr="00427D5F">
        <w:rPr>
          <w:b/>
          <w:bCs/>
          <w:lang w:val="es-MX"/>
        </w:rPr>
        <w:t>4) Proyecciones climáticas y vulnerabilidad territorial</w:t>
      </w:r>
    </w:p>
    <w:p w14:paraId="1C411048" w14:textId="77777777" w:rsidR="00427D5F" w:rsidRDefault="00427D5F" w:rsidP="00427D5F">
      <w:pPr>
        <w:jc w:val="both"/>
        <w:rPr>
          <w:lang w:val="es-MX"/>
        </w:rPr>
      </w:pPr>
      <w:r w:rsidRPr="00427D5F">
        <w:rPr>
          <w:lang w:val="es-MX"/>
        </w:rPr>
        <w:t xml:space="preserve">El IDEAM publicó nuevas proyecciones 2021–2100 (temperatura, precipitación, humedad, radiación, viento) bajo varios escenarios. Estas proyecciones permiten derivar mapas de </w:t>
      </w:r>
      <w:r w:rsidRPr="00427D5F">
        <w:rPr>
          <w:lang w:val="es-MX"/>
        </w:rPr>
        <w:lastRenderedPageBreak/>
        <w:t>riesgo económico por región (Caribe, Andina, Orinoquía, Amazonía, Pacífico), clave para cruzar clima futuro con empleo, producción y seguridad alimentaria. El IDEAM también liberó un visualizador con variables climáticas del siglo XXI, útil para mapas por departamento</w:t>
      </w:r>
    </w:p>
    <w:p w14:paraId="4EC5DFFB" w14:textId="79665ADD" w:rsidR="002A6706" w:rsidRPr="00427D5F" w:rsidRDefault="002A6706" w:rsidP="00427D5F">
      <w:pPr>
        <w:jc w:val="both"/>
        <w:rPr>
          <w:lang w:val="es-MX"/>
        </w:rPr>
      </w:pPr>
      <w:r w:rsidRPr="002A6706"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66B8D98D" wp14:editId="6B054574">
            <wp:simplePos x="0" y="0"/>
            <wp:positionH relativeFrom="column">
              <wp:posOffset>520</wp:posOffset>
            </wp:positionH>
            <wp:positionV relativeFrom="paragraph">
              <wp:posOffset>3495</wp:posOffset>
            </wp:positionV>
            <wp:extent cx="5612130" cy="5612130"/>
            <wp:effectExtent l="0" t="0" r="7620" b="7620"/>
            <wp:wrapSquare wrapText="bothSides"/>
            <wp:docPr id="490314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140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18515E" w14:textId="77777777" w:rsidR="00427D5F" w:rsidRPr="00427D5F" w:rsidRDefault="00427D5F" w:rsidP="00427D5F">
      <w:pPr>
        <w:jc w:val="both"/>
        <w:rPr>
          <w:b/>
          <w:bCs/>
          <w:lang w:val="es-MX"/>
        </w:rPr>
      </w:pPr>
      <w:r w:rsidRPr="00427D5F">
        <w:rPr>
          <w:b/>
          <w:bCs/>
          <w:lang w:val="es-MX"/>
        </w:rPr>
        <w:t>5) Impacto sectorial: agricultura y ganadería</w:t>
      </w:r>
    </w:p>
    <w:p w14:paraId="3DF64982" w14:textId="77777777" w:rsidR="00427D5F" w:rsidRPr="00427D5F" w:rsidRDefault="00427D5F" w:rsidP="00427D5F">
      <w:pPr>
        <w:jc w:val="both"/>
        <w:rPr>
          <w:lang w:val="es-MX"/>
        </w:rPr>
      </w:pPr>
      <w:r w:rsidRPr="00427D5F">
        <w:rPr>
          <w:lang w:val="es-MX"/>
        </w:rPr>
        <w:t xml:space="preserve">El estudio “Impactos económicos del cambio climático en Colombia” (DNP, con apoyo BID–CEPAL) concluye efectos agregados negativos con alta sensibilidad del agro (productividad, rendimientos, pérdidas por sequías/inundaciones) y de la ganadería (caídas de productividad—p. ej. leche y carne en ciertas zonas). Este estudio sustenta políticas de </w:t>
      </w:r>
      <w:r w:rsidRPr="00427D5F">
        <w:rPr>
          <w:lang w:val="es-MX"/>
        </w:rPr>
        <w:lastRenderedPageBreak/>
        <w:t>adaptación sectorial (agricultura climáticamente inteligente, riego eficiente, manejo de suelos, diversificación).</w:t>
      </w:r>
    </w:p>
    <w:p w14:paraId="2724A6E0" w14:textId="77777777" w:rsidR="00427D5F" w:rsidRPr="00427D5F" w:rsidRDefault="00427D5F" w:rsidP="00427D5F">
      <w:pPr>
        <w:jc w:val="both"/>
        <w:rPr>
          <w:b/>
          <w:bCs/>
          <w:lang w:val="es-MX"/>
        </w:rPr>
      </w:pPr>
      <w:r w:rsidRPr="00427D5F">
        <w:rPr>
          <w:b/>
          <w:bCs/>
          <w:lang w:val="es-MX"/>
        </w:rPr>
        <w:t>6) Indicadores estructurales del agro (peso en el PIB)</w:t>
      </w:r>
    </w:p>
    <w:p w14:paraId="44229C24" w14:textId="120AF847" w:rsidR="00427D5F" w:rsidRDefault="00427D5F" w:rsidP="00427D5F">
      <w:pPr>
        <w:jc w:val="both"/>
        <w:rPr>
          <w:lang w:val="es-MX"/>
        </w:rPr>
      </w:pPr>
      <w:r w:rsidRPr="00427D5F">
        <w:rPr>
          <w:lang w:val="es-MX"/>
        </w:rPr>
        <w:t>Para contextualizar la vulnerabilidad económica, el agro en Colombia (agricultura, silvicultura y pesca) aporta ≈6–7 % del PIB (serie Banco Mundial). Esto implica que shocks climáticos sobre el agro se transmiten al PIB y a los precios de alimentos, amplificando inflación y pobreza rural.</w:t>
      </w:r>
    </w:p>
    <w:p w14:paraId="369D8B51" w14:textId="63FB94FE" w:rsidR="002A6706" w:rsidRPr="00427D5F" w:rsidRDefault="002A6706" w:rsidP="00427D5F">
      <w:pPr>
        <w:jc w:val="both"/>
        <w:rPr>
          <w:lang w:val="es-MX"/>
        </w:rPr>
      </w:pPr>
      <w:r w:rsidRPr="002A6706">
        <w:rPr>
          <w:noProof/>
          <w:lang w:val="es-MX"/>
        </w:rPr>
        <w:drawing>
          <wp:inline distT="0" distB="0" distL="0" distR="0" wp14:anchorId="458FAE7D" wp14:editId="65F2C062">
            <wp:extent cx="5612130" cy="4282440"/>
            <wp:effectExtent l="0" t="0" r="7620" b="3810"/>
            <wp:docPr id="1942462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2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913A" w14:textId="77777777" w:rsidR="00427D5F" w:rsidRPr="00427D5F" w:rsidRDefault="00427D5F" w:rsidP="00427D5F">
      <w:pPr>
        <w:jc w:val="both"/>
        <w:rPr>
          <w:b/>
          <w:bCs/>
          <w:lang w:val="es-MX"/>
        </w:rPr>
      </w:pPr>
      <w:r w:rsidRPr="00427D5F">
        <w:rPr>
          <w:b/>
          <w:bCs/>
          <w:lang w:val="es-MX"/>
        </w:rPr>
        <w:t>8) Enfoque productivo y ruralidad (FAO)</w:t>
      </w:r>
    </w:p>
    <w:p w14:paraId="53184A57" w14:textId="77777777" w:rsidR="00427D5F" w:rsidRPr="00427D5F" w:rsidRDefault="00427D5F" w:rsidP="00427D5F">
      <w:pPr>
        <w:jc w:val="both"/>
        <w:rPr>
          <w:lang w:val="es-MX"/>
        </w:rPr>
      </w:pPr>
      <w:r w:rsidRPr="00427D5F">
        <w:rPr>
          <w:lang w:val="es-MX"/>
        </w:rPr>
        <w:t xml:space="preserve">La FAO advierte que la evaluación de impactos en Colombia tiende a centrarse en cultivos tecnificados, mientras que ≈67 % de la producción de alimentos proviene de pequeños productores en laderas andinas, que concentran ≈57 % del empleo rural; esto señala alta vulnerabilidad social y necesidad de políticas diferenciadas (asistencia técnica, seguros agroclimáticos, cadenas de valor resilientes). </w:t>
      </w:r>
    </w:p>
    <w:p w14:paraId="534CE04A" w14:textId="77777777" w:rsidR="00F30423" w:rsidRPr="00427D5F" w:rsidRDefault="00F30423">
      <w:pPr>
        <w:rPr>
          <w:lang w:val="es-MX"/>
        </w:rPr>
      </w:pPr>
    </w:p>
    <w:sectPr w:rsidR="00F30423" w:rsidRPr="00427D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5F"/>
    <w:rsid w:val="001B3C38"/>
    <w:rsid w:val="002A6706"/>
    <w:rsid w:val="00427D5F"/>
    <w:rsid w:val="007048F1"/>
    <w:rsid w:val="00A53A63"/>
    <w:rsid w:val="00A56BCB"/>
    <w:rsid w:val="00E126B6"/>
    <w:rsid w:val="00F30423"/>
    <w:rsid w:val="00FC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C8CB4"/>
  <w15:chartTrackingRefBased/>
  <w15:docId w15:val="{68D1B0B5-48B2-4317-A4DE-AD1B87D8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427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D5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D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D5F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D5F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D5F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D5F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D5F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D5F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D5F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427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D5F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D5F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42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D5F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427D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D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D5F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427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4</Pages>
  <Words>520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Lerreto Rueda</dc:creator>
  <cp:keywords/>
  <dc:description/>
  <cp:lastModifiedBy>Lerreto Rueda</cp:lastModifiedBy>
  <cp:revision>3</cp:revision>
  <dcterms:created xsi:type="dcterms:W3CDTF">2025-10-15T00:15:00Z</dcterms:created>
  <dcterms:modified xsi:type="dcterms:W3CDTF">2025-10-16T04:27:00Z</dcterms:modified>
</cp:coreProperties>
</file>