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510" w:rsidRPr="00593A96" w:rsidRDefault="00425510" w:rsidP="00593A96">
      <w:pPr>
        <w:pStyle w:val="Ttol1"/>
      </w:pPr>
      <w:r w:rsidRPr="00593A96">
        <w:t>Enunciado del ejercicio</w:t>
      </w:r>
    </w:p>
    <w:p w:rsidR="00425510" w:rsidRPr="000A6CE9" w:rsidRDefault="00425510" w:rsidP="00425510">
      <w:r w:rsidRPr="000A6CE9">
        <w:t>En este ejercicio hay que calcular la rentabilidad de una inversión personal en la compra de una casa que va a ser utilizada como vivienda habitual por el inversor durante un período de 5 años. Al final de dicho período, el inversor tiene previsto cambiar su residencia a otra ciudad y, en consecuencia, venderá la vivienda al precio de mercado en ese momento.</w:t>
      </w:r>
    </w:p>
    <w:p w:rsidR="00425510" w:rsidRPr="000A6CE9" w:rsidRDefault="00425510" w:rsidP="00425510">
      <w:r w:rsidRPr="000A6CE9">
        <w:t>La vivienda a comprar tiene un precio de 230.000€ a los que habrá que añadir unos gastos de escritura y otros conceptos equivalentes al 8% del valor de la misma.</w:t>
      </w:r>
    </w:p>
    <w:p w:rsidR="00425510" w:rsidRPr="000A6CE9" w:rsidRDefault="00425510" w:rsidP="00425510">
      <w:r w:rsidRPr="000A6CE9">
        <w:t>El inversor, al poder habitar una vivienda propia, se ahorra tener que pagar un alquiler durante el período en cuestión, pero, por otra parte, deberá asumir unos gastos de mantenimiento:</w:t>
      </w:r>
    </w:p>
    <w:p w:rsidR="00425510" w:rsidRPr="006438AA" w:rsidRDefault="00425510" w:rsidP="006438AA">
      <w:pPr>
        <w:pStyle w:val="Item"/>
      </w:pPr>
      <w:r w:rsidRPr="006438AA">
        <w:t>El primer año, el alquiler de una casa equivalente hubiese sido de 900€ mensuales</w:t>
      </w:r>
    </w:p>
    <w:p w:rsidR="00425510" w:rsidRPr="000A6CE9" w:rsidRDefault="00425510" w:rsidP="006438AA">
      <w:pPr>
        <w:pStyle w:val="Item"/>
      </w:pPr>
      <w:r w:rsidRPr="000A6CE9">
        <w:t xml:space="preserve">Los gastos de mantenimiento durante ese primer año ascienden a 3.900€ </w:t>
      </w:r>
      <w:r w:rsidRPr="000A6CE9">
        <w:rPr>
          <w:b/>
          <w:bCs/>
        </w:rPr>
        <w:t>anuales</w:t>
      </w:r>
    </w:p>
    <w:p w:rsidR="00425510" w:rsidRPr="000A6CE9" w:rsidRDefault="00425510" w:rsidP="006438AA">
      <w:r w:rsidRPr="000A6CE9">
        <w:t>Estima que los siguientes años ambos conceptos se incrementarían de forma similar al índice general de precios al consumo (IPC) que ha estimado en un 2,2% para cada uno de los siguientes 5 años.</w:t>
      </w:r>
    </w:p>
    <w:p w:rsidR="00425510" w:rsidRPr="000A6CE9" w:rsidRDefault="00425510" w:rsidP="00425510">
      <w:r w:rsidRPr="000A6CE9">
        <w:t>El precio de venta previsible de la vivienda después de los 5 años lo estima según unos crecimientos previstos para el precio de la vivienda en la ciudad en cuestión, según la tabla:</w:t>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30" w:type="dxa"/>
          <w:right w:w="30" w:type="dxa"/>
        </w:tblCellMar>
        <w:tblLook w:val="0000" w:firstRow="0" w:lastRow="0" w:firstColumn="0" w:lastColumn="0" w:noHBand="0" w:noVBand="0"/>
      </w:tblPr>
      <w:tblGrid>
        <w:gridCol w:w="1039"/>
        <w:gridCol w:w="1040"/>
        <w:gridCol w:w="1040"/>
        <w:gridCol w:w="1040"/>
        <w:gridCol w:w="1040"/>
      </w:tblGrid>
      <w:tr w:rsidR="00425510" w:rsidRPr="000A6CE9">
        <w:trPr>
          <w:trHeight w:val="247"/>
          <w:jc w:val="center"/>
        </w:trPr>
        <w:tc>
          <w:tcPr>
            <w:tcW w:w="1039" w:type="dxa"/>
            <w:shd w:val="clear" w:color="auto" w:fill="794000"/>
          </w:tcPr>
          <w:p w:rsidR="00425510" w:rsidRPr="000A6CE9" w:rsidRDefault="00425510" w:rsidP="00080415">
            <w:pPr>
              <w:autoSpaceDE w:val="0"/>
              <w:autoSpaceDN w:val="0"/>
              <w:adjustRightInd w:val="0"/>
              <w:spacing w:after="0"/>
              <w:jc w:val="right"/>
              <w:rPr>
                <w:rFonts w:cs="Arial"/>
                <w:b/>
                <w:color w:val="FFFFFF"/>
              </w:rPr>
            </w:pPr>
            <w:r w:rsidRPr="000A6CE9">
              <w:rPr>
                <w:rFonts w:cs="Arial"/>
                <w:b/>
                <w:color w:val="FFFFFF"/>
              </w:rPr>
              <w:t>Año 1</w:t>
            </w:r>
          </w:p>
        </w:tc>
        <w:tc>
          <w:tcPr>
            <w:tcW w:w="1040" w:type="dxa"/>
            <w:shd w:val="clear" w:color="auto" w:fill="794000"/>
          </w:tcPr>
          <w:p w:rsidR="00425510" w:rsidRPr="000A6CE9" w:rsidRDefault="00425510" w:rsidP="00080415">
            <w:pPr>
              <w:autoSpaceDE w:val="0"/>
              <w:autoSpaceDN w:val="0"/>
              <w:adjustRightInd w:val="0"/>
              <w:spacing w:after="0"/>
              <w:jc w:val="right"/>
              <w:rPr>
                <w:rFonts w:cs="Arial"/>
                <w:b/>
                <w:color w:val="FFFFFF"/>
              </w:rPr>
            </w:pPr>
            <w:r w:rsidRPr="000A6CE9">
              <w:rPr>
                <w:rFonts w:cs="Arial"/>
                <w:b/>
                <w:color w:val="FFFFFF"/>
              </w:rPr>
              <w:t>Año 2</w:t>
            </w:r>
          </w:p>
        </w:tc>
        <w:tc>
          <w:tcPr>
            <w:tcW w:w="1040" w:type="dxa"/>
            <w:shd w:val="clear" w:color="auto" w:fill="794000"/>
          </w:tcPr>
          <w:p w:rsidR="00425510" w:rsidRPr="000A6CE9" w:rsidRDefault="00425510" w:rsidP="00080415">
            <w:pPr>
              <w:autoSpaceDE w:val="0"/>
              <w:autoSpaceDN w:val="0"/>
              <w:adjustRightInd w:val="0"/>
              <w:spacing w:after="0"/>
              <w:jc w:val="right"/>
              <w:rPr>
                <w:rFonts w:cs="Arial"/>
                <w:b/>
                <w:color w:val="FFFFFF"/>
              </w:rPr>
            </w:pPr>
            <w:r w:rsidRPr="000A6CE9">
              <w:rPr>
                <w:rFonts w:cs="Arial"/>
                <w:b/>
                <w:color w:val="FFFFFF"/>
              </w:rPr>
              <w:t>Año 3</w:t>
            </w:r>
          </w:p>
        </w:tc>
        <w:tc>
          <w:tcPr>
            <w:tcW w:w="1040" w:type="dxa"/>
            <w:shd w:val="clear" w:color="auto" w:fill="794000"/>
          </w:tcPr>
          <w:p w:rsidR="00425510" w:rsidRPr="000A6CE9" w:rsidRDefault="00425510" w:rsidP="00080415">
            <w:pPr>
              <w:autoSpaceDE w:val="0"/>
              <w:autoSpaceDN w:val="0"/>
              <w:adjustRightInd w:val="0"/>
              <w:spacing w:after="0"/>
              <w:jc w:val="right"/>
              <w:rPr>
                <w:rFonts w:cs="Arial"/>
                <w:b/>
                <w:color w:val="FFFFFF"/>
              </w:rPr>
            </w:pPr>
            <w:r w:rsidRPr="000A6CE9">
              <w:rPr>
                <w:rFonts w:cs="Arial"/>
                <w:b/>
                <w:color w:val="FFFFFF"/>
              </w:rPr>
              <w:t>Año 4</w:t>
            </w:r>
          </w:p>
        </w:tc>
        <w:tc>
          <w:tcPr>
            <w:tcW w:w="1040" w:type="dxa"/>
            <w:shd w:val="clear" w:color="auto" w:fill="794000"/>
          </w:tcPr>
          <w:p w:rsidR="00425510" w:rsidRPr="000A6CE9" w:rsidRDefault="00425510" w:rsidP="00080415">
            <w:pPr>
              <w:autoSpaceDE w:val="0"/>
              <w:autoSpaceDN w:val="0"/>
              <w:adjustRightInd w:val="0"/>
              <w:spacing w:after="0"/>
              <w:jc w:val="right"/>
              <w:rPr>
                <w:rFonts w:cs="Arial"/>
                <w:b/>
                <w:color w:val="FFFFFF"/>
              </w:rPr>
            </w:pPr>
            <w:r w:rsidRPr="000A6CE9">
              <w:rPr>
                <w:rFonts w:cs="Arial"/>
                <w:b/>
                <w:color w:val="FFFFFF"/>
              </w:rPr>
              <w:t>Año 5</w:t>
            </w:r>
          </w:p>
        </w:tc>
      </w:tr>
      <w:tr w:rsidR="00425510" w:rsidRPr="000A6CE9">
        <w:trPr>
          <w:trHeight w:val="247"/>
          <w:jc w:val="center"/>
        </w:trPr>
        <w:tc>
          <w:tcPr>
            <w:tcW w:w="1039" w:type="dxa"/>
          </w:tcPr>
          <w:p w:rsidR="00425510" w:rsidRPr="000A6CE9" w:rsidRDefault="00425510" w:rsidP="00080415">
            <w:pPr>
              <w:autoSpaceDE w:val="0"/>
              <w:autoSpaceDN w:val="0"/>
              <w:adjustRightInd w:val="0"/>
              <w:spacing w:after="0"/>
              <w:jc w:val="right"/>
              <w:rPr>
                <w:rFonts w:cs="Arial"/>
                <w:color w:val="000000"/>
              </w:rPr>
            </w:pPr>
            <w:r w:rsidRPr="000A6CE9">
              <w:rPr>
                <w:rFonts w:cs="Arial"/>
                <w:color w:val="000000"/>
              </w:rPr>
              <w:t>12%</w:t>
            </w:r>
          </w:p>
        </w:tc>
        <w:tc>
          <w:tcPr>
            <w:tcW w:w="1040" w:type="dxa"/>
          </w:tcPr>
          <w:p w:rsidR="00425510" w:rsidRPr="000A6CE9" w:rsidRDefault="00425510" w:rsidP="00080415">
            <w:pPr>
              <w:autoSpaceDE w:val="0"/>
              <w:autoSpaceDN w:val="0"/>
              <w:adjustRightInd w:val="0"/>
              <w:spacing w:after="0"/>
              <w:jc w:val="right"/>
              <w:rPr>
                <w:rFonts w:cs="Arial"/>
                <w:color w:val="000000"/>
              </w:rPr>
            </w:pPr>
            <w:r w:rsidRPr="000A6CE9">
              <w:rPr>
                <w:rFonts w:cs="Arial"/>
                <w:color w:val="000000"/>
              </w:rPr>
              <w:t>10%</w:t>
            </w:r>
          </w:p>
        </w:tc>
        <w:tc>
          <w:tcPr>
            <w:tcW w:w="1040" w:type="dxa"/>
          </w:tcPr>
          <w:p w:rsidR="00425510" w:rsidRPr="000A6CE9" w:rsidRDefault="00425510" w:rsidP="00080415">
            <w:pPr>
              <w:autoSpaceDE w:val="0"/>
              <w:autoSpaceDN w:val="0"/>
              <w:adjustRightInd w:val="0"/>
              <w:spacing w:after="0"/>
              <w:jc w:val="right"/>
              <w:rPr>
                <w:rFonts w:cs="Arial"/>
                <w:color w:val="000000"/>
              </w:rPr>
            </w:pPr>
            <w:r w:rsidRPr="000A6CE9">
              <w:rPr>
                <w:rFonts w:cs="Arial"/>
                <w:color w:val="000000"/>
              </w:rPr>
              <w:t>7%</w:t>
            </w:r>
          </w:p>
        </w:tc>
        <w:tc>
          <w:tcPr>
            <w:tcW w:w="1040" w:type="dxa"/>
          </w:tcPr>
          <w:p w:rsidR="00425510" w:rsidRPr="000A6CE9" w:rsidRDefault="00425510" w:rsidP="00080415">
            <w:pPr>
              <w:autoSpaceDE w:val="0"/>
              <w:autoSpaceDN w:val="0"/>
              <w:adjustRightInd w:val="0"/>
              <w:spacing w:after="0"/>
              <w:jc w:val="right"/>
              <w:rPr>
                <w:rFonts w:cs="Arial"/>
                <w:color w:val="000000"/>
              </w:rPr>
            </w:pPr>
            <w:r w:rsidRPr="000A6CE9">
              <w:rPr>
                <w:rFonts w:cs="Arial"/>
                <w:color w:val="000000"/>
              </w:rPr>
              <w:t>6%</w:t>
            </w:r>
          </w:p>
        </w:tc>
        <w:tc>
          <w:tcPr>
            <w:tcW w:w="1040" w:type="dxa"/>
          </w:tcPr>
          <w:p w:rsidR="00425510" w:rsidRPr="000A6CE9" w:rsidRDefault="00425510" w:rsidP="00080415">
            <w:pPr>
              <w:autoSpaceDE w:val="0"/>
              <w:autoSpaceDN w:val="0"/>
              <w:adjustRightInd w:val="0"/>
              <w:spacing w:after="0"/>
              <w:jc w:val="right"/>
              <w:rPr>
                <w:rFonts w:cs="Arial"/>
                <w:color w:val="000000"/>
              </w:rPr>
            </w:pPr>
            <w:r w:rsidRPr="000A6CE9">
              <w:rPr>
                <w:rFonts w:cs="Arial"/>
                <w:color w:val="000000"/>
              </w:rPr>
              <w:t>5%</w:t>
            </w:r>
          </w:p>
        </w:tc>
      </w:tr>
    </w:tbl>
    <w:p w:rsidR="00425510" w:rsidRPr="000A6CE9" w:rsidRDefault="00425510" w:rsidP="00425510">
      <w:r w:rsidRPr="000A6CE9">
        <w:t>Es decir, al final del primer año, su vivienda que costó 230.000€ podría venderse por un precio un 12% superior. Y así sucesivamente se iría incrementando su valor al ritmo que marca la tabla.</w:t>
      </w:r>
    </w:p>
    <w:p w:rsidR="00425510" w:rsidRPr="000A6CE9" w:rsidRDefault="00425510" w:rsidP="00425510">
      <w:r w:rsidRPr="000A6CE9">
        <w:t>En cuanto a la financiación de toda la operación, está dispuesto a invertir hasta 70.000€ de su propio bolsillo. Para ello dispone de unos ahorros que tiene invertidos en un depósito en un banco y que le rindien un 4,5% de TAE (tasa anual equivalente). Si no se comprase la vivienda, podría seguir renovando el mismo depósito durante los 5 años en cuestión con la misma TAE.</w:t>
      </w:r>
    </w:p>
    <w:p w:rsidR="00425510" w:rsidRPr="000A6CE9" w:rsidRDefault="00425510" w:rsidP="00425510">
      <w:r w:rsidRPr="000A6CE9">
        <w:t>El resto del dinero necesario para cubrir todo el coste de la operación puede conseguirlo mediante un préstamo hipotecario a tipo de interés fijo con una TAE de 6,5%.</w:t>
      </w:r>
    </w:p>
    <w:p w:rsidR="00425510" w:rsidRPr="000A6CE9" w:rsidRDefault="00425510" w:rsidP="00425510">
      <w:r w:rsidRPr="000A6CE9">
        <w:t>En cuanto a los impuestos, después de informarse de la legislación vigente y, puesto que se trata de su primera vivienda, tiene derecho a deducir:</w:t>
      </w:r>
    </w:p>
    <w:p w:rsidR="00425510" w:rsidRPr="000A6CE9" w:rsidRDefault="00425510" w:rsidP="006438AA">
      <w:pPr>
        <w:pStyle w:val="Item"/>
      </w:pPr>
      <w:r w:rsidRPr="000A6CE9">
        <w:t>Durante los dos primeros años, el 20% de todos los capitales invertidos así como de los intereses de los capitales ajenos utilizados, con un límite de 9.015€</w:t>
      </w:r>
    </w:p>
    <w:p w:rsidR="00425510" w:rsidRPr="000A6CE9" w:rsidRDefault="00425510" w:rsidP="006438AA">
      <w:pPr>
        <w:pStyle w:val="Item"/>
      </w:pPr>
      <w:r w:rsidRPr="000A6CE9">
        <w:t>Ese porcentaje desciende al 15% para los siguientes años</w:t>
      </w:r>
    </w:p>
    <w:p w:rsidR="00425510" w:rsidRPr="000A6CE9" w:rsidRDefault="00425510" w:rsidP="006438AA">
      <w:pPr>
        <w:pStyle w:val="Item"/>
      </w:pPr>
      <w:r w:rsidRPr="000A6CE9">
        <w:t>Así pues, durante los primeros dos años podrá ahorrarse (impuestos que pagará de menos) el 20% de 9.015€ y durante los siguiente sólo podrá ahorrarse el 15% de esa cuantía.</w:t>
      </w:r>
    </w:p>
    <w:p w:rsidR="006438AA" w:rsidRDefault="006438AA" w:rsidP="00425510"/>
    <w:p w:rsidR="00425510" w:rsidRPr="000A6CE9" w:rsidRDefault="00425510" w:rsidP="00425510">
      <w:r w:rsidRPr="000A6CE9">
        <w:t>Al ponerse a analizar la inversión, la primera duda que le surge es acerca de la tasa de descuento a utilizar. Sin embargo, su asesor le explica que es el coste promedio ponderado de los capitales que utiliza para la inversión:</w:t>
      </w:r>
    </w:p>
    <w:p w:rsidR="00425510" w:rsidRPr="000A6CE9" w:rsidRDefault="00425510" w:rsidP="006438AA">
      <w:pPr>
        <w:pStyle w:val="Item"/>
      </w:pPr>
      <w:r w:rsidRPr="000A6CE9">
        <w:t>Los 70.000€ propios tienen un coste del 4,5% anual pues, al usarlos en la compra, dejará de obtener los rendimientos que el depósito producía. Sin embargo, al tratarse de un coste de oportunidad, dichos rendimientos “no percibidos” no se pueden deducir del impuesto del IRPF y, por tanto, el coste después de impuestos sigue siendo el mismo.</w:t>
      </w:r>
    </w:p>
    <w:p w:rsidR="00425510" w:rsidRPr="000A6CE9" w:rsidRDefault="00425510" w:rsidP="006438AA">
      <w:pPr>
        <w:pStyle w:val="Item"/>
      </w:pPr>
      <w:r w:rsidRPr="000A6CE9">
        <w:lastRenderedPageBreak/>
        <w:t xml:space="preserve">El resto del capital, financiado con un préstamo hipotecario, tiene un coste anual del 6,5%, pero al tratarse de un coste explícito, los intereses pueden ser deducidos del impuesto del IRPF en las cuantías que estipula </w:t>
      </w:r>
      <w:smartTag w:uri="urn:schemas-microsoft-com:office:smarttags" w:element="PersonName">
        <w:smartTagPr>
          <w:attr w:name="ProductID" w:val="la Agencia Tributaria."/>
        </w:smartTagPr>
        <w:r w:rsidRPr="000A6CE9">
          <w:t>la Agencia Tributaria.</w:t>
        </w:r>
      </w:smartTag>
      <w:r w:rsidRPr="000A6CE9">
        <w:t xml:space="preserve"> Así pues, durante los primeros dos años el inversor en realidad solo soportará el 80% de esos intereses, ya que el resto lo deducirá del impuesto sobre la renta. Durante los </w:t>
      </w:r>
      <w:r w:rsidR="000A6CE9" w:rsidRPr="000A6CE9">
        <w:t>siguientes</w:t>
      </w:r>
      <w:r w:rsidRPr="000A6CE9">
        <w:t xml:space="preserve"> años sólo asumirá el 85% ya que el porcentaje de deducción baja al 15%.</w:t>
      </w:r>
    </w:p>
    <w:p w:rsidR="00425510" w:rsidRPr="000A6CE9" w:rsidRDefault="00425510" w:rsidP="006438AA">
      <w:pPr>
        <w:pStyle w:val="Item"/>
      </w:pPr>
      <w:r w:rsidRPr="000A6CE9">
        <w:t>La tasa de descuento final a utilizar será el promedio ponderado (en función de las cantidades invertidas) de:</w:t>
      </w:r>
    </w:p>
    <w:p w:rsidR="00425510" w:rsidRPr="000A6CE9" w:rsidRDefault="00425510" w:rsidP="000A6CE9">
      <w:pPr>
        <w:pStyle w:val="Item1"/>
      </w:pPr>
      <w:r w:rsidRPr="000A6CE9">
        <w:t>el 4,5% correspondiente a los 70.000€ propios</w:t>
      </w:r>
    </w:p>
    <w:p w:rsidR="00425510" w:rsidRPr="000A6CE9" w:rsidRDefault="00425510" w:rsidP="000A6CE9">
      <w:pPr>
        <w:pStyle w:val="Item1"/>
      </w:pPr>
      <w:r w:rsidRPr="000A6CE9">
        <w:t>el 6,5% TAE del préstamo hipotecario tras descontar las deducciones del IRPF. Así pues la tasa será diferente los primeros dos años de los siguientes.</w:t>
      </w:r>
    </w:p>
    <w:p w:rsidR="00425510" w:rsidRPr="000A6CE9" w:rsidRDefault="000A6CE9" w:rsidP="00593A96">
      <w:pPr>
        <w:pStyle w:val="Ttol1"/>
      </w:pPr>
      <w:r>
        <w:t>Resolución</w:t>
      </w:r>
    </w:p>
    <w:p w:rsidR="00425510" w:rsidRPr="00593A96" w:rsidRDefault="00425510" w:rsidP="00593A96">
      <w:pPr>
        <w:pStyle w:val="Ttol2"/>
      </w:pPr>
      <w:r w:rsidRPr="00593A96">
        <w:t>Coste de la financiación</w:t>
      </w:r>
    </w:p>
    <w:p w:rsidR="00425510" w:rsidRPr="000A6CE9" w:rsidRDefault="00425510" w:rsidP="00593A96">
      <w:r w:rsidRPr="000A6CE9">
        <w:t>Valor de la compra + Gastos = 230.000 € + 8% =  248.400 €</w:t>
      </w: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38"/>
        <w:gridCol w:w="1244"/>
        <w:gridCol w:w="1366"/>
        <w:gridCol w:w="2582"/>
      </w:tblGrid>
      <w:tr w:rsidR="00425510" w:rsidRPr="000A6CE9">
        <w:trPr>
          <w:jc w:val="center"/>
        </w:trPr>
        <w:tc>
          <w:tcPr>
            <w:tcW w:w="2338" w:type="dxa"/>
            <w:shd w:val="clear" w:color="auto" w:fill="794000"/>
          </w:tcPr>
          <w:p w:rsidR="00425510" w:rsidRPr="000A6CE9" w:rsidRDefault="00425510" w:rsidP="00080415">
            <w:pPr>
              <w:spacing w:before="40" w:after="40"/>
              <w:rPr>
                <w:b/>
                <w:bCs/>
                <w:color w:val="FFFFFF"/>
              </w:rPr>
            </w:pPr>
            <w:r w:rsidRPr="000A6CE9">
              <w:rPr>
                <w:b/>
                <w:bCs/>
                <w:color w:val="FFFFFF"/>
              </w:rPr>
              <w:t>Tipo financiación</w:t>
            </w:r>
          </w:p>
        </w:tc>
        <w:tc>
          <w:tcPr>
            <w:tcW w:w="1244" w:type="dxa"/>
            <w:shd w:val="clear" w:color="auto" w:fill="794000"/>
          </w:tcPr>
          <w:p w:rsidR="00425510" w:rsidRPr="000A6CE9" w:rsidRDefault="00425510" w:rsidP="00080415">
            <w:pPr>
              <w:spacing w:before="40" w:after="40"/>
              <w:jc w:val="right"/>
              <w:rPr>
                <w:b/>
                <w:bCs/>
                <w:color w:val="FFFFFF"/>
              </w:rPr>
            </w:pPr>
            <w:r w:rsidRPr="000A6CE9">
              <w:rPr>
                <w:b/>
                <w:bCs/>
                <w:color w:val="FFFFFF"/>
              </w:rPr>
              <w:t>Cantidad</w:t>
            </w:r>
          </w:p>
        </w:tc>
        <w:tc>
          <w:tcPr>
            <w:tcW w:w="1366" w:type="dxa"/>
            <w:shd w:val="clear" w:color="auto" w:fill="794000"/>
          </w:tcPr>
          <w:p w:rsidR="00425510" w:rsidRPr="000A6CE9" w:rsidRDefault="00425510" w:rsidP="00080415">
            <w:pPr>
              <w:spacing w:before="40" w:after="40"/>
              <w:jc w:val="right"/>
              <w:rPr>
                <w:b/>
                <w:bCs/>
                <w:color w:val="FFFFFF"/>
              </w:rPr>
            </w:pPr>
            <w:r w:rsidRPr="000A6CE9">
              <w:rPr>
                <w:b/>
                <w:bCs/>
                <w:color w:val="FFFFFF"/>
              </w:rPr>
              <w:t>Proporción</w:t>
            </w:r>
          </w:p>
        </w:tc>
        <w:tc>
          <w:tcPr>
            <w:tcW w:w="2582" w:type="dxa"/>
            <w:shd w:val="clear" w:color="auto" w:fill="794000"/>
          </w:tcPr>
          <w:p w:rsidR="00425510" w:rsidRPr="000A6CE9" w:rsidRDefault="00425510" w:rsidP="00080415">
            <w:pPr>
              <w:spacing w:before="40" w:after="40"/>
              <w:jc w:val="right"/>
              <w:rPr>
                <w:b/>
                <w:bCs/>
                <w:color w:val="FFFFFF"/>
              </w:rPr>
            </w:pPr>
            <w:r w:rsidRPr="000A6CE9">
              <w:rPr>
                <w:b/>
                <w:bCs/>
                <w:color w:val="FFFFFF"/>
              </w:rPr>
              <w:t>Coste</w:t>
            </w:r>
          </w:p>
        </w:tc>
      </w:tr>
      <w:tr w:rsidR="00425510" w:rsidRPr="000A6CE9">
        <w:trPr>
          <w:jc w:val="center"/>
        </w:trPr>
        <w:tc>
          <w:tcPr>
            <w:tcW w:w="2338" w:type="dxa"/>
          </w:tcPr>
          <w:p w:rsidR="00425510" w:rsidRPr="000A6CE9" w:rsidRDefault="00425510" w:rsidP="00080415">
            <w:pPr>
              <w:spacing w:before="40" w:after="40"/>
            </w:pPr>
            <w:r w:rsidRPr="000A6CE9">
              <w:t>Propia</w:t>
            </w:r>
          </w:p>
        </w:tc>
        <w:tc>
          <w:tcPr>
            <w:tcW w:w="1244" w:type="dxa"/>
          </w:tcPr>
          <w:p w:rsidR="00425510" w:rsidRPr="000A6CE9" w:rsidRDefault="00425510" w:rsidP="00080415">
            <w:pPr>
              <w:spacing w:before="40" w:after="40"/>
              <w:jc w:val="right"/>
            </w:pPr>
            <w:r w:rsidRPr="000A6CE9">
              <w:t>70.000 €</w:t>
            </w:r>
          </w:p>
        </w:tc>
        <w:tc>
          <w:tcPr>
            <w:tcW w:w="1366" w:type="dxa"/>
          </w:tcPr>
          <w:p w:rsidR="00425510" w:rsidRPr="000A6CE9" w:rsidRDefault="00425510" w:rsidP="00080415">
            <w:pPr>
              <w:spacing w:before="40" w:after="40"/>
              <w:jc w:val="right"/>
            </w:pPr>
            <w:r w:rsidRPr="000A6CE9">
              <w:t>28,18%</w:t>
            </w:r>
          </w:p>
        </w:tc>
        <w:tc>
          <w:tcPr>
            <w:tcW w:w="2582" w:type="dxa"/>
          </w:tcPr>
          <w:p w:rsidR="00425510" w:rsidRPr="000A6CE9" w:rsidRDefault="00425510" w:rsidP="00080415">
            <w:pPr>
              <w:spacing w:before="40" w:after="40"/>
              <w:jc w:val="right"/>
            </w:pPr>
            <w:r w:rsidRPr="000A6CE9">
              <w:t>4.5%</w:t>
            </w:r>
          </w:p>
        </w:tc>
      </w:tr>
      <w:tr w:rsidR="00425510" w:rsidRPr="000A6CE9">
        <w:trPr>
          <w:jc w:val="center"/>
        </w:trPr>
        <w:tc>
          <w:tcPr>
            <w:tcW w:w="2338" w:type="dxa"/>
          </w:tcPr>
          <w:p w:rsidR="00425510" w:rsidRPr="000A6CE9" w:rsidRDefault="00425510" w:rsidP="00080415">
            <w:pPr>
              <w:spacing w:before="40" w:after="40"/>
            </w:pPr>
            <w:r w:rsidRPr="000A6CE9">
              <w:t>Hipoteca (años 1,2)</w:t>
            </w:r>
          </w:p>
        </w:tc>
        <w:tc>
          <w:tcPr>
            <w:tcW w:w="1244" w:type="dxa"/>
          </w:tcPr>
          <w:p w:rsidR="00425510" w:rsidRPr="000A6CE9" w:rsidRDefault="00425510" w:rsidP="00080415">
            <w:pPr>
              <w:spacing w:before="40" w:after="40"/>
              <w:jc w:val="right"/>
            </w:pPr>
            <w:r w:rsidRPr="000A6CE9">
              <w:t>148.400 €</w:t>
            </w:r>
          </w:p>
        </w:tc>
        <w:tc>
          <w:tcPr>
            <w:tcW w:w="1366" w:type="dxa"/>
          </w:tcPr>
          <w:p w:rsidR="00425510" w:rsidRPr="000A6CE9" w:rsidRDefault="00425510" w:rsidP="00080415">
            <w:pPr>
              <w:spacing w:before="40" w:after="40"/>
              <w:jc w:val="right"/>
            </w:pPr>
            <w:r w:rsidRPr="000A6CE9">
              <w:t>71,82%</w:t>
            </w:r>
          </w:p>
        </w:tc>
        <w:tc>
          <w:tcPr>
            <w:tcW w:w="2582" w:type="dxa"/>
          </w:tcPr>
          <w:p w:rsidR="00425510" w:rsidRPr="000A6CE9" w:rsidRDefault="00425510" w:rsidP="00080415">
            <w:pPr>
              <w:spacing w:before="40" w:after="40"/>
              <w:jc w:val="right"/>
            </w:pPr>
            <w:r w:rsidRPr="000A6CE9">
              <w:t>6.5% x 80% = 5,20%</w:t>
            </w:r>
          </w:p>
        </w:tc>
      </w:tr>
      <w:tr w:rsidR="00425510" w:rsidRPr="000A6CE9">
        <w:trPr>
          <w:jc w:val="center"/>
        </w:trPr>
        <w:tc>
          <w:tcPr>
            <w:tcW w:w="2338" w:type="dxa"/>
          </w:tcPr>
          <w:p w:rsidR="00425510" w:rsidRPr="000A6CE9" w:rsidRDefault="00425510" w:rsidP="00080415">
            <w:pPr>
              <w:spacing w:before="40" w:after="40"/>
            </w:pPr>
            <w:r w:rsidRPr="000A6CE9">
              <w:t>Hipoteca (años 3,4,5)</w:t>
            </w:r>
          </w:p>
        </w:tc>
        <w:tc>
          <w:tcPr>
            <w:tcW w:w="1244" w:type="dxa"/>
          </w:tcPr>
          <w:p w:rsidR="00425510" w:rsidRPr="000A6CE9" w:rsidRDefault="00425510" w:rsidP="00080415">
            <w:pPr>
              <w:spacing w:before="40" w:after="40"/>
              <w:jc w:val="right"/>
            </w:pPr>
            <w:r w:rsidRPr="000A6CE9">
              <w:t>148.400 €</w:t>
            </w:r>
          </w:p>
        </w:tc>
        <w:tc>
          <w:tcPr>
            <w:tcW w:w="1366" w:type="dxa"/>
          </w:tcPr>
          <w:p w:rsidR="00425510" w:rsidRPr="000A6CE9" w:rsidRDefault="00425510" w:rsidP="00080415">
            <w:pPr>
              <w:spacing w:before="40" w:after="40"/>
              <w:jc w:val="right"/>
            </w:pPr>
            <w:r w:rsidRPr="000A6CE9">
              <w:t>71,82%</w:t>
            </w:r>
          </w:p>
        </w:tc>
        <w:tc>
          <w:tcPr>
            <w:tcW w:w="2582" w:type="dxa"/>
          </w:tcPr>
          <w:p w:rsidR="00425510" w:rsidRPr="000A6CE9" w:rsidRDefault="00425510" w:rsidP="00080415">
            <w:pPr>
              <w:spacing w:before="40" w:after="40"/>
              <w:jc w:val="right"/>
            </w:pPr>
            <w:r w:rsidRPr="000A6CE9">
              <w:t xml:space="preserve">6.5% x 85% = 5,53% </w:t>
            </w:r>
          </w:p>
        </w:tc>
      </w:tr>
    </w:tbl>
    <w:p w:rsidR="00425510" w:rsidRPr="000A6CE9" w:rsidRDefault="00425510" w:rsidP="00425510"/>
    <w:p w:rsidR="00425510" w:rsidRPr="000A6CE9" w:rsidRDefault="00425510" w:rsidP="00196714">
      <w:pPr>
        <w:spacing w:after="60"/>
      </w:pPr>
      <w:r w:rsidRPr="000A6CE9">
        <w:t>Coste del capital (td) años 1 y 2 = 28,18% x 4.5% + 71,82% x 5,20% = 5,00%</w:t>
      </w:r>
    </w:p>
    <w:p w:rsidR="00425510" w:rsidRPr="000A6CE9" w:rsidRDefault="00425510" w:rsidP="00425510">
      <w:r w:rsidRPr="000A6CE9">
        <w:t>Coste del capital (td) años 3, 4 y 5 = 28,18% x 4.5% + 71,82% x 5,53% = 5,24%</w:t>
      </w:r>
    </w:p>
    <w:p w:rsidR="00425510" w:rsidRPr="000A6CE9" w:rsidRDefault="00425510" w:rsidP="00593A96">
      <w:pPr>
        <w:pStyle w:val="Ttol2"/>
      </w:pPr>
      <w:r w:rsidRPr="000A6CE9">
        <w:t>Cálculo del VAN y desarrollo del análisis de la inversión</w:t>
      </w:r>
    </w:p>
    <w:p w:rsidR="00425510" w:rsidRPr="00196714" w:rsidRDefault="00425510" w:rsidP="00196714">
      <w:pPr>
        <w:spacing w:after="60"/>
        <w:rPr>
          <w:b/>
          <w:i/>
        </w:rPr>
      </w:pPr>
      <w:r w:rsidRPr="000A6CE9">
        <w:t xml:space="preserve">Ahorro Pago Alquiler = </w:t>
      </w:r>
      <w:r w:rsidR="00196714">
        <w:tab/>
      </w:r>
      <w:r w:rsidRPr="000A6CE9">
        <w:t>900 x 12 x 1,022</w:t>
      </w:r>
      <w:r w:rsidRPr="000A6CE9">
        <w:rPr>
          <w:vertAlign w:val="superscript"/>
        </w:rPr>
        <w:t>n-1</w:t>
      </w:r>
      <w:r w:rsidRPr="000A6CE9">
        <w:t xml:space="preserve"> (siendo n el año)</w:t>
      </w:r>
      <w:r w:rsidR="00196714">
        <w:t xml:space="preserve"> </w:t>
      </w:r>
      <w:r w:rsidR="00196714">
        <w:rPr>
          <w:b/>
          <w:i/>
        </w:rPr>
        <w:t>se aplica IPC</w:t>
      </w:r>
    </w:p>
    <w:p w:rsidR="00425510" w:rsidRPr="000A6CE9" w:rsidRDefault="00425510" w:rsidP="00196714">
      <w:pPr>
        <w:spacing w:after="60"/>
      </w:pPr>
      <w:r w:rsidRPr="000A6CE9">
        <w:t xml:space="preserve">Pago Mantenimiento = </w:t>
      </w:r>
      <w:r w:rsidR="00196714">
        <w:tab/>
      </w:r>
      <w:r w:rsidRPr="000A6CE9">
        <w:t>3.900 x 1,022</w:t>
      </w:r>
      <w:r w:rsidRPr="000A6CE9">
        <w:rPr>
          <w:vertAlign w:val="superscript"/>
        </w:rPr>
        <w:t>n-1</w:t>
      </w:r>
      <w:r w:rsidRPr="000A6CE9">
        <w:t xml:space="preserve"> (siendo n el año)</w:t>
      </w:r>
      <w:r w:rsidR="00196714">
        <w:t xml:space="preserve"> </w:t>
      </w:r>
      <w:r w:rsidR="00196714">
        <w:rPr>
          <w:b/>
          <w:i/>
        </w:rPr>
        <w:t>se aplica IPC</w:t>
      </w:r>
    </w:p>
    <w:p w:rsidR="00425510" w:rsidRPr="000A6CE9" w:rsidRDefault="00425510" w:rsidP="00196714">
      <w:pPr>
        <w:spacing w:after="60"/>
      </w:pPr>
      <w:r w:rsidRPr="000A6CE9">
        <w:t>Ahorro Pago Impuestos =</w:t>
      </w:r>
      <w:r w:rsidRPr="000A6CE9">
        <w:tab/>
        <w:t>9.015 x 20% = 1.803 € (años 1 y 2)</w:t>
      </w:r>
    </w:p>
    <w:p w:rsidR="00425510" w:rsidRPr="000A6CE9" w:rsidRDefault="00196714" w:rsidP="00196714">
      <w:pPr>
        <w:spacing w:after="60"/>
      </w:pPr>
      <w:r>
        <w:tab/>
      </w:r>
      <w:r>
        <w:tab/>
      </w:r>
      <w:r>
        <w:tab/>
      </w:r>
      <w:r>
        <w:tab/>
      </w:r>
      <w:r w:rsidR="00425510" w:rsidRPr="000A6CE9">
        <w:t>9.015 x 15% = 1.352 €  (años 3, 4 y 5)</w:t>
      </w:r>
    </w:p>
    <w:p w:rsidR="00425510" w:rsidRPr="00196714" w:rsidRDefault="00425510" w:rsidP="00196714">
      <w:pPr>
        <w:ind w:left="2828" w:hanging="2828"/>
        <w:rPr>
          <w:b/>
          <w:i/>
          <w:vertAlign w:val="superscript"/>
        </w:rPr>
      </w:pPr>
      <w:r w:rsidRPr="000A6CE9">
        <w:t xml:space="preserve">Cobro de la venta = </w:t>
      </w:r>
      <w:r w:rsidR="00196714">
        <w:tab/>
      </w:r>
      <w:r w:rsidRPr="000A6CE9">
        <w:t>230.000 x 1,12 x 1,10 x 1,07 x 1,06 x 1,05 = 337.456 €</w:t>
      </w:r>
      <w:r w:rsidR="00196714">
        <w:t xml:space="preserve"> </w:t>
      </w:r>
      <w:r w:rsidR="00196714">
        <w:rPr>
          <w:b/>
          <w:i/>
        </w:rPr>
        <w:t>se aplica incremento estimado del precio de la vivienda</w:t>
      </w:r>
    </w:p>
    <w:tbl>
      <w:tblPr>
        <w:tblW w:w="9937" w:type="dxa"/>
        <w:jc w:val="center"/>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tblCellMar>
          <w:left w:w="70" w:type="dxa"/>
          <w:right w:w="70" w:type="dxa"/>
        </w:tblCellMar>
        <w:tblLook w:val="0000" w:firstRow="0" w:lastRow="0" w:firstColumn="0" w:lastColumn="0" w:noHBand="0" w:noVBand="0"/>
      </w:tblPr>
      <w:tblGrid>
        <w:gridCol w:w="2629"/>
        <w:gridCol w:w="1417"/>
        <w:gridCol w:w="1146"/>
        <w:gridCol w:w="1146"/>
        <w:gridCol w:w="1146"/>
        <w:gridCol w:w="1146"/>
        <w:gridCol w:w="1307"/>
      </w:tblGrid>
      <w:tr w:rsidR="00425510" w:rsidRPr="000A6CE9">
        <w:trPr>
          <w:jc w:val="center"/>
        </w:trPr>
        <w:tc>
          <w:tcPr>
            <w:tcW w:w="2629" w:type="dxa"/>
            <w:tcBorders>
              <w:top w:val="single" w:sz="4" w:space="0" w:color="auto"/>
              <w:bottom w:val="single" w:sz="4" w:space="0" w:color="C0C0C0"/>
              <w:right w:val="single" w:sz="4" w:space="0" w:color="C0C0C0"/>
            </w:tcBorders>
            <w:shd w:val="clear" w:color="auto" w:fill="794000"/>
          </w:tcPr>
          <w:p w:rsidR="00425510" w:rsidRPr="000A6CE9" w:rsidRDefault="00425510" w:rsidP="00196714">
            <w:pPr>
              <w:spacing w:before="0" w:after="0"/>
              <w:rPr>
                <w:b/>
                <w:bCs/>
                <w:color w:val="FFFFFF"/>
              </w:rPr>
            </w:pPr>
            <w:r w:rsidRPr="000A6CE9">
              <w:rPr>
                <w:b/>
                <w:bCs/>
                <w:color w:val="FFFFFF"/>
              </w:rPr>
              <w:t>Tipo financiación</w:t>
            </w:r>
          </w:p>
        </w:tc>
        <w:tc>
          <w:tcPr>
            <w:tcW w:w="1417" w:type="dxa"/>
            <w:tcBorders>
              <w:top w:val="single" w:sz="4" w:space="0" w:color="auto"/>
              <w:left w:val="single" w:sz="4" w:space="0" w:color="C0C0C0"/>
              <w:bottom w:val="single" w:sz="4" w:space="0" w:color="C0C0C0"/>
              <w:right w:val="single" w:sz="4" w:space="0" w:color="C0C0C0"/>
            </w:tcBorders>
            <w:shd w:val="clear" w:color="auto" w:fill="794000"/>
          </w:tcPr>
          <w:p w:rsidR="00425510" w:rsidRPr="000A6CE9" w:rsidRDefault="00425510" w:rsidP="00196714">
            <w:pPr>
              <w:spacing w:before="0" w:after="0"/>
              <w:jc w:val="right"/>
              <w:rPr>
                <w:b/>
                <w:bCs/>
                <w:color w:val="FFFFFF"/>
              </w:rPr>
            </w:pPr>
            <w:r w:rsidRPr="000A6CE9">
              <w:rPr>
                <w:b/>
                <w:bCs/>
                <w:color w:val="FFFFFF"/>
              </w:rPr>
              <w:t>0</w:t>
            </w:r>
          </w:p>
        </w:tc>
        <w:tc>
          <w:tcPr>
            <w:tcW w:w="1146" w:type="dxa"/>
            <w:tcBorders>
              <w:top w:val="single" w:sz="4" w:space="0" w:color="auto"/>
              <w:left w:val="single" w:sz="4" w:space="0" w:color="C0C0C0"/>
              <w:bottom w:val="single" w:sz="4" w:space="0" w:color="C0C0C0"/>
              <w:right w:val="single" w:sz="4" w:space="0" w:color="C0C0C0"/>
            </w:tcBorders>
            <w:shd w:val="clear" w:color="auto" w:fill="794000"/>
          </w:tcPr>
          <w:p w:rsidR="00425510" w:rsidRPr="000A6CE9" w:rsidRDefault="00425510" w:rsidP="00196714">
            <w:pPr>
              <w:spacing w:before="0" w:after="0"/>
              <w:jc w:val="right"/>
              <w:rPr>
                <w:b/>
                <w:bCs/>
                <w:color w:val="FFFFFF"/>
              </w:rPr>
            </w:pPr>
            <w:r w:rsidRPr="000A6CE9">
              <w:rPr>
                <w:b/>
                <w:bCs/>
                <w:color w:val="FFFFFF"/>
              </w:rPr>
              <w:t>1</w:t>
            </w:r>
          </w:p>
        </w:tc>
        <w:tc>
          <w:tcPr>
            <w:tcW w:w="1146" w:type="dxa"/>
            <w:tcBorders>
              <w:top w:val="single" w:sz="4" w:space="0" w:color="auto"/>
              <w:left w:val="single" w:sz="4" w:space="0" w:color="C0C0C0"/>
              <w:bottom w:val="single" w:sz="4" w:space="0" w:color="C0C0C0"/>
              <w:right w:val="single" w:sz="4" w:space="0" w:color="C0C0C0"/>
            </w:tcBorders>
            <w:shd w:val="clear" w:color="auto" w:fill="794000"/>
          </w:tcPr>
          <w:p w:rsidR="00425510" w:rsidRPr="000A6CE9" w:rsidRDefault="00425510" w:rsidP="00196714">
            <w:pPr>
              <w:spacing w:before="0" w:after="0"/>
              <w:jc w:val="right"/>
              <w:rPr>
                <w:b/>
                <w:bCs/>
                <w:color w:val="FFFFFF"/>
              </w:rPr>
            </w:pPr>
            <w:r w:rsidRPr="000A6CE9">
              <w:rPr>
                <w:b/>
                <w:bCs/>
                <w:color w:val="FFFFFF"/>
              </w:rPr>
              <w:t>2</w:t>
            </w:r>
          </w:p>
        </w:tc>
        <w:tc>
          <w:tcPr>
            <w:tcW w:w="1146" w:type="dxa"/>
            <w:tcBorders>
              <w:top w:val="single" w:sz="4" w:space="0" w:color="auto"/>
              <w:left w:val="single" w:sz="4" w:space="0" w:color="C0C0C0"/>
              <w:bottom w:val="single" w:sz="4" w:space="0" w:color="C0C0C0"/>
              <w:right w:val="single" w:sz="4" w:space="0" w:color="C0C0C0"/>
            </w:tcBorders>
            <w:shd w:val="clear" w:color="auto" w:fill="794000"/>
          </w:tcPr>
          <w:p w:rsidR="00425510" w:rsidRPr="000A6CE9" w:rsidRDefault="00425510" w:rsidP="00196714">
            <w:pPr>
              <w:spacing w:before="0" w:after="0"/>
              <w:jc w:val="right"/>
              <w:rPr>
                <w:b/>
                <w:bCs/>
                <w:color w:val="FFFFFF"/>
              </w:rPr>
            </w:pPr>
            <w:r w:rsidRPr="000A6CE9">
              <w:rPr>
                <w:b/>
                <w:bCs/>
                <w:color w:val="FFFFFF"/>
              </w:rPr>
              <w:t>3</w:t>
            </w:r>
          </w:p>
        </w:tc>
        <w:tc>
          <w:tcPr>
            <w:tcW w:w="1146" w:type="dxa"/>
            <w:tcBorders>
              <w:top w:val="single" w:sz="4" w:space="0" w:color="auto"/>
              <w:left w:val="single" w:sz="4" w:space="0" w:color="C0C0C0"/>
              <w:bottom w:val="single" w:sz="4" w:space="0" w:color="C0C0C0"/>
              <w:right w:val="single" w:sz="4" w:space="0" w:color="C0C0C0"/>
            </w:tcBorders>
            <w:shd w:val="clear" w:color="auto" w:fill="794000"/>
          </w:tcPr>
          <w:p w:rsidR="00425510" w:rsidRPr="000A6CE9" w:rsidRDefault="00425510" w:rsidP="00196714">
            <w:pPr>
              <w:spacing w:before="0" w:after="0"/>
              <w:jc w:val="right"/>
              <w:rPr>
                <w:b/>
                <w:bCs/>
                <w:color w:val="FFFFFF"/>
              </w:rPr>
            </w:pPr>
            <w:r w:rsidRPr="000A6CE9">
              <w:rPr>
                <w:b/>
                <w:bCs/>
                <w:color w:val="FFFFFF"/>
              </w:rPr>
              <w:t>4</w:t>
            </w:r>
          </w:p>
        </w:tc>
        <w:tc>
          <w:tcPr>
            <w:tcW w:w="1307" w:type="dxa"/>
            <w:tcBorders>
              <w:top w:val="single" w:sz="4" w:space="0" w:color="auto"/>
              <w:left w:val="single" w:sz="4" w:space="0" w:color="C0C0C0"/>
              <w:bottom w:val="single" w:sz="4" w:space="0" w:color="C0C0C0"/>
            </w:tcBorders>
            <w:shd w:val="clear" w:color="auto" w:fill="794000"/>
          </w:tcPr>
          <w:p w:rsidR="00425510" w:rsidRPr="000A6CE9" w:rsidRDefault="00425510" w:rsidP="00196714">
            <w:pPr>
              <w:spacing w:before="0" w:after="0"/>
              <w:jc w:val="right"/>
              <w:rPr>
                <w:b/>
                <w:bCs/>
                <w:color w:val="FFFFFF"/>
              </w:rPr>
            </w:pPr>
            <w:r w:rsidRPr="000A6CE9">
              <w:rPr>
                <w:b/>
                <w:bCs/>
                <w:color w:val="FFFFFF"/>
              </w:rPr>
              <w:t>5</w:t>
            </w:r>
          </w:p>
        </w:tc>
      </w:tr>
      <w:tr w:rsidR="00425510" w:rsidRPr="000A6CE9">
        <w:trPr>
          <w:jc w:val="center"/>
        </w:trPr>
        <w:tc>
          <w:tcPr>
            <w:tcW w:w="2629" w:type="dxa"/>
            <w:tcBorders>
              <w:top w:val="single" w:sz="4" w:space="0" w:color="C0C0C0"/>
              <w:bottom w:val="single" w:sz="4" w:space="0" w:color="C0C0C0"/>
              <w:right w:val="single" w:sz="4" w:space="0" w:color="C0C0C0"/>
            </w:tcBorders>
          </w:tcPr>
          <w:p w:rsidR="00425510" w:rsidRPr="000A6CE9" w:rsidRDefault="00425510" w:rsidP="00196714">
            <w:pPr>
              <w:spacing w:before="0" w:after="0"/>
            </w:pPr>
            <w:r w:rsidRPr="000A6CE9">
              <w:t>Pago de la compra</w:t>
            </w:r>
          </w:p>
        </w:tc>
        <w:tc>
          <w:tcPr>
            <w:tcW w:w="1417" w:type="dxa"/>
            <w:tcBorders>
              <w:top w:val="single" w:sz="4" w:space="0" w:color="C0C0C0"/>
              <w:left w:val="single" w:sz="4" w:space="0" w:color="C0C0C0"/>
              <w:bottom w:val="single" w:sz="4" w:space="0" w:color="C0C0C0"/>
              <w:right w:val="single" w:sz="4" w:space="0" w:color="C0C0C0"/>
            </w:tcBorders>
          </w:tcPr>
          <w:p w:rsidR="00425510" w:rsidRPr="000A6CE9" w:rsidRDefault="00425510" w:rsidP="00196714">
            <w:pPr>
              <w:spacing w:before="0" w:after="0"/>
              <w:jc w:val="right"/>
            </w:pPr>
            <w:r w:rsidRPr="000A6CE9">
              <w:t>-248.400 €</w:t>
            </w:r>
          </w:p>
        </w:tc>
        <w:tc>
          <w:tcPr>
            <w:tcW w:w="1146" w:type="dxa"/>
            <w:tcBorders>
              <w:top w:val="single" w:sz="4" w:space="0" w:color="C0C0C0"/>
              <w:left w:val="single" w:sz="4" w:space="0" w:color="C0C0C0"/>
              <w:bottom w:val="single" w:sz="4" w:space="0" w:color="C0C0C0"/>
              <w:right w:val="single" w:sz="4" w:space="0" w:color="C0C0C0"/>
            </w:tcBorders>
          </w:tcPr>
          <w:p w:rsidR="00425510" w:rsidRPr="000A6CE9" w:rsidRDefault="00425510" w:rsidP="00196714">
            <w:pPr>
              <w:spacing w:before="0" w:after="0"/>
              <w:jc w:val="right"/>
            </w:pPr>
          </w:p>
        </w:tc>
        <w:tc>
          <w:tcPr>
            <w:tcW w:w="1146" w:type="dxa"/>
            <w:tcBorders>
              <w:top w:val="single" w:sz="4" w:space="0" w:color="C0C0C0"/>
              <w:left w:val="single" w:sz="4" w:space="0" w:color="C0C0C0"/>
              <w:bottom w:val="single" w:sz="4" w:space="0" w:color="C0C0C0"/>
              <w:right w:val="single" w:sz="4" w:space="0" w:color="C0C0C0"/>
            </w:tcBorders>
          </w:tcPr>
          <w:p w:rsidR="00425510" w:rsidRPr="000A6CE9" w:rsidRDefault="00425510" w:rsidP="00196714">
            <w:pPr>
              <w:spacing w:before="0" w:after="0"/>
              <w:jc w:val="right"/>
            </w:pPr>
          </w:p>
        </w:tc>
        <w:tc>
          <w:tcPr>
            <w:tcW w:w="1146" w:type="dxa"/>
            <w:tcBorders>
              <w:top w:val="single" w:sz="4" w:space="0" w:color="C0C0C0"/>
              <w:left w:val="single" w:sz="4" w:space="0" w:color="C0C0C0"/>
              <w:bottom w:val="single" w:sz="4" w:space="0" w:color="C0C0C0"/>
              <w:right w:val="single" w:sz="4" w:space="0" w:color="C0C0C0"/>
            </w:tcBorders>
          </w:tcPr>
          <w:p w:rsidR="00425510" w:rsidRPr="000A6CE9" w:rsidRDefault="00425510" w:rsidP="00196714">
            <w:pPr>
              <w:spacing w:before="0" w:after="0"/>
              <w:jc w:val="right"/>
            </w:pPr>
          </w:p>
        </w:tc>
        <w:tc>
          <w:tcPr>
            <w:tcW w:w="1146" w:type="dxa"/>
            <w:tcBorders>
              <w:top w:val="single" w:sz="4" w:space="0" w:color="C0C0C0"/>
              <w:left w:val="single" w:sz="4" w:space="0" w:color="C0C0C0"/>
              <w:bottom w:val="single" w:sz="4" w:space="0" w:color="C0C0C0"/>
              <w:right w:val="single" w:sz="4" w:space="0" w:color="C0C0C0"/>
            </w:tcBorders>
          </w:tcPr>
          <w:p w:rsidR="00425510" w:rsidRPr="000A6CE9" w:rsidRDefault="00425510" w:rsidP="00196714">
            <w:pPr>
              <w:spacing w:before="0" w:after="0"/>
              <w:jc w:val="right"/>
            </w:pPr>
          </w:p>
        </w:tc>
        <w:tc>
          <w:tcPr>
            <w:tcW w:w="1307" w:type="dxa"/>
            <w:tcBorders>
              <w:top w:val="single" w:sz="4" w:space="0" w:color="C0C0C0"/>
              <w:left w:val="single" w:sz="4" w:space="0" w:color="C0C0C0"/>
              <w:bottom w:val="single" w:sz="4" w:space="0" w:color="C0C0C0"/>
            </w:tcBorders>
          </w:tcPr>
          <w:p w:rsidR="00425510" w:rsidRPr="000A6CE9" w:rsidRDefault="00425510" w:rsidP="00196714">
            <w:pPr>
              <w:spacing w:before="0" w:after="0"/>
              <w:jc w:val="right"/>
            </w:pPr>
          </w:p>
        </w:tc>
      </w:tr>
      <w:tr w:rsidR="00425510" w:rsidRPr="000A6CE9">
        <w:trPr>
          <w:jc w:val="center"/>
        </w:trPr>
        <w:tc>
          <w:tcPr>
            <w:tcW w:w="2629" w:type="dxa"/>
            <w:tcBorders>
              <w:top w:val="single" w:sz="4" w:space="0" w:color="C0C0C0"/>
              <w:bottom w:val="single" w:sz="4" w:space="0" w:color="C0C0C0"/>
              <w:right w:val="single" w:sz="4" w:space="0" w:color="C0C0C0"/>
            </w:tcBorders>
          </w:tcPr>
          <w:p w:rsidR="00425510" w:rsidRPr="000A6CE9" w:rsidRDefault="00425510" w:rsidP="00196714">
            <w:pPr>
              <w:spacing w:before="0" w:after="0"/>
            </w:pPr>
            <w:r w:rsidRPr="000A6CE9">
              <w:t>Ahorro Pago Alquiler</w:t>
            </w:r>
          </w:p>
        </w:tc>
        <w:tc>
          <w:tcPr>
            <w:tcW w:w="1417" w:type="dxa"/>
            <w:tcBorders>
              <w:top w:val="single" w:sz="4" w:space="0" w:color="C0C0C0"/>
              <w:left w:val="single" w:sz="4" w:space="0" w:color="C0C0C0"/>
              <w:bottom w:val="single" w:sz="4" w:space="0" w:color="C0C0C0"/>
              <w:right w:val="single" w:sz="4" w:space="0" w:color="C0C0C0"/>
            </w:tcBorders>
          </w:tcPr>
          <w:p w:rsidR="00425510" w:rsidRPr="000A6CE9" w:rsidRDefault="00425510" w:rsidP="00196714">
            <w:pPr>
              <w:spacing w:before="0" w:after="0"/>
              <w:jc w:val="right"/>
            </w:pPr>
          </w:p>
        </w:tc>
        <w:tc>
          <w:tcPr>
            <w:tcW w:w="1146" w:type="dxa"/>
            <w:tcBorders>
              <w:top w:val="single" w:sz="4" w:space="0" w:color="C0C0C0"/>
              <w:left w:val="single" w:sz="4" w:space="0" w:color="C0C0C0"/>
              <w:bottom w:val="single" w:sz="4" w:space="0" w:color="C0C0C0"/>
              <w:right w:val="single" w:sz="4" w:space="0" w:color="C0C0C0"/>
            </w:tcBorders>
          </w:tcPr>
          <w:p w:rsidR="00425510" w:rsidRPr="000A6CE9" w:rsidRDefault="00425510" w:rsidP="00196714">
            <w:pPr>
              <w:autoSpaceDE w:val="0"/>
              <w:autoSpaceDN w:val="0"/>
              <w:adjustRightInd w:val="0"/>
              <w:spacing w:before="0" w:after="0"/>
              <w:jc w:val="right"/>
              <w:rPr>
                <w:rFonts w:cs="Arial"/>
                <w:color w:val="000000"/>
              </w:rPr>
            </w:pPr>
            <w:r w:rsidRPr="000A6CE9">
              <w:rPr>
                <w:rFonts w:cs="Arial"/>
                <w:color w:val="000000"/>
              </w:rPr>
              <w:t xml:space="preserve">10.800 € </w:t>
            </w:r>
          </w:p>
        </w:tc>
        <w:tc>
          <w:tcPr>
            <w:tcW w:w="1146" w:type="dxa"/>
            <w:tcBorders>
              <w:top w:val="single" w:sz="4" w:space="0" w:color="C0C0C0"/>
              <w:left w:val="single" w:sz="4" w:space="0" w:color="C0C0C0"/>
              <w:bottom w:val="single" w:sz="4" w:space="0" w:color="C0C0C0"/>
              <w:right w:val="single" w:sz="4" w:space="0" w:color="C0C0C0"/>
            </w:tcBorders>
          </w:tcPr>
          <w:p w:rsidR="00425510" w:rsidRPr="000A6CE9" w:rsidRDefault="00425510" w:rsidP="00196714">
            <w:pPr>
              <w:autoSpaceDE w:val="0"/>
              <w:autoSpaceDN w:val="0"/>
              <w:adjustRightInd w:val="0"/>
              <w:spacing w:before="0" w:after="0"/>
              <w:jc w:val="right"/>
              <w:rPr>
                <w:rFonts w:cs="Arial"/>
                <w:color w:val="000000"/>
              </w:rPr>
            </w:pPr>
            <w:r w:rsidRPr="000A6CE9">
              <w:rPr>
                <w:rFonts w:cs="Arial"/>
                <w:color w:val="000000"/>
              </w:rPr>
              <w:t xml:space="preserve">11.038 € </w:t>
            </w:r>
          </w:p>
        </w:tc>
        <w:tc>
          <w:tcPr>
            <w:tcW w:w="1146" w:type="dxa"/>
            <w:tcBorders>
              <w:top w:val="single" w:sz="4" w:space="0" w:color="C0C0C0"/>
              <w:left w:val="single" w:sz="4" w:space="0" w:color="C0C0C0"/>
              <w:bottom w:val="single" w:sz="4" w:space="0" w:color="C0C0C0"/>
              <w:right w:val="single" w:sz="4" w:space="0" w:color="C0C0C0"/>
            </w:tcBorders>
          </w:tcPr>
          <w:p w:rsidR="00425510" w:rsidRPr="000A6CE9" w:rsidRDefault="00425510" w:rsidP="00196714">
            <w:pPr>
              <w:autoSpaceDE w:val="0"/>
              <w:autoSpaceDN w:val="0"/>
              <w:adjustRightInd w:val="0"/>
              <w:spacing w:before="0" w:after="0"/>
              <w:jc w:val="right"/>
              <w:rPr>
                <w:rFonts w:cs="Arial"/>
                <w:color w:val="000000"/>
              </w:rPr>
            </w:pPr>
            <w:r w:rsidRPr="000A6CE9">
              <w:rPr>
                <w:rFonts w:cs="Arial"/>
                <w:color w:val="000000"/>
              </w:rPr>
              <w:t xml:space="preserve">11.280 € </w:t>
            </w:r>
          </w:p>
        </w:tc>
        <w:tc>
          <w:tcPr>
            <w:tcW w:w="1146" w:type="dxa"/>
            <w:tcBorders>
              <w:top w:val="single" w:sz="4" w:space="0" w:color="C0C0C0"/>
              <w:left w:val="single" w:sz="4" w:space="0" w:color="C0C0C0"/>
              <w:bottom w:val="single" w:sz="4" w:space="0" w:color="C0C0C0"/>
              <w:right w:val="single" w:sz="4" w:space="0" w:color="C0C0C0"/>
            </w:tcBorders>
          </w:tcPr>
          <w:p w:rsidR="00425510" w:rsidRPr="000A6CE9" w:rsidRDefault="00425510" w:rsidP="00196714">
            <w:pPr>
              <w:autoSpaceDE w:val="0"/>
              <w:autoSpaceDN w:val="0"/>
              <w:adjustRightInd w:val="0"/>
              <w:spacing w:before="0" w:after="0"/>
              <w:jc w:val="right"/>
              <w:rPr>
                <w:rFonts w:cs="Arial"/>
                <w:color w:val="000000"/>
              </w:rPr>
            </w:pPr>
            <w:r w:rsidRPr="000A6CE9">
              <w:rPr>
                <w:rFonts w:cs="Arial"/>
                <w:color w:val="000000"/>
              </w:rPr>
              <w:t xml:space="preserve">11.529 € </w:t>
            </w:r>
          </w:p>
        </w:tc>
        <w:tc>
          <w:tcPr>
            <w:tcW w:w="1307" w:type="dxa"/>
            <w:tcBorders>
              <w:top w:val="single" w:sz="4" w:space="0" w:color="C0C0C0"/>
              <w:left w:val="single" w:sz="4" w:space="0" w:color="C0C0C0"/>
              <w:bottom w:val="single" w:sz="4" w:space="0" w:color="C0C0C0"/>
            </w:tcBorders>
          </w:tcPr>
          <w:p w:rsidR="00425510" w:rsidRPr="000A6CE9" w:rsidRDefault="00425510" w:rsidP="00196714">
            <w:pPr>
              <w:autoSpaceDE w:val="0"/>
              <w:autoSpaceDN w:val="0"/>
              <w:adjustRightInd w:val="0"/>
              <w:spacing w:before="0" w:after="0"/>
              <w:jc w:val="right"/>
              <w:rPr>
                <w:rFonts w:cs="Arial"/>
                <w:color w:val="000000"/>
              </w:rPr>
            </w:pPr>
            <w:r w:rsidRPr="000A6CE9">
              <w:rPr>
                <w:rFonts w:cs="Arial"/>
                <w:color w:val="000000"/>
              </w:rPr>
              <w:t xml:space="preserve">11.782 € </w:t>
            </w:r>
          </w:p>
        </w:tc>
      </w:tr>
      <w:tr w:rsidR="00425510" w:rsidRPr="000A6CE9">
        <w:trPr>
          <w:jc w:val="center"/>
        </w:trPr>
        <w:tc>
          <w:tcPr>
            <w:tcW w:w="2629" w:type="dxa"/>
            <w:tcBorders>
              <w:top w:val="single" w:sz="4" w:space="0" w:color="C0C0C0"/>
              <w:bottom w:val="single" w:sz="4" w:space="0" w:color="C0C0C0"/>
              <w:right w:val="single" w:sz="4" w:space="0" w:color="C0C0C0"/>
            </w:tcBorders>
          </w:tcPr>
          <w:p w:rsidR="00425510" w:rsidRPr="000A6CE9" w:rsidRDefault="00425510" w:rsidP="00196714">
            <w:pPr>
              <w:spacing w:before="0" w:after="0"/>
            </w:pPr>
            <w:r w:rsidRPr="000A6CE9">
              <w:t>Pago Mantenimiento</w:t>
            </w:r>
          </w:p>
        </w:tc>
        <w:tc>
          <w:tcPr>
            <w:tcW w:w="1417" w:type="dxa"/>
            <w:tcBorders>
              <w:top w:val="single" w:sz="4" w:space="0" w:color="C0C0C0"/>
              <w:left w:val="single" w:sz="4" w:space="0" w:color="C0C0C0"/>
              <w:bottom w:val="single" w:sz="4" w:space="0" w:color="C0C0C0"/>
              <w:right w:val="single" w:sz="4" w:space="0" w:color="C0C0C0"/>
            </w:tcBorders>
          </w:tcPr>
          <w:p w:rsidR="00425510" w:rsidRPr="000A6CE9" w:rsidRDefault="00425510" w:rsidP="00196714">
            <w:pPr>
              <w:spacing w:before="0" w:after="0"/>
              <w:jc w:val="right"/>
            </w:pPr>
          </w:p>
        </w:tc>
        <w:tc>
          <w:tcPr>
            <w:tcW w:w="1146" w:type="dxa"/>
            <w:tcBorders>
              <w:top w:val="single" w:sz="4" w:space="0" w:color="C0C0C0"/>
              <w:left w:val="single" w:sz="4" w:space="0" w:color="C0C0C0"/>
              <w:bottom w:val="single" w:sz="4" w:space="0" w:color="C0C0C0"/>
              <w:right w:val="single" w:sz="4" w:space="0" w:color="C0C0C0"/>
            </w:tcBorders>
          </w:tcPr>
          <w:p w:rsidR="00425510" w:rsidRPr="000A6CE9" w:rsidRDefault="00425510" w:rsidP="00196714">
            <w:pPr>
              <w:autoSpaceDE w:val="0"/>
              <w:autoSpaceDN w:val="0"/>
              <w:adjustRightInd w:val="0"/>
              <w:spacing w:before="0" w:after="0"/>
              <w:jc w:val="right"/>
              <w:rPr>
                <w:rFonts w:cs="Arial"/>
                <w:color w:val="000000"/>
              </w:rPr>
            </w:pPr>
            <w:r w:rsidRPr="000A6CE9">
              <w:rPr>
                <w:rFonts w:cs="Arial"/>
                <w:color w:val="000000"/>
              </w:rPr>
              <w:t xml:space="preserve">-3.900 € </w:t>
            </w:r>
          </w:p>
        </w:tc>
        <w:tc>
          <w:tcPr>
            <w:tcW w:w="1146" w:type="dxa"/>
            <w:tcBorders>
              <w:top w:val="single" w:sz="4" w:space="0" w:color="C0C0C0"/>
              <w:left w:val="single" w:sz="4" w:space="0" w:color="C0C0C0"/>
              <w:bottom w:val="single" w:sz="4" w:space="0" w:color="C0C0C0"/>
              <w:right w:val="single" w:sz="4" w:space="0" w:color="C0C0C0"/>
            </w:tcBorders>
          </w:tcPr>
          <w:p w:rsidR="00425510" w:rsidRPr="000A6CE9" w:rsidRDefault="00425510" w:rsidP="00196714">
            <w:pPr>
              <w:autoSpaceDE w:val="0"/>
              <w:autoSpaceDN w:val="0"/>
              <w:adjustRightInd w:val="0"/>
              <w:spacing w:before="0" w:after="0"/>
              <w:jc w:val="right"/>
              <w:rPr>
                <w:rFonts w:cs="Arial"/>
                <w:color w:val="000000"/>
              </w:rPr>
            </w:pPr>
            <w:r w:rsidRPr="000A6CE9">
              <w:rPr>
                <w:rFonts w:cs="Arial"/>
                <w:color w:val="000000"/>
              </w:rPr>
              <w:t xml:space="preserve">-3.986 € </w:t>
            </w:r>
          </w:p>
        </w:tc>
        <w:tc>
          <w:tcPr>
            <w:tcW w:w="1146" w:type="dxa"/>
            <w:tcBorders>
              <w:top w:val="single" w:sz="4" w:space="0" w:color="C0C0C0"/>
              <w:left w:val="single" w:sz="4" w:space="0" w:color="C0C0C0"/>
              <w:bottom w:val="single" w:sz="4" w:space="0" w:color="C0C0C0"/>
              <w:right w:val="single" w:sz="4" w:space="0" w:color="C0C0C0"/>
            </w:tcBorders>
          </w:tcPr>
          <w:p w:rsidR="00425510" w:rsidRPr="000A6CE9" w:rsidRDefault="00425510" w:rsidP="00196714">
            <w:pPr>
              <w:autoSpaceDE w:val="0"/>
              <w:autoSpaceDN w:val="0"/>
              <w:adjustRightInd w:val="0"/>
              <w:spacing w:before="0" w:after="0"/>
              <w:jc w:val="right"/>
              <w:rPr>
                <w:rFonts w:cs="Arial"/>
                <w:color w:val="000000"/>
              </w:rPr>
            </w:pPr>
            <w:r w:rsidRPr="000A6CE9">
              <w:rPr>
                <w:rFonts w:cs="Arial"/>
                <w:color w:val="000000"/>
              </w:rPr>
              <w:t xml:space="preserve">-4.073 € </w:t>
            </w:r>
          </w:p>
        </w:tc>
        <w:tc>
          <w:tcPr>
            <w:tcW w:w="1146" w:type="dxa"/>
            <w:tcBorders>
              <w:top w:val="single" w:sz="4" w:space="0" w:color="C0C0C0"/>
              <w:left w:val="single" w:sz="4" w:space="0" w:color="C0C0C0"/>
              <w:bottom w:val="single" w:sz="4" w:space="0" w:color="C0C0C0"/>
              <w:right w:val="single" w:sz="4" w:space="0" w:color="C0C0C0"/>
            </w:tcBorders>
          </w:tcPr>
          <w:p w:rsidR="00425510" w:rsidRPr="000A6CE9" w:rsidRDefault="00425510" w:rsidP="00196714">
            <w:pPr>
              <w:autoSpaceDE w:val="0"/>
              <w:autoSpaceDN w:val="0"/>
              <w:adjustRightInd w:val="0"/>
              <w:spacing w:before="0" w:after="0"/>
              <w:jc w:val="right"/>
              <w:rPr>
                <w:rFonts w:cs="Arial"/>
                <w:color w:val="000000"/>
              </w:rPr>
            </w:pPr>
            <w:r w:rsidRPr="000A6CE9">
              <w:rPr>
                <w:rFonts w:cs="Arial"/>
                <w:color w:val="000000"/>
              </w:rPr>
              <w:t xml:space="preserve">-4.163 € </w:t>
            </w:r>
          </w:p>
        </w:tc>
        <w:tc>
          <w:tcPr>
            <w:tcW w:w="1307" w:type="dxa"/>
            <w:tcBorders>
              <w:top w:val="single" w:sz="4" w:space="0" w:color="C0C0C0"/>
              <w:left w:val="single" w:sz="4" w:space="0" w:color="C0C0C0"/>
              <w:bottom w:val="single" w:sz="4" w:space="0" w:color="C0C0C0"/>
            </w:tcBorders>
          </w:tcPr>
          <w:p w:rsidR="00425510" w:rsidRPr="000A6CE9" w:rsidRDefault="00425510" w:rsidP="00196714">
            <w:pPr>
              <w:autoSpaceDE w:val="0"/>
              <w:autoSpaceDN w:val="0"/>
              <w:adjustRightInd w:val="0"/>
              <w:spacing w:before="0" w:after="0"/>
              <w:jc w:val="right"/>
              <w:rPr>
                <w:rFonts w:cs="Arial"/>
                <w:color w:val="000000"/>
              </w:rPr>
            </w:pPr>
            <w:r w:rsidRPr="000A6CE9">
              <w:rPr>
                <w:rFonts w:cs="Arial"/>
                <w:color w:val="000000"/>
              </w:rPr>
              <w:t xml:space="preserve">-4.255 € </w:t>
            </w:r>
          </w:p>
        </w:tc>
      </w:tr>
      <w:tr w:rsidR="00425510" w:rsidRPr="000A6CE9">
        <w:trPr>
          <w:jc w:val="center"/>
        </w:trPr>
        <w:tc>
          <w:tcPr>
            <w:tcW w:w="2629" w:type="dxa"/>
            <w:tcBorders>
              <w:top w:val="single" w:sz="4" w:space="0" w:color="C0C0C0"/>
              <w:bottom w:val="single" w:sz="4" w:space="0" w:color="C0C0C0"/>
              <w:right w:val="single" w:sz="4" w:space="0" w:color="C0C0C0"/>
            </w:tcBorders>
          </w:tcPr>
          <w:p w:rsidR="00425510" w:rsidRPr="000A6CE9" w:rsidRDefault="00425510" w:rsidP="00196714">
            <w:pPr>
              <w:spacing w:before="0" w:after="0"/>
            </w:pPr>
            <w:r w:rsidRPr="000A6CE9">
              <w:t>Ahorro Pago Impuestos</w:t>
            </w:r>
          </w:p>
        </w:tc>
        <w:tc>
          <w:tcPr>
            <w:tcW w:w="1417" w:type="dxa"/>
            <w:tcBorders>
              <w:top w:val="single" w:sz="4" w:space="0" w:color="C0C0C0"/>
              <w:left w:val="single" w:sz="4" w:space="0" w:color="C0C0C0"/>
              <w:bottom w:val="single" w:sz="4" w:space="0" w:color="C0C0C0"/>
              <w:right w:val="single" w:sz="4" w:space="0" w:color="C0C0C0"/>
            </w:tcBorders>
          </w:tcPr>
          <w:p w:rsidR="00425510" w:rsidRPr="000A6CE9" w:rsidRDefault="00425510" w:rsidP="00196714">
            <w:pPr>
              <w:spacing w:before="0" w:after="0"/>
              <w:jc w:val="right"/>
            </w:pPr>
          </w:p>
        </w:tc>
        <w:tc>
          <w:tcPr>
            <w:tcW w:w="1146" w:type="dxa"/>
            <w:tcBorders>
              <w:top w:val="single" w:sz="4" w:space="0" w:color="C0C0C0"/>
              <w:left w:val="single" w:sz="4" w:space="0" w:color="C0C0C0"/>
              <w:bottom w:val="single" w:sz="4" w:space="0" w:color="C0C0C0"/>
              <w:right w:val="single" w:sz="4" w:space="0" w:color="C0C0C0"/>
            </w:tcBorders>
          </w:tcPr>
          <w:p w:rsidR="00425510" w:rsidRPr="000A6CE9" w:rsidRDefault="00425510" w:rsidP="00196714">
            <w:pPr>
              <w:autoSpaceDE w:val="0"/>
              <w:autoSpaceDN w:val="0"/>
              <w:adjustRightInd w:val="0"/>
              <w:spacing w:before="0" w:after="0"/>
              <w:jc w:val="right"/>
              <w:rPr>
                <w:rFonts w:cs="Arial"/>
                <w:color w:val="000000"/>
              </w:rPr>
            </w:pPr>
            <w:r w:rsidRPr="000A6CE9">
              <w:rPr>
                <w:rFonts w:cs="Arial"/>
                <w:color w:val="000000"/>
              </w:rPr>
              <w:t xml:space="preserve">1.803 € </w:t>
            </w:r>
          </w:p>
        </w:tc>
        <w:tc>
          <w:tcPr>
            <w:tcW w:w="1146" w:type="dxa"/>
            <w:tcBorders>
              <w:top w:val="single" w:sz="4" w:space="0" w:color="C0C0C0"/>
              <w:left w:val="single" w:sz="4" w:space="0" w:color="C0C0C0"/>
              <w:bottom w:val="single" w:sz="4" w:space="0" w:color="C0C0C0"/>
              <w:right w:val="single" w:sz="4" w:space="0" w:color="C0C0C0"/>
            </w:tcBorders>
          </w:tcPr>
          <w:p w:rsidR="00425510" w:rsidRPr="000A6CE9" w:rsidRDefault="00425510" w:rsidP="00196714">
            <w:pPr>
              <w:autoSpaceDE w:val="0"/>
              <w:autoSpaceDN w:val="0"/>
              <w:adjustRightInd w:val="0"/>
              <w:spacing w:before="0" w:after="0"/>
              <w:jc w:val="right"/>
              <w:rPr>
                <w:rFonts w:cs="Arial"/>
                <w:color w:val="000000"/>
              </w:rPr>
            </w:pPr>
            <w:r w:rsidRPr="000A6CE9">
              <w:rPr>
                <w:rFonts w:cs="Arial"/>
                <w:color w:val="000000"/>
              </w:rPr>
              <w:t xml:space="preserve">1.803 € </w:t>
            </w:r>
          </w:p>
        </w:tc>
        <w:tc>
          <w:tcPr>
            <w:tcW w:w="1146" w:type="dxa"/>
            <w:tcBorders>
              <w:top w:val="single" w:sz="4" w:space="0" w:color="C0C0C0"/>
              <w:left w:val="single" w:sz="4" w:space="0" w:color="C0C0C0"/>
              <w:bottom w:val="single" w:sz="4" w:space="0" w:color="C0C0C0"/>
              <w:right w:val="single" w:sz="4" w:space="0" w:color="C0C0C0"/>
            </w:tcBorders>
          </w:tcPr>
          <w:p w:rsidR="00425510" w:rsidRPr="000A6CE9" w:rsidRDefault="00425510" w:rsidP="00196714">
            <w:pPr>
              <w:autoSpaceDE w:val="0"/>
              <w:autoSpaceDN w:val="0"/>
              <w:adjustRightInd w:val="0"/>
              <w:spacing w:before="0" w:after="0"/>
              <w:jc w:val="right"/>
              <w:rPr>
                <w:rFonts w:cs="Arial"/>
                <w:color w:val="000000"/>
              </w:rPr>
            </w:pPr>
            <w:r w:rsidRPr="000A6CE9">
              <w:rPr>
                <w:rFonts w:cs="Arial"/>
                <w:color w:val="000000"/>
              </w:rPr>
              <w:t xml:space="preserve">1.352 € </w:t>
            </w:r>
          </w:p>
        </w:tc>
        <w:tc>
          <w:tcPr>
            <w:tcW w:w="1146" w:type="dxa"/>
            <w:tcBorders>
              <w:top w:val="single" w:sz="4" w:space="0" w:color="C0C0C0"/>
              <w:left w:val="single" w:sz="4" w:space="0" w:color="C0C0C0"/>
              <w:bottom w:val="single" w:sz="4" w:space="0" w:color="C0C0C0"/>
              <w:right w:val="single" w:sz="4" w:space="0" w:color="C0C0C0"/>
            </w:tcBorders>
          </w:tcPr>
          <w:p w:rsidR="00425510" w:rsidRPr="000A6CE9" w:rsidRDefault="00425510" w:rsidP="00196714">
            <w:pPr>
              <w:autoSpaceDE w:val="0"/>
              <w:autoSpaceDN w:val="0"/>
              <w:adjustRightInd w:val="0"/>
              <w:spacing w:before="0" w:after="0"/>
              <w:jc w:val="right"/>
              <w:rPr>
                <w:rFonts w:cs="Arial"/>
                <w:color w:val="000000"/>
              </w:rPr>
            </w:pPr>
            <w:r w:rsidRPr="000A6CE9">
              <w:rPr>
                <w:rFonts w:cs="Arial"/>
                <w:color w:val="000000"/>
              </w:rPr>
              <w:t xml:space="preserve">1.352 € </w:t>
            </w:r>
          </w:p>
        </w:tc>
        <w:tc>
          <w:tcPr>
            <w:tcW w:w="1307" w:type="dxa"/>
            <w:tcBorders>
              <w:top w:val="single" w:sz="4" w:space="0" w:color="C0C0C0"/>
              <w:left w:val="single" w:sz="4" w:space="0" w:color="C0C0C0"/>
              <w:bottom w:val="single" w:sz="4" w:space="0" w:color="C0C0C0"/>
            </w:tcBorders>
          </w:tcPr>
          <w:p w:rsidR="00425510" w:rsidRPr="000A6CE9" w:rsidRDefault="00425510" w:rsidP="00196714">
            <w:pPr>
              <w:autoSpaceDE w:val="0"/>
              <w:autoSpaceDN w:val="0"/>
              <w:adjustRightInd w:val="0"/>
              <w:spacing w:before="0" w:after="0"/>
              <w:jc w:val="right"/>
              <w:rPr>
                <w:rFonts w:cs="Arial"/>
                <w:color w:val="000000"/>
              </w:rPr>
            </w:pPr>
            <w:r w:rsidRPr="000A6CE9">
              <w:rPr>
                <w:rFonts w:cs="Arial"/>
                <w:color w:val="000000"/>
              </w:rPr>
              <w:t xml:space="preserve">1.352 € </w:t>
            </w:r>
          </w:p>
        </w:tc>
      </w:tr>
      <w:tr w:rsidR="00425510" w:rsidRPr="000A6CE9">
        <w:trPr>
          <w:jc w:val="center"/>
        </w:trPr>
        <w:tc>
          <w:tcPr>
            <w:tcW w:w="2629" w:type="dxa"/>
            <w:tcBorders>
              <w:top w:val="single" w:sz="4" w:space="0" w:color="C0C0C0"/>
              <w:bottom w:val="single" w:sz="4" w:space="0" w:color="auto"/>
              <w:right w:val="single" w:sz="4" w:space="0" w:color="C0C0C0"/>
            </w:tcBorders>
          </w:tcPr>
          <w:p w:rsidR="00425510" w:rsidRPr="000A6CE9" w:rsidRDefault="00425510" w:rsidP="00196714">
            <w:pPr>
              <w:spacing w:before="0" w:after="0"/>
            </w:pPr>
            <w:r w:rsidRPr="000A6CE9">
              <w:t>Cobro de la venta</w:t>
            </w:r>
          </w:p>
        </w:tc>
        <w:tc>
          <w:tcPr>
            <w:tcW w:w="1417" w:type="dxa"/>
            <w:tcBorders>
              <w:top w:val="single" w:sz="4" w:space="0" w:color="C0C0C0"/>
              <w:left w:val="single" w:sz="4" w:space="0" w:color="C0C0C0"/>
              <w:bottom w:val="single" w:sz="4" w:space="0" w:color="auto"/>
              <w:right w:val="single" w:sz="4" w:space="0" w:color="C0C0C0"/>
            </w:tcBorders>
          </w:tcPr>
          <w:p w:rsidR="00425510" w:rsidRPr="000A6CE9" w:rsidRDefault="00425510" w:rsidP="00196714">
            <w:pPr>
              <w:spacing w:before="0" w:after="0"/>
              <w:jc w:val="right"/>
            </w:pPr>
          </w:p>
        </w:tc>
        <w:tc>
          <w:tcPr>
            <w:tcW w:w="1146" w:type="dxa"/>
            <w:tcBorders>
              <w:top w:val="single" w:sz="4" w:space="0" w:color="C0C0C0"/>
              <w:left w:val="single" w:sz="4" w:space="0" w:color="C0C0C0"/>
              <w:bottom w:val="single" w:sz="4" w:space="0" w:color="auto"/>
              <w:right w:val="single" w:sz="4" w:space="0" w:color="C0C0C0"/>
            </w:tcBorders>
          </w:tcPr>
          <w:p w:rsidR="00425510" w:rsidRPr="000A6CE9" w:rsidRDefault="00425510" w:rsidP="00196714">
            <w:pPr>
              <w:spacing w:before="0" w:after="0"/>
              <w:jc w:val="right"/>
            </w:pPr>
          </w:p>
        </w:tc>
        <w:tc>
          <w:tcPr>
            <w:tcW w:w="1146" w:type="dxa"/>
            <w:tcBorders>
              <w:top w:val="single" w:sz="4" w:space="0" w:color="C0C0C0"/>
              <w:left w:val="single" w:sz="4" w:space="0" w:color="C0C0C0"/>
              <w:bottom w:val="single" w:sz="4" w:space="0" w:color="auto"/>
              <w:right w:val="single" w:sz="4" w:space="0" w:color="C0C0C0"/>
            </w:tcBorders>
          </w:tcPr>
          <w:p w:rsidR="00425510" w:rsidRPr="000A6CE9" w:rsidRDefault="00425510" w:rsidP="00196714">
            <w:pPr>
              <w:spacing w:before="0" w:after="0"/>
              <w:jc w:val="right"/>
            </w:pPr>
          </w:p>
        </w:tc>
        <w:tc>
          <w:tcPr>
            <w:tcW w:w="1146" w:type="dxa"/>
            <w:tcBorders>
              <w:top w:val="single" w:sz="4" w:space="0" w:color="C0C0C0"/>
              <w:left w:val="single" w:sz="4" w:space="0" w:color="C0C0C0"/>
              <w:bottom w:val="single" w:sz="4" w:space="0" w:color="auto"/>
              <w:right w:val="single" w:sz="4" w:space="0" w:color="C0C0C0"/>
            </w:tcBorders>
          </w:tcPr>
          <w:p w:rsidR="00425510" w:rsidRPr="000A6CE9" w:rsidRDefault="00425510" w:rsidP="00196714">
            <w:pPr>
              <w:spacing w:before="0" w:after="0"/>
              <w:jc w:val="right"/>
            </w:pPr>
          </w:p>
        </w:tc>
        <w:tc>
          <w:tcPr>
            <w:tcW w:w="1146" w:type="dxa"/>
            <w:tcBorders>
              <w:top w:val="single" w:sz="4" w:space="0" w:color="C0C0C0"/>
              <w:left w:val="single" w:sz="4" w:space="0" w:color="C0C0C0"/>
              <w:bottom w:val="single" w:sz="4" w:space="0" w:color="auto"/>
              <w:right w:val="single" w:sz="4" w:space="0" w:color="C0C0C0"/>
            </w:tcBorders>
          </w:tcPr>
          <w:p w:rsidR="00425510" w:rsidRPr="000A6CE9" w:rsidRDefault="00425510" w:rsidP="00196714">
            <w:pPr>
              <w:spacing w:before="0" w:after="0"/>
              <w:jc w:val="right"/>
            </w:pPr>
          </w:p>
        </w:tc>
        <w:tc>
          <w:tcPr>
            <w:tcW w:w="1307" w:type="dxa"/>
            <w:tcBorders>
              <w:top w:val="single" w:sz="4" w:space="0" w:color="C0C0C0"/>
              <w:left w:val="single" w:sz="4" w:space="0" w:color="C0C0C0"/>
              <w:bottom w:val="single" w:sz="4" w:space="0" w:color="auto"/>
            </w:tcBorders>
          </w:tcPr>
          <w:p w:rsidR="00425510" w:rsidRPr="000A6CE9" w:rsidRDefault="00425510" w:rsidP="00196714">
            <w:pPr>
              <w:spacing w:before="0" w:after="0"/>
              <w:jc w:val="right"/>
            </w:pPr>
            <w:r w:rsidRPr="000A6CE9">
              <w:t>337.456 €</w:t>
            </w:r>
          </w:p>
        </w:tc>
      </w:tr>
      <w:tr w:rsidR="00425510" w:rsidRPr="000A6CE9">
        <w:trPr>
          <w:jc w:val="center"/>
        </w:trPr>
        <w:tc>
          <w:tcPr>
            <w:tcW w:w="2629" w:type="dxa"/>
            <w:tcBorders>
              <w:top w:val="single" w:sz="4" w:space="0" w:color="auto"/>
              <w:bottom w:val="single" w:sz="4" w:space="0" w:color="auto"/>
              <w:right w:val="single" w:sz="4" w:space="0" w:color="C0C0C0"/>
            </w:tcBorders>
          </w:tcPr>
          <w:p w:rsidR="00425510" w:rsidRPr="000A6CE9" w:rsidRDefault="00425510" w:rsidP="00196714">
            <w:pPr>
              <w:spacing w:before="0" w:after="0"/>
              <w:rPr>
                <w:b/>
                <w:bCs/>
              </w:rPr>
            </w:pPr>
            <w:r w:rsidRPr="000A6CE9">
              <w:rPr>
                <w:b/>
                <w:bCs/>
              </w:rPr>
              <w:t>Flujo</w:t>
            </w:r>
          </w:p>
        </w:tc>
        <w:tc>
          <w:tcPr>
            <w:tcW w:w="1417" w:type="dxa"/>
            <w:tcBorders>
              <w:top w:val="single" w:sz="4" w:space="0" w:color="auto"/>
              <w:left w:val="single" w:sz="4" w:space="0" w:color="C0C0C0"/>
              <w:bottom w:val="single" w:sz="4" w:space="0" w:color="auto"/>
              <w:right w:val="single" w:sz="4" w:space="0" w:color="C0C0C0"/>
            </w:tcBorders>
          </w:tcPr>
          <w:p w:rsidR="00425510" w:rsidRPr="000A6CE9" w:rsidRDefault="00425510" w:rsidP="00196714">
            <w:pPr>
              <w:autoSpaceDE w:val="0"/>
              <w:autoSpaceDN w:val="0"/>
              <w:adjustRightInd w:val="0"/>
              <w:spacing w:before="0" w:after="0"/>
              <w:jc w:val="right"/>
              <w:rPr>
                <w:rFonts w:cs="Arial"/>
                <w:b/>
                <w:bCs/>
                <w:color w:val="000000"/>
              </w:rPr>
            </w:pPr>
            <w:r w:rsidRPr="000A6CE9">
              <w:rPr>
                <w:rFonts w:cs="Arial"/>
                <w:b/>
                <w:bCs/>
                <w:color w:val="000000"/>
              </w:rPr>
              <w:t xml:space="preserve">-248.400 € </w:t>
            </w:r>
          </w:p>
        </w:tc>
        <w:tc>
          <w:tcPr>
            <w:tcW w:w="1146" w:type="dxa"/>
            <w:tcBorders>
              <w:top w:val="single" w:sz="4" w:space="0" w:color="auto"/>
              <w:left w:val="single" w:sz="4" w:space="0" w:color="C0C0C0"/>
              <w:bottom w:val="single" w:sz="4" w:space="0" w:color="auto"/>
              <w:right w:val="single" w:sz="4" w:space="0" w:color="C0C0C0"/>
            </w:tcBorders>
          </w:tcPr>
          <w:p w:rsidR="00425510" w:rsidRPr="000A6CE9" w:rsidRDefault="00425510" w:rsidP="00196714">
            <w:pPr>
              <w:autoSpaceDE w:val="0"/>
              <w:autoSpaceDN w:val="0"/>
              <w:adjustRightInd w:val="0"/>
              <w:spacing w:before="0" w:after="0"/>
              <w:jc w:val="right"/>
              <w:rPr>
                <w:rFonts w:cs="Arial"/>
                <w:b/>
                <w:bCs/>
                <w:color w:val="000000"/>
              </w:rPr>
            </w:pPr>
            <w:r w:rsidRPr="000A6CE9">
              <w:rPr>
                <w:rFonts w:cs="Arial"/>
                <w:b/>
                <w:bCs/>
                <w:color w:val="000000"/>
              </w:rPr>
              <w:t xml:space="preserve">8.703 € </w:t>
            </w:r>
          </w:p>
        </w:tc>
        <w:tc>
          <w:tcPr>
            <w:tcW w:w="1146" w:type="dxa"/>
            <w:tcBorders>
              <w:top w:val="single" w:sz="4" w:space="0" w:color="auto"/>
              <w:left w:val="single" w:sz="4" w:space="0" w:color="C0C0C0"/>
              <w:bottom w:val="single" w:sz="4" w:space="0" w:color="auto"/>
              <w:right w:val="single" w:sz="4" w:space="0" w:color="C0C0C0"/>
            </w:tcBorders>
          </w:tcPr>
          <w:p w:rsidR="00425510" w:rsidRPr="000A6CE9" w:rsidRDefault="00425510" w:rsidP="00196714">
            <w:pPr>
              <w:autoSpaceDE w:val="0"/>
              <w:autoSpaceDN w:val="0"/>
              <w:adjustRightInd w:val="0"/>
              <w:spacing w:before="0" w:after="0"/>
              <w:jc w:val="right"/>
              <w:rPr>
                <w:rFonts w:cs="Arial"/>
                <w:b/>
                <w:bCs/>
                <w:color w:val="000000"/>
              </w:rPr>
            </w:pPr>
            <w:r w:rsidRPr="000A6CE9">
              <w:rPr>
                <w:rFonts w:cs="Arial"/>
                <w:b/>
                <w:bCs/>
                <w:color w:val="000000"/>
              </w:rPr>
              <w:t xml:space="preserve">8.855 € </w:t>
            </w:r>
          </w:p>
        </w:tc>
        <w:tc>
          <w:tcPr>
            <w:tcW w:w="1146" w:type="dxa"/>
            <w:tcBorders>
              <w:top w:val="single" w:sz="4" w:space="0" w:color="auto"/>
              <w:left w:val="single" w:sz="4" w:space="0" w:color="C0C0C0"/>
              <w:bottom w:val="single" w:sz="4" w:space="0" w:color="auto"/>
              <w:right w:val="single" w:sz="4" w:space="0" w:color="C0C0C0"/>
            </w:tcBorders>
          </w:tcPr>
          <w:p w:rsidR="00425510" w:rsidRPr="000A6CE9" w:rsidRDefault="00425510" w:rsidP="00196714">
            <w:pPr>
              <w:autoSpaceDE w:val="0"/>
              <w:autoSpaceDN w:val="0"/>
              <w:adjustRightInd w:val="0"/>
              <w:spacing w:before="0" w:after="0"/>
              <w:jc w:val="right"/>
              <w:rPr>
                <w:rFonts w:cs="Arial"/>
                <w:b/>
                <w:bCs/>
                <w:color w:val="000000"/>
              </w:rPr>
            </w:pPr>
            <w:r w:rsidRPr="000A6CE9">
              <w:rPr>
                <w:rFonts w:cs="Arial"/>
                <w:b/>
                <w:bCs/>
                <w:color w:val="000000"/>
              </w:rPr>
              <w:t xml:space="preserve">8.559 € </w:t>
            </w:r>
          </w:p>
        </w:tc>
        <w:tc>
          <w:tcPr>
            <w:tcW w:w="1146" w:type="dxa"/>
            <w:tcBorders>
              <w:top w:val="single" w:sz="4" w:space="0" w:color="auto"/>
              <w:left w:val="single" w:sz="4" w:space="0" w:color="C0C0C0"/>
              <w:bottom w:val="single" w:sz="4" w:space="0" w:color="auto"/>
              <w:right w:val="single" w:sz="4" w:space="0" w:color="C0C0C0"/>
            </w:tcBorders>
          </w:tcPr>
          <w:p w:rsidR="00425510" w:rsidRPr="000A6CE9" w:rsidRDefault="00425510" w:rsidP="00196714">
            <w:pPr>
              <w:autoSpaceDE w:val="0"/>
              <w:autoSpaceDN w:val="0"/>
              <w:adjustRightInd w:val="0"/>
              <w:spacing w:before="0" w:after="0"/>
              <w:jc w:val="right"/>
              <w:rPr>
                <w:rFonts w:cs="Arial"/>
                <w:b/>
                <w:bCs/>
                <w:color w:val="000000"/>
              </w:rPr>
            </w:pPr>
            <w:r w:rsidRPr="000A6CE9">
              <w:rPr>
                <w:rFonts w:cs="Arial"/>
                <w:b/>
                <w:bCs/>
                <w:color w:val="000000"/>
              </w:rPr>
              <w:t xml:space="preserve">8.718 € </w:t>
            </w:r>
          </w:p>
        </w:tc>
        <w:tc>
          <w:tcPr>
            <w:tcW w:w="1307" w:type="dxa"/>
            <w:tcBorders>
              <w:top w:val="single" w:sz="4" w:space="0" w:color="auto"/>
              <w:left w:val="single" w:sz="4" w:space="0" w:color="C0C0C0"/>
              <w:bottom w:val="single" w:sz="4" w:space="0" w:color="auto"/>
            </w:tcBorders>
          </w:tcPr>
          <w:p w:rsidR="00425510" w:rsidRPr="000A6CE9" w:rsidRDefault="00425510" w:rsidP="00196714">
            <w:pPr>
              <w:autoSpaceDE w:val="0"/>
              <w:autoSpaceDN w:val="0"/>
              <w:adjustRightInd w:val="0"/>
              <w:spacing w:before="0" w:after="0"/>
              <w:jc w:val="right"/>
              <w:rPr>
                <w:rFonts w:cs="Arial"/>
                <w:b/>
                <w:bCs/>
                <w:color w:val="000000"/>
              </w:rPr>
            </w:pPr>
            <w:r w:rsidRPr="000A6CE9">
              <w:rPr>
                <w:rFonts w:cs="Arial"/>
                <w:b/>
                <w:bCs/>
                <w:color w:val="000000"/>
              </w:rPr>
              <w:t xml:space="preserve">346.336 € </w:t>
            </w:r>
          </w:p>
        </w:tc>
      </w:tr>
      <w:tr w:rsidR="00425510" w:rsidRPr="000A6CE9">
        <w:trPr>
          <w:trHeight w:val="70"/>
          <w:jc w:val="center"/>
        </w:trPr>
        <w:tc>
          <w:tcPr>
            <w:tcW w:w="2629" w:type="dxa"/>
            <w:tcBorders>
              <w:top w:val="single" w:sz="4" w:space="0" w:color="auto"/>
              <w:left w:val="nil"/>
              <w:bottom w:val="single" w:sz="6" w:space="0" w:color="auto"/>
              <w:right w:val="nil"/>
            </w:tcBorders>
          </w:tcPr>
          <w:p w:rsidR="00425510" w:rsidRPr="000A6CE9" w:rsidRDefault="00425510" w:rsidP="00196714">
            <w:pPr>
              <w:spacing w:before="0" w:after="0"/>
              <w:rPr>
                <w:sz w:val="10"/>
              </w:rPr>
            </w:pPr>
          </w:p>
        </w:tc>
        <w:tc>
          <w:tcPr>
            <w:tcW w:w="1417" w:type="dxa"/>
            <w:tcBorders>
              <w:top w:val="single" w:sz="4" w:space="0" w:color="auto"/>
              <w:left w:val="nil"/>
              <w:bottom w:val="single" w:sz="6" w:space="0" w:color="auto"/>
              <w:right w:val="nil"/>
            </w:tcBorders>
          </w:tcPr>
          <w:p w:rsidR="00425510" w:rsidRPr="000A6CE9" w:rsidRDefault="00425510" w:rsidP="00196714">
            <w:pPr>
              <w:autoSpaceDE w:val="0"/>
              <w:autoSpaceDN w:val="0"/>
              <w:adjustRightInd w:val="0"/>
              <w:spacing w:before="0" w:after="0"/>
              <w:jc w:val="right"/>
              <w:rPr>
                <w:rFonts w:cs="Arial"/>
                <w:color w:val="000000"/>
                <w:sz w:val="10"/>
              </w:rPr>
            </w:pPr>
          </w:p>
        </w:tc>
        <w:tc>
          <w:tcPr>
            <w:tcW w:w="1146" w:type="dxa"/>
            <w:tcBorders>
              <w:top w:val="single" w:sz="4" w:space="0" w:color="auto"/>
              <w:left w:val="nil"/>
              <w:bottom w:val="single" w:sz="6" w:space="0" w:color="auto"/>
              <w:right w:val="nil"/>
            </w:tcBorders>
          </w:tcPr>
          <w:p w:rsidR="00425510" w:rsidRPr="000A6CE9" w:rsidRDefault="00425510" w:rsidP="00196714">
            <w:pPr>
              <w:autoSpaceDE w:val="0"/>
              <w:autoSpaceDN w:val="0"/>
              <w:adjustRightInd w:val="0"/>
              <w:spacing w:before="0" w:after="0"/>
              <w:jc w:val="right"/>
              <w:rPr>
                <w:rFonts w:cs="Arial"/>
                <w:color w:val="000000"/>
                <w:sz w:val="10"/>
              </w:rPr>
            </w:pPr>
          </w:p>
        </w:tc>
        <w:tc>
          <w:tcPr>
            <w:tcW w:w="1146" w:type="dxa"/>
            <w:tcBorders>
              <w:top w:val="single" w:sz="4" w:space="0" w:color="auto"/>
              <w:left w:val="nil"/>
              <w:bottom w:val="single" w:sz="6" w:space="0" w:color="auto"/>
              <w:right w:val="nil"/>
            </w:tcBorders>
          </w:tcPr>
          <w:p w:rsidR="00425510" w:rsidRPr="000A6CE9" w:rsidRDefault="00425510" w:rsidP="00196714">
            <w:pPr>
              <w:autoSpaceDE w:val="0"/>
              <w:autoSpaceDN w:val="0"/>
              <w:adjustRightInd w:val="0"/>
              <w:spacing w:before="0" w:after="0"/>
              <w:jc w:val="right"/>
              <w:rPr>
                <w:rFonts w:cs="Arial"/>
                <w:color w:val="000000"/>
                <w:sz w:val="10"/>
              </w:rPr>
            </w:pPr>
          </w:p>
        </w:tc>
        <w:tc>
          <w:tcPr>
            <w:tcW w:w="1146" w:type="dxa"/>
            <w:tcBorders>
              <w:top w:val="single" w:sz="4" w:space="0" w:color="auto"/>
              <w:left w:val="nil"/>
              <w:bottom w:val="single" w:sz="6" w:space="0" w:color="auto"/>
              <w:right w:val="nil"/>
            </w:tcBorders>
          </w:tcPr>
          <w:p w:rsidR="00425510" w:rsidRPr="000A6CE9" w:rsidRDefault="00425510" w:rsidP="00196714">
            <w:pPr>
              <w:autoSpaceDE w:val="0"/>
              <w:autoSpaceDN w:val="0"/>
              <w:adjustRightInd w:val="0"/>
              <w:spacing w:before="0" w:after="0"/>
              <w:jc w:val="right"/>
              <w:rPr>
                <w:rFonts w:cs="Arial"/>
                <w:color w:val="000000"/>
                <w:sz w:val="10"/>
              </w:rPr>
            </w:pPr>
          </w:p>
        </w:tc>
        <w:tc>
          <w:tcPr>
            <w:tcW w:w="1146" w:type="dxa"/>
            <w:tcBorders>
              <w:top w:val="single" w:sz="4" w:space="0" w:color="auto"/>
              <w:left w:val="nil"/>
              <w:bottom w:val="single" w:sz="6" w:space="0" w:color="auto"/>
              <w:right w:val="nil"/>
            </w:tcBorders>
          </w:tcPr>
          <w:p w:rsidR="00425510" w:rsidRPr="000A6CE9" w:rsidRDefault="00425510" w:rsidP="00196714">
            <w:pPr>
              <w:autoSpaceDE w:val="0"/>
              <w:autoSpaceDN w:val="0"/>
              <w:adjustRightInd w:val="0"/>
              <w:spacing w:before="0" w:after="0"/>
              <w:jc w:val="right"/>
              <w:rPr>
                <w:rFonts w:cs="Arial"/>
                <w:color w:val="000000"/>
                <w:sz w:val="10"/>
              </w:rPr>
            </w:pPr>
          </w:p>
        </w:tc>
        <w:tc>
          <w:tcPr>
            <w:tcW w:w="1307" w:type="dxa"/>
            <w:tcBorders>
              <w:top w:val="single" w:sz="4" w:space="0" w:color="auto"/>
              <w:left w:val="nil"/>
              <w:bottom w:val="single" w:sz="6" w:space="0" w:color="auto"/>
              <w:right w:val="nil"/>
            </w:tcBorders>
          </w:tcPr>
          <w:p w:rsidR="00425510" w:rsidRPr="000A6CE9" w:rsidRDefault="00425510" w:rsidP="00196714">
            <w:pPr>
              <w:autoSpaceDE w:val="0"/>
              <w:autoSpaceDN w:val="0"/>
              <w:adjustRightInd w:val="0"/>
              <w:spacing w:before="0" w:after="0"/>
              <w:jc w:val="right"/>
              <w:rPr>
                <w:rFonts w:cs="Arial"/>
                <w:color w:val="000000"/>
                <w:sz w:val="10"/>
              </w:rPr>
            </w:pPr>
          </w:p>
        </w:tc>
      </w:tr>
      <w:tr w:rsidR="00425510" w:rsidRPr="000A6CE9">
        <w:trPr>
          <w:jc w:val="center"/>
        </w:trPr>
        <w:tc>
          <w:tcPr>
            <w:tcW w:w="2629" w:type="dxa"/>
            <w:tcBorders>
              <w:top w:val="single" w:sz="6" w:space="0" w:color="auto"/>
              <w:left w:val="single" w:sz="6" w:space="0" w:color="auto"/>
              <w:bottom w:val="single" w:sz="4" w:space="0" w:color="C0C0C0"/>
              <w:right w:val="single" w:sz="4" w:space="0" w:color="C0C0C0"/>
            </w:tcBorders>
          </w:tcPr>
          <w:p w:rsidR="00425510" w:rsidRPr="000A6CE9" w:rsidRDefault="00425510" w:rsidP="00196714">
            <w:pPr>
              <w:pStyle w:val="Capalera"/>
              <w:spacing w:before="0" w:after="0"/>
            </w:pPr>
            <w:r w:rsidRPr="000A6CE9">
              <w:t>td</w:t>
            </w:r>
          </w:p>
        </w:tc>
        <w:tc>
          <w:tcPr>
            <w:tcW w:w="1417" w:type="dxa"/>
            <w:tcBorders>
              <w:top w:val="single" w:sz="6" w:space="0" w:color="auto"/>
              <w:left w:val="single" w:sz="4" w:space="0" w:color="C0C0C0"/>
              <w:bottom w:val="single" w:sz="4" w:space="0" w:color="C0C0C0"/>
              <w:right w:val="single" w:sz="4" w:space="0" w:color="C0C0C0"/>
            </w:tcBorders>
          </w:tcPr>
          <w:p w:rsidR="00425510" w:rsidRPr="000A6CE9" w:rsidRDefault="00425510" w:rsidP="00196714">
            <w:pPr>
              <w:autoSpaceDE w:val="0"/>
              <w:autoSpaceDN w:val="0"/>
              <w:adjustRightInd w:val="0"/>
              <w:spacing w:before="0" w:after="0"/>
              <w:jc w:val="right"/>
              <w:rPr>
                <w:rFonts w:cs="Arial"/>
                <w:color w:val="000000"/>
              </w:rPr>
            </w:pPr>
          </w:p>
        </w:tc>
        <w:tc>
          <w:tcPr>
            <w:tcW w:w="1146" w:type="dxa"/>
            <w:tcBorders>
              <w:top w:val="single" w:sz="6" w:space="0" w:color="auto"/>
              <w:left w:val="single" w:sz="4" w:space="0" w:color="C0C0C0"/>
              <w:bottom w:val="single" w:sz="4" w:space="0" w:color="C0C0C0"/>
              <w:right w:val="single" w:sz="4" w:space="0" w:color="C0C0C0"/>
            </w:tcBorders>
          </w:tcPr>
          <w:p w:rsidR="00425510" w:rsidRPr="000A6CE9" w:rsidRDefault="00425510" w:rsidP="00196714">
            <w:pPr>
              <w:autoSpaceDE w:val="0"/>
              <w:autoSpaceDN w:val="0"/>
              <w:adjustRightInd w:val="0"/>
              <w:spacing w:before="0" w:after="0"/>
              <w:jc w:val="right"/>
              <w:rPr>
                <w:rFonts w:cs="Arial"/>
                <w:color w:val="000000"/>
              </w:rPr>
            </w:pPr>
            <w:r w:rsidRPr="000A6CE9">
              <w:rPr>
                <w:rFonts w:cs="Arial"/>
                <w:color w:val="000000"/>
              </w:rPr>
              <w:t>5,00%</w:t>
            </w:r>
          </w:p>
        </w:tc>
        <w:tc>
          <w:tcPr>
            <w:tcW w:w="1146" w:type="dxa"/>
            <w:tcBorders>
              <w:top w:val="single" w:sz="6" w:space="0" w:color="auto"/>
              <w:left w:val="single" w:sz="4" w:space="0" w:color="C0C0C0"/>
              <w:bottom w:val="single" w:sz="4" w:space="0" w:color="C0C0C0"/>
              <w:right w:val="single" w:sz="4" w:space="0" w:color="C0C0C0"/>
            </w:tcBorders>
          </w:tcPr>
          <w:p w:rsidR="00425510" w:rsidRPr="000A6CE9" w:rsidRDefault="00425510" w:rsidP="00196714">
            <w:pPr>
              <w:autoSpaceDE w:val="0"/>
              <w:autoSpaceDN w:val="0"/>
              <w:adjustRightInd w:val="0"/>
              <w:spacing w:before="0" w:after="0"/>
              <w:jc w:val="right"/>
              <w:rPr>
                <w:rFonts w:cs="Arial"/>
                <w:color w:val="000000"/>
              </w:rPr>
            </w:pPr>
            <w:r w:rsidRPr="000A6CE9">
              <w:t>5,00%</w:t>
            </w:r>
          </w:p>
        </w:tc>
        <w:tc>
          <w:tcPr>
            <w:tcW w:w="1146" w:type="dxa"/>
            <w:tcBorders>
              <w:top w:val="single" w:sz="6" w:space="0" w:color="auto"/>
              <w:left w:val="single" w:sz="4" w:space="0" w:color="C0C0C0"/>
              <w:bottom w:val="single" w:sz="4" w:space="0" w:color="C0C0C0"/>
              <w:right w:val="single" w:sz="4" w:space="0" w:color="C0C0C0"/>
            </w:tcBorders>
          </w:tcPr>
          <w:p w:rsidR="00425510" w:rsidRPr="000A6CE9" w:rsidRDefault="00425510" w:rsidP="00196714">
            <w:pPr>
              <w:autoSpaceDE w:val="0"/>
              <w:autoSpaceDN w:val="0"/>
              <w:adjustRightInd w:val="0"/>
              <w:spacing w:before="0" w:after="0"/>
              <w:jc w:val="right"/>
              <w:rPr>
                <w:rFonts w:cs="Arial"/>
                <w:color w:val="000000"/>
              </w:rPr>
            </w:pPr>
            <w:r w:rsidRPr="000A6CE9">
              <w:t>5,24%</w:t>
            </w:r>
          </w:p>
        </w:tc>
        <w:tc>
          <w:tcPr>
            <w:tcW w:w="1146" w:type="dxa"/>
            <w:tcBorders>
              <w:top w:val="single" w:sz="6" w:space="0" w:color="auto"/>
              <w:left w:val="single" w:sz="4" w:space="0" w:color="C0C0C0"/>
              <w:bottom w:val="single" w:sz="4" w:space="0" w:color="C0C0C0"/>
              <w:right w:val="single" w:sz="4" w:space="0" w:color="C0C0C0"/>
            </w:tcBorders>
          </w:tcPr>
          <w:p w:rsidR="00425510" w:rsidRPr="000A6CE9" w:rsidRDefault="00425510" w:rsidP="00196714">
            <w:pPr>
              <w:autoSpaceDE w:val="0"/>
              <w:autoSpaceDN w:val="0"/>
              <w:adjustRightInd w:val="0"/>
              <w:spacing w:before="0" w:after="0"/>
              <w:jc w:val="right"/>
              <w:rPr>
                <w:rFonts w:cs="Arial"/>
                <w:color w:val="000000"/>
              </w:rPr>
            </w:pPr>
            <w:r w:rsidRPr="000A6CE9">
              <w:t>5,24%</w:t>
            </w:r>
          </w:p>
        </w:tc>
        <w:tc>
          <w:tcPr>
            <w:tcW w:w="1307" w:type="dxa"/>
            <w:tcBorders>
              <w:top w:val="single" w:sz="6" w:space="0" w:color="auto"/>
              <w:left w:val="single" w:sz="4" w:space="0" w:color="C0C0C0"/>
              <w:bottom w:val="single" w:sz="4" w:space="0" w:color="C0C0C0"/>
              <w:right w:val="single" w:sz="6" w:space="0" w:color="auto"/>
            </w:tcBorders>
          </w:tcPr>
          <w:p w:rsidR="00425510" w:rsidRPr="000A6CE9" w:rsidRDefault="00425510" w:rsidP="00196714">
            <w:pPr>
              <w:autoSpaceDE w:val="0"/>
              <w:autoSpaceDN w:val="0"/>
              <w:adjustRightInd w:val="0"/>
              <w:spacing w:before="0" w:after="0"/>
              <w:jc w:val="right"/>
              <w:rPr>
                <w:rFonts w:cs="Arial"/>
                <w:color w:val="000000"/>
              </w:rPr>
            </w:pPr>
            <w:r w:rsidRPr="000A6CE9">
              <w:t>5,24%</w:t>
            </w:r>
          </w:p>
        </w:tc>
      </w:tr>
      <w:tr w:rsidR="00425510" w:rsidRPr="000A6CE9">
        <w:trPr>
          <w:jc w:val="center"/>
        </w:trPr>
        <w:tc>
          <w:tcPr>
            <w:tcW w:w="2629" w:type="dxa"/>
            <w:tcBorders>
              <w:top w:val="single" w:sz="4" w:space="0" w:color="C0C0C0"/>
              <w:left w:val="single" w:sz="6" w:space="0" w:color="auto"/>
              <w:bottom w:val="single" w:sz="6" w:space="0" w:color="auto"/>
              <w:right w:val="single" w:sz="4" w:space="0" w:color="C0C0C0"/>
            </w:tcBorders>
          </w:tcPr>
          <w:p w:rsidR="00425510" w:rsidRPr="000A6CE9" w:rsidRDefault="00425510" w:rsidP="00196714">
            <w:pPr>
              <w:pStyle w:val="Capalera"/>
              <w:spacing w:before="0" w:after="0"/>
            </w:pPr>
            <w:r w:rsidRPr="000A6CE9">
              <w:t>Coef, descuento</w:t>
            </w:r>
          </w:p>
        </w:tc>
        <w:tc>
          <w:tcPr>
            <w:tcW w:w="1417" w:type="dxa"/>
            <w:tcBorders>
              <w:top w:val="single" w:sz="4" w:space="0" w:color="C0C0C0"/>
              <w:left w:val="single" w:sz="4" w:space="0" w:color="C0C0C0"/>
              <w:bottom w:val="single" w:sz="6" w:space="0" w:color="auto"/>
              <w:right w:val="single" w:sz="4" w:space="0" w:color="C0C0C0"/>
            </w:tcBorders>
          </w:tcPr>
          <w:p w:rsidR="00425510" w:rsidRPr="000A6CE9" w:rsidRDefault="00425510" w:rsidP="00196714">
            <w:pPr>
              <w:autoSpaceDE w:val="0"/>
              <w:autoSpaceDN w:val="0"/>
              <w:adjustRightInd w:val="0"/>
              <w:spacing w:before="0" w:after="0"/>
              <w:jc w:val="right"/>
              <w:rPr>
                <w:rFonts w:cs="Arial"/>
                <w:color w:val="000000"/>
              </w:rPr>
            </w:pPr>
          </w:p>
        </w:tc>
        <w:tc>
          <w:tcPr>
            <w:tcW w:w="1146" w:type="dxa"/>
            <w:tcBorders>
              <w:top w:val="single" w:sz="4" w:space="0" w:color="C0C0C0"/>
              <w:left w:val="single" w:sz="4" w:space="0" w:color="C0C0C0"/>
              <w:bottom w:val="single" w:sz="6" w:space="0" w:color="auto"/>
              <w:right w:val="single" w:sz="4" w:space="0" w:color="C0C0C0"/>
            </w:tcBorders>
          </w:tcPr>
          <w:p w:rsidR="00425510" w:rsidRPr="000A6CE9" w:rsidRDefault="00425510" w:rsidP="00196714">
            <w:pPr>
              <w:autoSpaceDE w:val="0"/>
              <w:autoSpaceDN w:val="0"/>
              <w:adjustRightInd w:val="0"/>
              <w:spacing w:before="0" w:after="0"/>
              <w:jc w:val="right"/>
              <w:rPr>
                <w:rFonts w:cs="Arial"/>
                <w:color w:val="000000"/>
              </w:rPr>
            </w:pPr>
            <w:r w:rsidRPr="000A6CE9">
              <w:rPr>
                <w:rFonts w:cs="Arial"/>
                <w:color w:val="000000"/>
              </w:rPr>
              <w:t>95,2%</w:t>
            </w:r>
          </w:p>
        </w:tc>
        <w:tc>
          <w:tcPr>
            <w:tcW w:w="1146" w:type="dxa"/>
            <w:tcBorders>
              <w:top w:val="single" w:sz="4" w:space="0" w:color="C0C0C0"/>
              <w:left w:val="single" w:sz="4" w:space="0" w:color="C0C0C0"/>
              <w:bottom w:val="single" w:sz="6" w:space="0" w:color="auto"/>
              <w:right w:val="single" w:sz="4" w:space="0" w:color="C0C0C0"/>
            </w:tcBorders>
          </w:tcPr>
          <w:p w:rsidR="00425510" w:rsidRPr="000A6CE9" w:rsidRDefault="00425510" w:rsidP="00196714">
            <w:pPr>
              <w:autoSpaceDE w:val="0"/>
              <w:autoSpaceDN w:val="0"/>
              <w:adjustRightInd w:val="0"/>
              <w:spacing w:before="0" w:after="0"/>
              <w:jc w:val="right"/>
              <w:rPr>
                <w:rFonts w:cs="Arial"/>
                <w:color w:val="000000"/>
              </w:rPr>
            </w:pPr>
            <w:r w:rsidRPr="000A6CE9">
              <w:rPr>
                <w:rFonts w:cs="Arial"/>
                <w:color w:val="000000"/>
              </w:rPr>
              <w:t>90,7%</w:t>
            </w:r>
          </w:p>
        </w:tc>
        <w:tc>
          <w:tcPr>
            <w:tcW w:w="1146" w:type="dxa"/>
            <w:tcBorders>
              <w:top w:val="single" w:sz="4" w:space="0" w:color="C0C0C0"/>
              <w:left w:val="single" w:sz="4" w:space="0" w:color="C0C0C0"/>
              <w:bottom w:val="single" w:sz="6" w:space="0" w:color="auto"/>
              <w:right w:val="single" w:sz="4" w:space="0" w:color="C0C0C0"/>
            </w:tcBorders>
          </w:tcPr>
          <w:p w:rsidR="00425510" w:rsidRPr="000A6CE9" w:rsidRDefault="00425510" w:rsidP="00196714">
            <w:pPr>
              <w:autoSpaceDE w:val="0"/>
              <w:autoSpaceDN w:val="0"/>
              <w:adjustRightInd w:val="0"/>
              <w:spacing w:before="0" w:after="0"/>
              <w:jc w:val="right"/>
              <w:rPr>
                <w:rFonts w:cs="Arial"/>
                <w:color w:val="000000"/>
              </w:rPr>
            </w:pPr>
            <w:r w:rsidRPr="000A6CE9">
              <w:rPr>
                <w:rFonts w:cs="Arial"/>
                <w:color w:val="000000"/>
              </w:rPr>
              <w:t>86,2%</w:t>
            </w:r>
          </w:p>
        </w:tc>
        <w:tc>
          <w:tcPr>
            <w:tcW w:w="1146" w:type="dxa"/>
            <w:tcBorders>
              <w:top w:val="single" w:sz="4" w:space="0" w:color="C0C0C0"/>
              <w:left w:val="single" w:sz="4" w:space="0" w:color="C0C0C0"/>
              <w:bottom w:val="single" w:sz="6" w:space="0" w:color="auto"/>
              <w:right w:val="single" w:sz="4" w:space="0" w:color="C0C0C0"/>
            </w:tcBorders>
          </w:tcPr>
          <w:p w:rsidR="00425510" w:rsidRPr="000A6CE9" w:rsidRDefault="00425510" w:rsidP="00196714">
            <w:pPr>
              <w:autoSpaceDE w:val="0"/>
              <w:autoSpaceDN w:val="0"/>
              <w:adjustRightInd w:val="0"/>
              <w:spacing w:before="0" w:after="0"/>
              <w:jc w:val="right"/>
              <w:rPr>
                <w:rFonts w:cs="Arial"/>
                <w:color w:val="000000"/>
              </w:rPr>
            </w:pPr>
            <w:r w:rsidRPr="000A6CE9">
              <w:rPr>
                <w:rFonts w:cs="Arial"/>
                <w:color w:val="000000"/>
              </w:rPr>
              <w:t>81,9%</w:t>
            </w:r>
          </w:p>
        </w:tc>
        <w:tc>
          <w:tcPr>
            <w:tcW w:w="1307" w:type="dxa"/>
            <w:tcBorders>
              <w:top w:val="single" w:sz="4" w:space="0" w:color="C0C0C0"/>
              <w:left w:val="single" w:sz="4" w:space="0" w:color="C0C0C0"/>
              <w:bottom w:val="single" w:sz="6" w:space="0" w:color="auto"/>
              <w:right w:val="single" w:sz="6" w:space="0" w:color="auto"/>
            </w:tcBorders>
          </w:tcPr>
          <w:p w:rsidR="00425510" w:rsidRPr="000A6CE9" w:rsidRDefault="00425510" w:rsidP="00196714">
            <w:pPr>
              <w:autoSpaceDE w:val="0"/>
              <w:autoSpaceDN w:val="0"/>
              <w:adjustRightInd w:val="0"/>
              <w:spacing w:before="0" w:after="0"/>
              <w:jc w:val="right"/>
              <w:rPr>
                <w:rFonts w:cs="Arial"/>
                <w:color w:val="000000"/>
              </w:rPr>
            </w:pPr>
            <w:r w:rsidRPr="000A6CE9">
              <w:rPr>
                <w:rFonts w:cs="Arial"/>
                <w:color w:val="000000"/>
              </w:rPr>
              <w:t>77,8%</w:t>
            </w:r>
          </w:p>
        </w:tc>
      </w:tr>
      <w:tr w:rsidR="00425510" w:rsidRPr="000A6CE9">
        <w:trPr>
          <w:jc w:val="center"/>
        </w:trPr>
        <w:tc>
          <w:tcPr>
            <w:tcW w:w="2629" w:type="dxa"/>
            <w:tcBorders>
              <w:top w:val="single" w:sz="6" w:space="0" w:color="auto"/>
              <w:left w:val="single" w:sz="6" w:space="0" w:color="auto"/>
              <w:bottom w:val="single" w:sz="6" w:space="0" w:color="auto"/>
              <w:right w:val="single" w:sz="4" w:space="0" w:color="C0C0C0"/>
            </w:tcBorders>
          </w:tcPr>
          <w:p w:rsidR="00425510" w:rsidRPr="000A6CE9" w:rsidRDefault="00425510" w:rsidP="00196714">
            <w:pPr>
              <w:spacing w:before="0" w:after="0"/>
              <w:rPr>
                <w:b/>
                <w:bCs/>
              </w:rPr>
            </w:pPr>
            <w:r w:rsidRPr="000A6CE9">
              <w:rPr>
                <w:b/>
                <w:bCs/>
              </w:rPr>
              <w:t>Flujo descontado</w:t>
            </w:r>
          </w:p>
        </w:tc>
        <w:tc>
          <w:tcPr>
            <w:tcW w:w="1417" w:type="dxa"/>
            <w:tcBorders>
              <w:top w:val="single" w:sz="6" w:space="0" w:color="auto"/>
              <w:left w:val="single" w:sz="4" w:space="0" w:color="C0C0C0"/>
              <w:bottom w:val="single" w:sz="6" w:space="0" w:color="auto"/>
              <w:right w:val="single" w:sz="4" w:space="0" w:color="C0C0C0"/>
            </w:tcBorders>
          </w:tcPr>
          <w:p w:rsidR="00425510" w:rsidRPr="000A6CE9" w:rsidRDefault="00425510" w:rsidP="00196714">
            <w:pPr>
              <w:autoSpaceDE w:val="0"/>
              <w:autoSpaceDN w:val="0"/>
              <w:adjustRightInd w:val="0"/>
              <w:spacing w:before="0" w:after="0"/>
              <w:jc w:val="right"/>
              <w:rPr>
                <w:rFonts w:cs="Arial"/>
                <w:b/>
                <w:bCs/>
                <w:color w:val="000000"/>
              </w:rPr>
            </w:pPr>
            <w:r w:rsidRPr="000A6CE9">
              <w:rPr>
                <w:rFonts w:cs="Arial"/>
                <w:b/>
                <w:bCs/>
                <w:color w:val="000000"/>
              </w:rPr>
              <w:t xml:space="preserve">-248.400 € </w:t>
            </w:r>
          </w:p>
        </w:tc>
        <w:tc>
          <w:tcPr>
            <w:tcW w:w="1146" w:type="dxa"/>
            <w:tcBorders>
              <w:top w:val="single" w:sz="6" w:space="0" w:color="auto"/>
              <w:left w:val="single" w:sz="4" w:space="0" w:color="C0C0C0"/>
              <w:bottom w:val="single" w:sz="6" w:space="0" w:color="auto"/>
              <w:right w:val="single" w:sz="4" w:space="0" w:color="C0C0C0"/>
            </w:tcBorders>
          </w:tcPr>
          <w:p w:rsidR="00425510" w:rsidRPr="000A6CE9" w:rsidRDefault="00425510" w:rsidP="00196714">
            <w:pPr>
              <w:autoSpaceDE w:val="0"/>
              <w:autoSpaceDN w:val="0"/>
              <w:adjustRightInd w:val="0"/>
              <w:spacing w:before="0" w:after="0"/>
              <w:jc w:val="right"/>
              <w:rPr>
                <w:rFonts w:cs="Arial"/>
                <w:b/>
                <w:bCs/>
                <w:color w:val="000000"/>
              </w:rPr>
            </w:pPr>
            <w:r w:rsidRPr="000A6CE9">
              <w:rPr>
                <w:rFonts w:cs="Arial"/>
                <w:b/>
                <w:bCs/>
                <w:color w:val="000000"/>
              </w:rPr>
              <w:t xml:space="preserve">8.288 € </w:t>
            </w:r>
          </w:p>
        </w:tc>
        <w:tc>
          <w:tcPr>
            <w:tcW w:w="1146" w:type="dxa"/>
            <w:tcBorders>
              <w:top w:val="single" w:sz="6" w:space="0" w:color="auto"/>
              <w:left w:val="single" w:sz="4" w:space="0" w:color="C0C0C0"/>
              <w:bottom w:val="single" w:sz="6" w:space="0" w:color="auto"/>
              <w:right w:val="single" w:sz="4" w:space="0" w:color="C0C0C0"/>
            </w:tcBorders>
          </w:tcPr>
          <w:p w:rsidR="00425510" w:rsidRPr="000A6CE9" w:rsidRDefault="00425510" w:rsidP="00196714">
            <w:pPr>
              <w:autoSpaceDE w:val="0"/>
              <w:autoSpaceDN w:val="0"/>
              <w:adjustRightInd w:val="0"/>
              <w:spacing w:before="0" w:after="0"/>
              <w:jc w:val="right"/>
              <w:rPr>
                <w:rFonts w:cs="Arial"/>
                <w:b/>
                <w:bCs/>
                <w:color w:val="000000"/>
              </w:rPr>
            </w:pPr>
            <w:r w:rsidRPr="000A6CE9">
              <w:rPr>
                <w:rFonts w:cs="Arial"/>
                <w:b/>
                <w:bCs/>
                <w:color w:val="000000"/>
              </w:rPr>
              <w:t xml:space="preserve">8.031 € </w:t>
            </w:r>
          </w:p>
        </w:tc>
        <w:tc>
          <w:tcPr>
            <w:tcW w:w="1146" w:type="dxa"/>
            <w:tcBorders>
              <w:top w:val="single" w:sz="6" w:space="0" w:color="auto"/>
              <w:left w:val="single" w:sz="4" w:space="0" w:color="C0C0C0"/>
              <w:bottom w:val="single" w:sz="6" w:space="0" w:color="auto"/>
              <w:right w:val="single" w:sz="4" w:space="0" w:color="C0C0C0"/>
            </w:tcBorders>
          </w:tcPr>
          <w:p w:rsidR="00425510" w:rsidRPr="000A6CE9" w:rsidRDefault="00425510" w:rsidP="00196714">
            <w:pPr>
              <w:autoSpaceDE w:val="0"/>
              <w:autoSpaceDN w:val="0"/>
              <w:adjustRightInd w:val="0"/>
              <w:spacing w:before="0" w:after="0"/>
              <w:jc w:val="right"/>
              <w:rPr>
                <w:rFonts w:cs="Arial"/>
                <w:b/>
                <w:bCs/>
                <w:color w:val="000000"/>
              </w:rPr>
            </w:pPr>
            <w:r w:rsidRPr="000A6CE9">
              <w:rPr>
                <w:rFonts w:cs="Arial"/>
                <w:b/>
                <w:bCs/>
                <w:color w:val="000000"/>
              </w:rPr>
              <w:t xml:space="preserve">7.377 € </w:t>
            </w:r>
          </w:p>
        </w:tc>
        <w:tc>
          <w:tcPr>
            <w:tcW w:w="1146" w:type="dxa"/>
            <w:tcBorders>
              <w:top w:val="single" w:sz="6" w:space="0" w:color="auto"/>
              <w:left w:val="single" w:sz="4" w:space="0" w:color="C0C0C0"/>
              <w:bottom w:val="single" w:sz="6" w:space="0" w:color="auto"/>
              <w:right w:val="single" w:sz="4" w:space="0" w:color="C0C0C0"/>
            </w:tcBorders>
          </w:tcPr>
          <w:p w:rsidR="00425510" w:rsidRPr="000A6CE9" w:rsidRDefault="00425510" w:rsidP="00196714">
            <w:pPr>
              <w:autoSpaceDE w:val="0"/>
              <w:autoSpaceDN w:val="0"/>
              <w:adjustRightInd w:val="0"/>
              <w:spacing w:before="0" w:after="0"/>
              <w:jc w:val="right"/>
              <w:rPr>
                <w:rFonts w:cs="Arial"/>
                <w:b/>
                <w:bCs/>
                <w:color w:val="000000"/>
              </w:rPr>
            </w:pPr>
            <w:r w:rsidRPr="000A6CE9">
              <w:rPr>
                <w:rFonts w:cs="Arial"/>
                <w:b/>
                <w:bCs/>
                <w:color w:val="000000"/>
              </w:rPr>
              <w:t xml:space="preserve">7.140 € </w:t>
            </w:r>
          </w:p>
        </w:tc>
        <w:tc>
          <w:tcPr>
            <w:tcW w:w="1307" w:type="dxa"/>
            <w:tcBorders>
              <w:top w:val="single" w:sz="6" w:space="0" w:color="auto"/>
              <w:left w:val="single" w:sz="4" w:space="0" w:color="C0C0C0"/>
              <w:bottom w:val="single" w:sz="6" w:space="0" w:color="auto"/>
              <w:right w:val="single" w:sz="6" w:space="0" w:color="auto"/>
            </w:tcBorders>
          </w:tcPr>
          <w:p w:rsidR="00425510" w:rsidRPr="000A6CE9" w:rsidRDefault="00425510" w:rsidP="00196714">
            <w:pPr>
              <w:autoSpaceDE w:val="0"/>
              <w:autoSpaceDN w:val="0"/>
              <w:adjustRightInd w:val="0"/>
              <w:spacing w:before="0" w:after="0"/>
              <w:jc w:val="right"/>
              <w:rPr>
                <w:rFonts w:cs="Arial"/>
                <w:b/>
                <w:bCs/>
                <w:color w:val="000000"/>
              </w:rPr>
            </w:pPr>
            <w:r w:rsidRPr="000A6CE9">
              <w:rPr>
                <w:rFonts w:cs="Arial"/>
                <w:b/>
                <w:bCs/>
                <w:color w:val="000000"/>
              </w:rPr>
              <w:t xml:space="preserve">269.527 € </w:t>
            </w:r>
          </w:p>
        </w:tc>
      </w:tr>
    </w:tbl>
    <w:p w:rsidR="00425510" w:rsidRPr="000A6CE9" w:rsidRDefault="00425510" w:rsidP="00425510">
      <w:pPr>
        <w:pStyle w:val="Capalera"/>
      </w:pPr>
      <w:r w:rsidRPr="000A6CE9">
        <w:t>VAN = Suma de flujos descontados =  51.962 €</w:t>
      </w:r>
    </w:p>
    <w:p w:rsidR="00425510" w:rsidRPr="000A6CE9" w:rsidRDefault="00425510" w:rsidP="00593A96">
      <w:pPr>
        <w:pStyle w:val="Ttol3"/>
      </w:pPr>
      <w:r w:rsidRPr="000A6CE9">
        <w:lastRenderedPageBreak/>
        <w:t>Cálculo del TIR</w:t>
      </w:r>
    </w:p>
    <w:p w:rsidR="00425510" w:rsidRPr="000A6CE9" w:rsidRDefault="00425510" w:rsidP="00425510">
      <w:pPr>
        <w:pStyle w:val="Capalera"/>
      </w:pPr>
      <w:r w:rsidRPr="000A6CE9">
        <w:t xml:space="preserve">Si con una td que varía entre el 5,00% y el 5,24% (en promedio sería un 5,14%) nos da un VAN bastante positivo, </w:t>
      </w:r>
      <w:r w:rsidR="00AF4361" w:rsidRPr="000A6CE9">
        <w:t>probemos</w:t>
      </w:r>
      <w:bookmarkStart w:id="0" w:name="_GoBack"/>
      <w:bookmarkEnd w:id="0"/>
      <w:r w:rsidRPr="000A6CE9">
        <w:t xml:space="preserve"> a calcular el VAN con una td más alta (12% por ejemplo) para ver si nos da un VAN negativo y luego estimaremos por regla de tres donde puede estar el valor que hace el VAN 0 aproximadamente:</w:t>
      </w:r>
    </w:p>
    <w:p w:rsidR="00425510" w:rsidRPr="000A6CE9" w:rsidRDefault="00425510" w:rsidP="00425510">
      <w:pPr>
        <w:pStyle w:val="Capalera"/>
      </w:pPr>
      <w:r w:rsidRPr="000A6CE9">
        <w:t>VAN (12%) = -</w:t>
      </w:r>
      <w:bookmarkStart w:id="1" w:name="OLE_LINK2"/>
      <w:r w:rsidRPr="000A6CE9">
        <w:t>25.418</w:t>
      </w:r>
      <w:bookmarkEnd w:id="1"/>
    </w:p>
    <w:p w:rsidR="00425510" w:rsidRPr="000A6CE9" w:rsidRDefault="00425510" w:rsidP="00425510">
      <w:pPr>
        <w:pStyle w:val="Capalera"/>
      </w:pPr>
      <w:r w:rsidRPr="000A6CE9">
        <w:t xml:space="preserve">Una incremento de 5,14% a 12% produce una disminución del VAN de 51.962 € hasta </w:t>
      </w:r>
      <w:bookmarkStart w:id="2" w:name="OLE_LINK1"/>
      <w:r w:rsidRPr="000A6CE9">
        <w:sym w:font="Symbol" w:char="F02D"/>
      </w:r>
      <w:bookmarkEnd w:id="2"/>
      <w:r w:rsidRPr="000A6CE9">
        <w:t>25.418</w:t>
      </w:r>
    </w:p>
    <w:p w:rsidR="00425510" w:rsidRPr="000A6CE9" w:rsidRDefault="00425510" w:rsidP="00425510">
      <w:pPr>
        <w:pStyle w:val="Capalera"/>
      </w:pPr>
      <w:r w:rsidRPr="000A6CE9">
        <w:t>Es decir, un incremento de 6,86</w:t>
      </w:r>
      <w:r w:rsidR="008B0E01">
        <w:t xml:space="preserve"> puntos</w:t>
      </w:r>
      <w:r w:rsidRPr="000A6CE9">
        <w:t xml:space="preserve"> provoca una disminución de 77.380 € en el VAN</w:t>
      </w:r>
    </w:p>
    <w:p w:rsidR="00425510" w:rsidRPr="000A6CE9" w:rsidRDefault="00425510" w:rsidP="00425510">
      <w:pPr>
        <w:pStyle w:val="Capalera"/>
        <w:ind w:left="284" w:firstLine="284"/>
      </w:pPr>
      <w:r w:rsidRPr="000A6CE9">
        <w:t>6,86% x 51.962 € / 77.380 € = 4,60%</w:t>
      </w:r>
    </w:p>
    <w:p w:rsidR="00425510" w:rsidRPr="000A6CE9" w:rsidRDefault="00425510" w:rsidP="00425510">
      <w:pPr>
        <w:pStyle w:val="Capalera"/>
      </w:pPr>
      <w:r w:rsidRPr="000A6CE9">
        <w:t xml:space="preserve">Incrementando la td en 4,60% conseguiremos una disminución del VAN hasta </w:t>
      </w:r>
      <w:r w:rsidR="008B0E01">
        <w:t>cero,</w:t>
      </w:r>
      <w:r w:rsidRPr="000A6CE9">
        <w:t xml:space="preserve"> luego el TIR será = 5,14% + 4,60% = 9,75% aproximadamente (el valor exacto sería 9,45%)</w:t>
      </w:r>
    </w:p>
    <w:p w:rsidR="00425510" w:rsidRPr="000A6CE9" w:rsidRDefault="00425510" w:rsidP="00593A96">
      <w:pPr>
        <w:pStyle w:val="Ttol3"/>
      </w:pPr>
      <w:r w:rsidRPr="000A6CE9">
        <w:t>¿Cuántos euros limpios le quedan al inversor después devolver el préstamo y los intereses y recuperar los 70.000 € más los intereses que hubiese cobrado en el depósito?</w:t>
      </w:r>
    </w:p>
    <w:p w:rsidR="00425510" w:rsidRPr="000A6CE9" w:rsidRDefault="00425510" w:rsidP="00425510">
      <w:r w:rsidRPr="000A6CE9">
        <w:t>Pues 51.962 € ya que el VAN significa precisamente eso</w:t>
      </w:r>
    </w:p>
    <w:p w:rsidR="00425510" w:rsidRPr="000A6CE9" w:rsidRDefault="00425510" w:rsidP="00593A96">
      <w:pPr>
        <w:pStyle w:val="Ttol3"/>
      </w:pPr>
      <w:r w:rsidRPr="000A6CE9">
        <w:t>¿Como variaría el rendimiento por euro invertido y el riesgo si hubiese puesto menos dinero de su bolsillo</w:t>
      </w:r>
      <w:r w:rsidR="000A6CE9">
        <w:t xml:space="preserve"> y hubi</w:t>
      </w:r>
      <w:r w:rsidR="003309D1">
        <w:t>e</w:t>
      </w:r>
      <w:r w:rsidR="000A6CE9">
        <w:t>ses pedido más al banco?</w:t>
      </w:r>
    </w:p>
    <w:p w:rsidR="00425510" w:rsidRPr="000A6CE9" w:rsidRDefault="00425510" w:rsidP="00425510">
      <w:r w:rsidRPr="000A6CE9">
        <w:t>Poniendo 70.000 € de su bolsillo obtiene una rentabilidad 51.962 € =  0,74 € por euro invertido</w:t>
      </w:r>
    </w:p>
    <w:p w:rsidR="00425510" w:rsidRPr="000A6CE9" w:rsidRDefault="00425510" w:rsidP="00425510">
      <w:r w:rsidRPr="000A6CE9">
        <w:t>Si pusiese menos dinero y pidiese prestado más, la tasa de descuento subiría algo más, como mucho hasta el 5,20% ... 5,53% que nos cuesta la hipoteca (tras deducir impuestos). Es decir que el incremento de la tasa de descuento que se produce es de sólo algunas centésimas o décimas. Por tanto:</w:t>
      </w:r>
    </w:p>
    <w:p w:rsidR="00425510" w:rsidRPr="000A6CE9" w:rsidRDefault="00425510" w:rsidP="006438AA">
      <w:pPr>
        <w:pStyle w:val="Item"/>
      </w:pPr>
      <w:r w:rsidRPr="000A6CE9">
        <w:t>el VAN será un poco inferior pero muy poco</w:t>
      </w:r>
    </w:p>
    <w:p w:rsidR="00425510" w:rsidRPr="000A6CE9" w:rsidRDefault="00425510" w:rsidP="006438AA">
      <w:pPr>
        <w:pStyle w:val="Item"/>
      </w:pPr>
      <w:r w:rsidRPr="000A6CE9">
        <w:t>la cantidad propia invertida será bastante más inferior</w:t>
      </w:r>
    </w:p>
    <w:p w:rsidR="00425510" w:rsidRPr="000A6CE9" w:rsidRDefault="00425510" w:rsidP="00425510">
      <w:r w:rsidRPr="000A6CE9">
        <w:t>La rentabilidad por euro invertido aumentará considerablemente. Se obtendrá una rentabilidad algo menor en términos absolutos pero la rentabilidad relativa a la cantidad propia invertida aumentará bastante.</w:t>
      </w:r>
    </w:p>
    <w:p w:rsidR="00425510" w:rsidRPr="000A6CE9" w:rsidRDefault="00425510" w:rsidP="00425510">
      <w:r w:rsidRPr="000A6CE9">
        <w:t>En cuanto al riesgo, al tener una mayor proporción de financiación ajena, que exige una retribución fija tanto si las cosas salen bien como si salen mal, el riesgo aumentará pues si las cosas no salen tan bien (p.ej. el precio de venta disminuye) deberemos seguir pagando igualmente los mimos intereses al banco y estos, al ser mayor la proporción de deuda con el banco, también serán mayores.</w:t>
      </w:r>
    </w:p>
    <w:tbl>
      <w:tblPr>
        <w:tblW w:w="0" w:type="auto"/>
        <w:jc w:val="center"/>
        <w:tblCellMar>
          <w:left w:w="70" w:type="dxa"/>
          <w:right w:w="70" w:type="dxa"/>
        </w:tblCellMar>
        <w:tblLook w:val="0000" w:firstRow="0" w:lastRow="0" w:firstColumn="0" w:lastColumn="0" w:noHBand="0" w:noVBand="0"/>
      </w:tblPr>
      <w:tblGrid>
        <w:gridCol w:w="606"/>
        <w:gridCol w:w="1030"/>
        <w:gridCol w:w="1030"/>
        <w:gridCol w:w="1030"/>
        <w:gridCol w:w="1030"/>
        <w:gridCol w:w="1030"/>
        <w:gridCol w:w="2686"/>
      </w:tblGrid>
      <w:tr w:rsidR="00AB041E">
        <w:trPr>
          <w:trHeight w:val="322"/>
          <w:jc w:val="center"/>
        </w:trPr>
        <w:tc>
          <w:tcPr>
            <w:tcW w:w="0" w:type="auto"/>
            <w:gridSpan w:val="2"/>
            <w:vMerge w:val="restart"/>
            <w:tcBorders>
              <w:bottom w:val="single" w:sz="2" w:space="0" w:color="000000"/>
              <w:right w:val="single" w:sz="2" w:space="0" w:color="000000"/>
            </w:tcBorders>
            <w:vAlign w:val="center"/>
          </w:tcPr>
          <w:p w:rsidR="00AB041E" w:rsidRDefault="00AB041E">
            <w:pPr>
              <w:autoSpaceDE w:val="0"/>
              <w:autoSpaceDN w:val="0"/>
              <w:adjustRightInd w:val="0"/>
              <w:spacing w:before="0" w:after="0"/>
              <w:jc w:val="right"/>
              <w:rPr>
                <w:rFonts w:ascii="Arial" w:hAnsi="Arial" w:cs="Arial"/>
                <w:color w:val="000000"/>
              </w:rPr>
            </w:pPr>
          </w:p>
        </w:tc>
        <w:tc>
          <w:tcPr>
            <w:tcW w:w="0" w:type="auto"/>
            <w:gridSpan w:val="4"/>
            <w:tcBorders>
              <w:top w:val="single" w:sz="2" w:space="0" w:color="000000"/>
              <w:left w:val="single" w:sz="2" w:space="0" w:color="000000"/>
              <w:bottom w:val="single" w:sz="2" w:space="0" w:color="000000"/>
              <w:right w:val="single" w:sz="2" w:space="0" w:color="000000"/>
            </w:tcBorders>
            <w:vAlign w:val="center"/>
          </w:tcPr>
          <w:p w:rsidR="00AB041E" w:rsidRDefault="00AB041E" w:rsidP="001870FB">
            <w:pPr>
              <w:autoSpaceDE w:val="0"/>
              <w:autoSpaceDN w:val="0"/>
              <w:adjustRightInd w:val="0"/>
              <w:spacing w:before="0" w:after="0"/>
              <w:jc w:val="center"/>
              <w:rPr>
                <w:rFonts w:ascii="Arial" w:hAnsi="Arial" w:cs="Arial"/>
                <w:b/>
                <w:bCs/>
                <w:color w:val="000000"/>
              </w:rPr>
            </w:pPr>
            <w:r>
              <w:rPr>
                <w:rFonts w:ascii="Arial" w:hAnsi="Arial" w:cs="Arial"/>
                <w:b/>
                <w:bCs/>
                <w:color w:val="000000"/>
              </w:rPr>
              <w:t>Precio de venta</w:t>
            </w:r>
          </w:p>
        </w:tc>
        <w:tc>
          <w:tcPr>
            <w:tcW w:w="0" w:type="auto"/>
            <w:tcBorders>
              <w:left w:val="single" w:sz="2" w:space="0" w:color="000000"/>
            </w:tcBorders>
            <w:shd w:val="clear" w:color="auto" w:fill="auto"/>
          </w:tcPr>
          <w:p w:rsidR="00AB041E" w:rsidRDefault="00AB041E" w:rsidP="001870FB">
            <w:pPr>
              <w:autoSpaceDE w:val="0"/>
              <w:autoSpaceDN w:val="0"/>
              <w:adjustRightInd w:val="0"/>
              <w:spacing w:before="0" w:after="0"/>
              <w:jc w:val="center"/>
              <w:rPr>
                <w:rFonts w:ascii="Arial" w:hAnsi="Arial" w:cs="Arial"/>
                <w:b/>
                <w:bCs/>
                <w:color w:val="000000"/>
              </w:rPr>
            </w:pPr>
          </w:p>
        </w:tc>
      </w:tr>
      <w:tr w:rsidR="00AB041E">
        <w:trPr>
          <w:trHeight w:val="322"/>
          <w:jc w:val="center"/>
        </w:trPr>
        <w:tc>
          <w:tcPr>
            <w:tcW w:w="0" w:type="auto"/>
            <w:gridSpan w:val="2"/>
            <w:vMerge/>
            <w:tcBorders>
              <w:top w:val="single" w:sz="2" w:space="0" w:color="000000"/>
              <w:bottom w:val="single" w:sz="2" w:space="0" w:color="000000"/>
              <w:right w:val="single" w:sz="2" w:space="0" w:color="000000"/>
            </w:tcBorders>
            <w:vAlign w:val="center"/>
          </w:tcPr>
          <w:p w:rsidR="00AB041E" w:rsidRDefault="00AB041E">
            <w:pPr>
              <w:autoSpaceDE w:val="0"/>
              <w:autoSpaceDN w:val="0"/>
              <w:adjustRightInd w:val="0"/>
              <w:spacing w:before="0" w:after="0"/>
              <w:jc w:val="right"/>
              <w:rPr>
                <w:rFonts w:ascii="Arial" w:hAnsi="Arial" w:cs="Arial"/>
                <w:color w:val="000000"/>
              </w:rPr>
            </w:pPr>
          </w:p>
        </w:tc>
        <w:tc>
          <w:tcPr>
            <w:tcW w:w="0" w:type="auto"/>
            <w:tcBorders>
              <w:top w:val="single" w:sz="2" w:space="0" w:color="000000"/>
              <w:left w:val="single" w:sz="2" w:space="0" w:color="000000"/>
              <w:bottom w:val="single" w:sz="2" w:space="0" w:color="000000"/>
              <w:right w:val="single" w:sz="2" w:space="0" w:color="000000"/>
            </w:tcBorders>
            <w:shd w:val="clear" w:color="auto" w:fill="794000"/>
            <w:vAlign w:val="center"/>
          </w:tcPr>
          <w:p w:rsidR="00AB041E" w:rsidRDefault="00AB041E">
            <w:pPr>
              <w:autoSpaceDE w:val="0"/>
              <w:autoSpaceDN w:val="0"/>
              <w:adjustRightInd w:val="0"/>
              <w:spacing w:before="0" w:after="0"/>
              <w:jc w:val="right"/>
              <w:rPr>
                <w:rFonts w:ascii="Arial" w:hAnsi="Arial" w:cs="Arial"/>
                <w:color w:val="FFFFFF"/>
              </w:rPr>
            </w:pPr>
            <w:r>
              <w:rPr>
                <w:rFonts w:ascii="Arial" w:hAnsi="Arial" w:cs="Arial"/>
                <w:color w:val="FFFFFF"/>
              </w:rPr>
              <w:t xml:space="preserve">337.456 € </w:t>
            </w:r>
          </w:p>
        </w:tc>
        <w:tc>
          <w:tcPr>
            <w:tcW w:w="0" w:type="auto"/>
            <w:tcBorders>
              <w:top w:val="single" w:sz="2" w:space="0" w:color="000000"/>
              <w:left w:val="single" w:sz="2" w:space="0" w:color="000000"/>
              <w:bottom w:val="single" w:sz="2" w:space="0" w:color="000000"/>
              <w:right w:val="single" w:sz="2" w:space="0" w:color="000000"/>
            </w:tcBorders>
            <w:shd w:val="clear" w:color="auto" w:fill="794000"/>
            <w:vAlign w:val="center"/>
          </w:tcPr>
          <w:p w:rsidR="00AB041E" w:rsidRDefault="00AB041E" w:rsidP="00080415">
            <w:pPr>
              <w:autoSpaceDE w:val="0"/>
              <w:autoSpaceDN w:val="0"/>
              <w:adjustRightInd w:val="0"/>
              <w:spacing w:before="0" w:after="0"/>
              <w:jc w:val="right"/>
              <w:rPr>
                <w:rFonts w:ascii="Arial" w:hAnsi="Arial" w:cs="Arial"/>
                <w:color w:val="FFFFFF"/>
              </w:rPr>
            </w:pPr>
            <w:r>
              <w:rPr>
                <w:rFonts w:ascii="Arial" w:hAnsi="Arial" w:cs="Arial"/>
                <w:color w:val="FFFFFF"/>
              </w:rPr>
              <w:t xml:space="preserve">310.000 € </w:t>
            </w:r>
          </w:p>
        </w:tc>
        <w:tc>
          <w:tcPr>
            <w:tcW w:w="0" w:type="auto"/>
            <w:tcBorders>
              <w:top w:val="single" w:sz="2" w:space="0" w:color="000000"/>
              <w:left w:val="single" w:sz="2" w:space="0" w:color="000000"/>
              <w:bottom w:val="single" w:sz="2" w:space="0" w:color="000000"/>
              <w:right w:val="single" w:sz="2" w:space="0" w:color="000000"/>
            </w:tcBorders>
            <w:shd w:val="clear" w:color="auto" w:fill="794000"/>
            <w:vAlign w:val="center"/>
          </w:tcPr>
          <w:p w:rsidR="00AB041E" w:rsidRDefault="00AB041E" w:rsidP="00080415">
            <w:pPr>
              <w:autoSpaceDE w:val="0"/>
              <w:autoSpaceDN w:val="0"/>
              <w:adjustRightInd w:val="0"/>
              <w:spacing w:before="0" w:after="0"/>
              <w:jc w:val="right"/>
              <w:rPr>
                <w:rFonts w:ascii="Arial" w:hAnsi="Arial" w:cs="Arial"/>
                <w:color w:val="FFFFFF"/>
              </w:rPr>
            </w:pPr>
            <w:r>
              <w:rPr>
                <w:rFonts w:ascii="Arial" w:hAnsi="Arial" w:cs="Arial"/>
                <w:color w:val="FFFFFF"/>
              </w:rPr>
              <w:t xml:space="preserve">280.000 € </w:t>
            </w:r>
          </w:p>
        </w:tc>
        <w:tc>
          <w:tcPr>
            <w:tcW w:w="0" w:type="auto"/>
            <w:tcBorders>
              <w:top w:val="single" w:sz="2" w:space="0" w:color="000000"/>
              <w:left w:val="single" w:sz="2" w:space="0" w:color="000000"/>
              <w:bottom w:val="single" w:sz="2" w:space="0" w:color="000000"/>
              <w:right w:val="single" w:sz="2" w:space="0" w:color="000000"/>
            </w:tcBorders>
            <w:shd w:val="clear" w:color="auto" w:fill="794000"/>
            <w:vAlign w:val="center"/>
          </w:tcPr>
          <w:p w:rsidR="00AB041E" w:rsidRDefault="00AB041E" w:rsidP="00080415">
            <w:pPr>
              <w:autoSpaceDE w:val="0"/>
              <w:autoSpaceDN w:val="0"/>
              <w:adjustRightInd w:val="0"/>
              <w:spacing w:before="0" w:after="0"/>
              <w:jc w:val="right"/>
              <w:rPr>
                <w:rFonts w:ascii="Arial" w:hAnsi="Arial" w:cs="Arial"/>
                <w:color w:val="FFFFFF"/>
              </w:rPr>
            </w:pPr>
            <w:r>
              <w:rPr>
                <w:rFonts w:ascii="Arial" w:hAnsi="Arial" w:cs="Arial"/>
                <w:color w:val="FFFFFF"/>
              </w:rPr>
              <w:t xml:space="preserve">250.000 € </w:t>
            </w:r>
          </w:p>
        </w:tc>
        <w:tc>
          <w:tcPr>
            <w:tcW w:w="0" w:type="auto"/>
            <w:tcBorders>
              <w:left w:val="single" w:sz="2" w:space="0" w:color="000000"/>
            </w:tcBorders>
            <w:shd w:val="clear" w:color="auto" w:fill="auto"/>
            <w:vAlign w:val="center"/>
          </w:tcPr>
          <w:p w:rsidR="00AB041E" w:rsidRDefault="00AB041E">
            <w:pPr>
              <w:autoSpaceDE w:val="0"/>
              <w:autoSpaceDN w:val="0"/>
              <w:adjustRightInd w:val="0"/>
              <w:spacing w:before="0" w:after="0"/>
              <w:jc w:val="right"/>
              <w:rPr>
                <w:rFonts w:ascii="Arial" w:hAnsi="Arial" w:cs="Arial"/>
                <w:color w:val="FFFFFF"/>
              </w:rPr>
            </w:pPr>
          </w:p>
        </w:tc>
      </w:tr>
      <w:tr w:rsidR="00AB041E">
        <w:trPr>
          <w:trHeight w:val="322"/>
          <w:jc w:val="center"/>
        </w:trPr>
        <w:tc>
          <w:tcPr>
            <w:tcW w:w="0" w:type="auto"/>
            <w:vMerge w:val="restart"/>
            <w:tcBorders>
              <w:top w:val="single" w:sz="2" w:space="0" w:color="000000"/>
              <w:left w:val="single" w:sz="2" w:space="0" w:color="000000"/>
              <w:right w:val="single" w:sz="2" w:space="0" w:color="000000"/>
            </w:tcBorders>
            <w:textDirection w:val="btLr"/>
            <w:vAlign w:val="center"/>
          </w:tcPr>
          <w:p w:rsidR="00AB041E" w:rsidRPr="001870FB" w:rsidRDefault="00AB041E" w:rsidP="001870FB">
            <w:pPr>
              <w:autoSpaceDE w:val="0"/>
              <w:autoSpaceDN w:val="0"/>
              <w:adjustRightInd w:val="0"/>
              <w:spacing w:before="0" w:after="0"/>
              <w:ind w:left="57" w:right="57"/>
              <w:jc w:val="center"/>
              <w:rPr>
                <w:rFonts w:ascii="Arial" w:hAnsi="Arial" w:cs="Arial"/>
                <w:b/>
                <w:color w:val="000000"/>
              </w:rPr>
            </w:pPr>
            <w:r w:rsidRPr="001870FB">
              <w:rPr>
                <w:rFonts w:ascii="Arial" w:hAnsi="Arial" w:cs="Arial"/>
                <w:b/>
                <w:color w:val="000000"/>
              </w:rPr>
              <w:t>Fondos</w:t>
            </w:r>
          </w:p>
          <w:p w:rsidR="00AB041E" w:rsidRPr="001870FB" w:rsidRDefault="00AB041E" w:rsidP="001870FB">
            <w:pPr>
              <w:autoSpaceDE w:val="0"/>
              <w:autoSpaceDN w:val="0"/>
              <w:adjustRightInd w:val="0"/>
              <w:spacing w:before="0" w:after="0"/>
              <w:ind w:left="57" w:right="57"/>
              <w:jc w:val="center"/>
              <w:rPr>
                <w:rFonts w:ascii="Arial" w:hAnsi="Arial" w:cs="Arial"/>
                <w:b/>
                <w:color w:val="000000"/>
              </w:rPr>
            </w:pPr>
            <w:r w:rsidRPr="001870FB">
              <w:rPr>
                <w:rFonts w:ascii="Arial" w:hAnsi="Arial" w:cs="Arial"/>
                <w:b/>
                <w:color w:val="000000"/>
              </w:rPr>
              <w:t>propios</w:t>
            </w:r>
          </w:p>
        </w:tc>
        <w:tc>
          <w:tcPr>
            <w:tcW w:w="0" w:type="auto"/>
            <w:tcBorders>
              <w:top w:val="single" w:sz="2" w:space="0" w:color="000000"/>
              <w:left w:val="single" w:sz="2" w:space="0" w:color="000000"/>
              <w:bottom w:val="single" w:sz="2" w:space="0" w:color="000000"/>
              <w:right w:val="single" w:sz="2" w:space="0" w:color="000000"/>
            </w:tcBorders>
            <w:shd w:val="clear" w:color="auto" w:fill="794000"/>
            <w:vAlign w:val="center"/>
          </w:tcPr>
          <w:p w:rsidR="00AB041E" w:rsidRDefault="00AB041E">
            <w:pPr>
              <w:autoSpaceDE w:val="0"/>
              <w:autoSpaceDN w:val="0"/>
              <w:adjustRightInd w:val="0"/>
              <w:spacing w:before="0" w:after="0"/>
              <w:jc w:val="right"/>
              <w:rPr>
                <w:rFonts w:ascii="Arial" w:hAnsi="Arial" w:cs="Arial"/>
                <w:color w:val="FFFFFF"/>
              </w:rPr>
            </w:pPr>
            <w:r>
              <w:rPr>
                <w:rFonts w:ascii="Arial" w:hAnsi="Arial" w:cs="Arial"/>
                <w:color w:val="FFFFFF"/>
              </w:rPr>
              <w:t xml:space="preserve">100.000 € </w:t>
            </w:r>
          </w:p>
        </w:tc>
        <w:tc>
          <w:tcPr>
            <w:tcW w:w="0" w:type="auto"/>
            <w:tcBorders>
              <w:top w:val="single" w:sz="2" w:space="0" w:color="000000"/>
              <w:left w:val="single" w:sz="2" w:space="0" w:color="000000"/>
              <w:bottom w:val="single" w:sz="2" w:space="0" w:color="000000"/>
              <w:right w:val="single" w:sz="2" w:space="0" w:color="000000"/>
            </w:tcBorders>
            <w:vAlign w:val="center"/>
          </w:tcPr>
          <w:p w:rsidR="00AB041E" w:rsidRDefault="00AB041E" w:rsidP="00080415">
            <w:pPr>
              <w:autoSpaceDE w:val="0"/>
              <w:autoSpaceDN w:val="0"/>
              <w:adjustRightInd w:val="0"/>
              <w:spacing w:before="0" w:after="0"/>
              <w:jc w:val="right"/>
              <w:rPr>
                <w:rFonts w:ascii="Arial" w:hAnsi="Arial" w:cs="Arial"/>
                <w:color w:val="000000"/>
              </w:rPr>
            </w:pPr>
            <w:r>
              <w:rPr>
                <w:rFonts w:ascii="Arial" w:hAnsi="Arial" w:cs="Arial"/>
                <w:color w:val="000000"/>
              </w:rPr>
              <w:t xml:space="preserve">0,26 € </w:t>
            </w:r>
          </w:p>
        </w:tc>
        <w:tc>
          <w:tcPr>
            <w:tcW w:w="0" w:type="auto"/>
            <w:tcBorders>
              <w:top w:val="single" w:sz="2" w:space="0" w:color="000000"/>
              <w:left w:val="single" w:sz="2" w:space="0" w:color="000000"/>
              <w:bottom w:val="single" w:sz="2" w:space="0" w:color="000000"/>
              <w:right w:val="single" w:sz="2" w:space="0" w:color="000000"/>
            </w:tcBorders>
            <w:vAlign w:val="center"/>
          </w:tcPr>
          <w:p w:rsidR="00AB041E" w:rsidRDefault="00AB041E" w:rsidP="00080415">
            <w:pPr>
              <w:autoSpaceDE w:val="0"/>
              <w:autoSpaceDN w:val="0"/>
              <w:adjustRightInd w:val="0"/>
              <w:spacing w:before="0" w:after="0"/>
              <w:jc w:val="right"/>
              <w:rPr>
                <w:rFonts w:ascii="Arial" w:hAnsi="Arial" w:cs="Arial"/>
                <w:color w:val="000000"/>
              </w:rPr>
            </w:pPr>
            <w:r>
              <w:rPr>
                <w:rFonts w:ascii="Arial" w:hAnsi="Arial" w:cs="Arial"/>
                <w:color w:val="000000"/>
              </w:rPr>
              <w:t xml:space="preserve">0,26 € </w:t>
            </w:r>
          </w:p>
        </w:tc>
        <w:tc>
          <w:tcPr>
            <w:tcW w:w="0" w:type="auto"/>
            <w:tcBorders>
              <w:top w:val="single" w:sz="2" w:space="0" w:color="000000"/>
              <w:left w:val="single" w:sz="2" w:space="0" w:color="000000"/>
              <w:bottom w:val="single" w:sz="2" w:space="0" w:color="000000"/>
              <w:right w:val="single" w:sz="2" w:space="0" w:color="000000"/>
            </w:tcBorders>
            <w:vAlign w:val="center"/>
          </w:tcPr>
          <w:p w:rsidR="00AB041E" w:rsidRDefault="00AB041E" w:rsidP="00080415">
            <w:pPr>
              <w:autoSpaceDE w:val="0"/>
              <w:autoSpaceDN w:val="0"/>
              <w:adjustRightInd w:val="0"/>
              <w:spacing w:before="0" w:after="0"/>
              <w:jc w:val="right"/>
              <w:rPr>
                <w:rFonts w:ascii="Arial" w:hAnsi="Arial" w:cs="Arial"/>
                <w:color w:val="000000"/>
              </w:rPr>
            </w:pPr>
            <w:r>
              <w:rPr>
                <w:rFonts w:ascii="Arial" w:hAnsi="Arial" w:cs="Arial"/>
                <w:color w:val="000000"/>
              </w:rPr>
              <w:t xml:space="preserve">0,01 € </w:t>
            </w:r>
          </w:p>
        </w:tc>
        <w:tc>
          <w:tcPr>
            <w:tcW w:w="0" w:type="auto"/>
            <w:tcBorders>
              <w:top w:val="single" w:sz="2" w:space="0" w:color="000000"/>
              <w:left w:val="single" w:sz="2" w:space="0" w:color="000000"/>
              <w:bottom w:val="single" w:sz="2" w:space="0" w:color="000000"/>
              <w:right w:val="single" w:sz="2" w:space="0" w:color="000000"/>
            </w:tcBorders>
            <w:vAlign w:val="center"/>
          </w:tcPr>
          <w:p w:rsidR="00AB041E" w:rsidRDefault="00AB041E" w:rsidP="00080415">
            <w:pPr>
              <w:autoSpaceDE w:val="0"/>
              <w:autoSpaceDN w:val="0"/>
              <w:adjustRightInd w:val="0"/>
              <w:spacing w:before="0" w:after="0"/>
              <w:jc w:val="right"/>
              <w:rPr>
                <w:rFonts w:ascii="Arial" w:hAnsi="Arial" w:cs="Arial"/>
                <w:color w:val="000000"/>
              </w:rPr>
            </w:pPr>
            <w:r>
              <w:rPr>
                <w:rFonts w:ascii="Arial" w:hAnsi="Arial" w:cs="Arial"/>
                <w:color w:val="000000"/>
              </w:rPr>
              <w:t xml:space="preserve">- 0,23 € </w:t>
            </w:r>
          </w:p>
        </w:tc>
        <w:tc>
          <w:tcPr>
            <w:tcW w:w="0" w:type="auto"/>
            <w:tcBorders>
              <w:left w:val="single" w:sz="2" w:space="0" w:color="000000"/>
            </w:tcBorders>
            <w:shd w:val="clear" w:color="auto" w:fill="auto"/>
            <w:vAlign w:val="center"/>
          </w:tcPr>
          <w:p w:rsidR="00AB041E" w:rsidRDefault="00AB041E" w:rsidP="00AB041E">
            <w:pPr>
              <w:autoSpaceDE w:val="0"/>
              <w:autoSpaceDN w:val="0"/>
              <w:adjustRightInd w:val="0"/>
              <w:spacing w:before="0" w:after="0"/>
              <w:rPr>
                <w:rFonts w:ascii="Arial" w:hAnsi="Arial" w:cs="Arial"/>
                <w:color w:val="000000"/>
              </w:rPr>
            </w:pPr>
            <w:r>
              <w:rPr>
                <w:rFonts w:ascii="Arial" w:hAnsi="Arial" w:cs="Arial"/>
                <w:color w:val="000000"/>
              </w:rPr>
              <w:t>Menos ganancias y pérdidas</w:t>
            </w:r>
          </w:p>
        </w:tc>
      </w:tr>
      <w:tr w:rsidR="00AB041E">
        <w:trPr>
          <w:trHeight w:val="322"/>
          <w:jc w:val="center"/>
        </w:trPr>
        <w:tc>
          <w:tcPr>
            <w:tcW w:w="0" w:type="auto"/>
            <w:vMerge/>
            <w:tcBorders>
              <w:left w:val="single" w:sz="2" w:space="0" w:color="000000"/>
              <w:right w:val="single" w:sz="2" w:space="0" w:color="000000"/>
            </w:tcBorders>
            <w:vAlign w:val="center"/>
          </w:tcPr>
          <w:p w:rsidR="00AB041E" w:rsidRDefault="00AB041E">
            <w:pPr>
              <w:autoSpaceDE w:val="0"/>
              <w:autoSpaceDN w:val="0"/>
              <w:adjustRightInd w:val="0"/>
              <w:spacing w:before="0" w:after="0"/>
              <w:jc w:val="right"/>
              <w:rPr>
                <w:rFonts w:ascii="Arial" w:hAnsi="Arial" w:cs="Arial"/>
                <w:color w:val="000000"/>
              </w:rPr>
            </w:pPr>
          </w:p>
        </w:tc>
        <w:tc>
          <w:tcPr>
            <w:tcW w:w="0" w:type="auto"/>
            <w:tcBorders>
              <w:top w:val="single" w:sz="2" w:space="0" w:color="000000"/>
              <w:left w:val="single" w:sz="2" w:space="0" w:color="000000"/>
              <w:bottom w:val="single" w:sz="2" w:space="0" w:color="000000"/>
              <w:right w:val="single" w:sz="2" w:space="0" w:color="000000"/>
            </w:tcBorders>
            <w:shd w:val="clear" w:color="auto" w:fill="794000"/>
            <w:vAlign w:val="center"/>
          </w:tcPr>
          <w:p w:rsidR="00AB041E" w:rsidRDefault="00AB041E">
            <w:pPr>
              <w:autoSpaceDE w:val="0"/>
              <w:autoSpaceDN w:val="0"/>
              <w:adjustRightInd w:val="0"/>
              <w:spacing w:before="0" w:after="0"/>
              <w:jc w:val="right"/>
              <w:rPr>
                <w:rFonts w:ascii="Arial" w:hAnsi="Arial" w:cs="Arial"/>
                <w:color w:val="FFFFFF"/>
              </w:rPr>
            </w:pPr>
            <w:r>
              <w:rPr>
                <w:rFonts w:ascii="Arial" w:hAnsi="Arial" w:cs="Arial"/>
                <w:color w:val="FFFFFF"/>
              </w:rPr>
              <w:t xml:space="preserve">70.000 € </w:t>
            </w:r>
          </w:p>
        </w:tc>
        <w:tc>
          <w:tcPr>
            <w:tcW w:w="0" w:type="auto"/>
            <w:tcBorders>
              <w:top w:val="single" w:sz="2" w:space="0" w:color="000000"/>
              <w:left w:val="single" w:sz="2" w:space="0" w:color="000000"/>
              <w:bottom w:val="single" w:sz="2" w:space="0" w:color="000000"/>
              <w:right w:val="single" w:sz="2" w:space="0" w:color="000000"/>
            </w:tcBorders>
            <w:vAlign w:val="center"/>
          </w:tcPr>
          <w:p w:rsidR="00AB041E" w:rsidRDefault="00AB041E" w:rsidP="00080415">
            <w:pPr>
              <w:autoSpaceDE w:val="0"/>
              <w:autoSpaceDN w:val="0"/>
              <w:adjustRightInd w:val="0"/>
              <w:spacing w:before="0" w:after="0"/>
              <w:jc w:val="right"/>
              <w:rPr>
                <w:rFonts w:ascii="Arial" w:hAnsi="Arial" w:cs="Arial"/>
                <w:color w:val="000000"/>
              </w:rPr>
            </w:pPr>
            <w:r>
              <w:rPr>
                <w:rFonts w:ascii="Arial" w:hAnsi="Arial" w:cs="Arial"/>
                <w:color w:val="000000"/>
              </w:rPr>
              <w:t xml:space="preserve">0,32 € </w:t>
            </w:r>
          </w:p>
        </w:tc>
        <w:tc>
          <w:tcPr>
            <w:tcW w:w="0" w:type="auto"/>
            <w:tcBorders>
              <w:top w:val="single" w:sz="2" w:space="0" w:color="000000"/>
              <w:left w:val="single" w:sz="2" w:space="0" w:color="000000"/>
              <w:bottom w:val="single" w:sz="2" w:space="0" w:color="000000"/>
              <w:right w:val="single" w:sz="2" w:space="0" w:color="000000"/>
            </w:tcBorders>
            <w:vAlign w:val="center"/>
          </w:tcPr>
          <w:p w:rsidR="00AB041E" w:rsidRDefault="00AB041E" w:rsidP="00080415">
            <w:pPr>
              <w:autoSpaceDE w:val="0"/>
              <w:autoSpaceDN w:val="0"/>
              <w:adjustRightInd w:val="0"/>
              <w:spacing w:before="0" w:after="0"/>
              <w:jc w:val="right"/>
              <w:rPr>
                <w:rFonts w:ascii="Arial" w:hAnsi="Arial" w:cs="Arial"/>
                <w:color w:val="000000"/>
              </w:rPr>
            </w:pPr>
            <w:r>
              <w:rPr>
                <w:rFonts w:ascii="Arial" w:hAnsi="Arial" w:cs="Arial"/>
                <w:color w:val="000000"/>
              </w:rPr>
              <w:t xml:space="preserve">0,32 € </w:t>
            </w:r>
          </w:p>
        </w:tc>
        <w:tc>
          <w:tcPr>
            <w:tcW w:w="0" w:type="auto"/>
            <w:tcBorders>
              <w:top w:val="single" w:sz="2" w:space="0" w:color="000000"/>
              <w:left w:val="single" w:sz="2" w:space="0" w:color="000000"/>
              <w:bottom w:val="single" w:sz="2" w:space="0" w:color="000000"/>
              <w:right w:val="single" w:sz="2" w:space="0" w:color="000000"/>
            </w:tcBorders>
            <w:vAlign w:val="center"/>
          </w:tcPr>
          <w:p w:rsidR="00AB041E" w:rsidRDefault="00AB041E" w:rsidP="00080415">
            <w:pPr>
              <w:autoSpaceDE w:val="0"/>
              <w:autoSpaceDN w:val="0"/>
              <w:adjustRightInd w:val="0"/>
              <w:spacing w:before="0" w:after="0"/>
              <w:jc w:val="right"/>
              <w:rPr>
                <w:rFonts w:ascii="Arial" w:hAnsi="Arial" w:cs="Arial"/>
                <w:color w:val="000000"/>
              </w:rPr>
            </w:pPr>
            <w:r>
              <w:rPr>
                <w:rFonts w:ascii="Arial" w:hAnsi="Arial" w:cs="Arial"/>
                <w:color w:val="000000"/>
              </w:rPr>
              <w:t xml:space="preserve">- 0,02 € </w:t>
            </w:r>
          </w:p>
        </w:tc>
        <w:tc>
          <w:tcPr>
            <w:tcW w:w="0" w:type="auto"/>
            <w:tcBorders>
              <w:top w:val="single" w:sz="2" w:space="0" w:color="000000"/>
              <w:left w:val="single" w:sz="2" w:space="0" w:color="000000"/>
              <w:bottom w:val="single" w:sz="2" w:space="0" w:color="000000"/>
              <w:right w:val="single" w:sz="2" w:space="0" w:color="000000"/>
            </w:tcBorders>
            <w:vAlign w:val="center"/>
          </w:tcPr>
          <w:p w:rsidR="00AB041E" w:rsidRDefault="00AB041E" w:rsidP="00080415">
            <w:pPr>
              <w:autoSpaceDE w:val="0"/>
              <w:autoSpaceDN w:val="0"/>
              <w:adjustRightInd w:val="0"/>
              <w:spacing w:before="0" w:after="0"/>
              <w:jc w:val="right"/>
              <w:rPr>
                <w:rFonts w:ascii="Arial" w:hAnsi="Arial" w:cs="Arial"/>
                <w:color w:val="000000"/>
              </w:rPr>
            </w:pPr>
            <w:r>
              <w:rPr>
                <w:rFonts w:ascii="Arial" w:hAnsi="Arial" w:cs="Arial"/>
                <w:color w:val="000000"/>
              </w:rPr>
              <w:t xml:space="preserve">- 0,37 € </w:t>
            </w:r>
          </w:p>
        </w:tc>
        <w:tc>
          <w:tcPr>
            <w:tcW w:w="0" w:type="auto"/>
            <w:tcBorders>
              <w:left w:val="single" w:sz="2" w:space="0" w:color="000000"/>
            </w:tcBorders>
            <w:shd w:val="clear" w:color="auto" w:fill="auto"/>
            <w:vAlign w:val="center"/>
          </w:tcPr>
          <w:p w:rsidR="00AB041E" w:rsidRDefault="00AB041E" w:rsidP="00AB041E">
            <w:pPr>
              <w:autoSpaceDE w:val="0"/>
              <w:autoSpaceDN w:val="0"/>
              <w:adjustRightInd w:val="0"/>
              <w:spacing w:before="0" w:after="0"/>
              <w:rPr>
                <w:rFonts w:ascii="Arial" w:hAnsi="Arial" w:cs="Arial"/>
                <w:color w:val="000000"/>
              </w:rPr>
            </w:pPr>
          </w:p>
        </w:tc>
      </w:tr>
      <w:tr w:rsidR="00AB041E">
        <w:trPr>
          <w:trHeight w:val="322"/>
          <w:jc w:val="center"/>
        </w:trPr>
        <w:tc>
          <w:tcPr>
            <w:tcW w:w="0" w:type="auto"/>
            <w:vMerge/>
            <w:tcBorders>
              <w:left w:val="single" w:sz="2" w:space="0" w:color="000000"/>
              <w:right w:val="single" w:sz="2" w:space="0" w:color="000000"/>
            </w:tcBorders>
            <w:vAlign w:val="center"/>
          </w:tcPr>
          <w:p w:rsidR="00AB041E" w:rsidRDefault="00AB041E">
            <w:pPr>
              <w:autoSpaceDE w:val="0"/>
              <w:autoSpaceDN w:val="0"/>
              <w:adjustRightInd w:val="0"/>
              <w:spacing w:before="0" w:after="0"/>
              <w:jc w:val="right"/>
              <w:rPr>
                <w:rFonts w:ascii="Arial" w:hAnsi="Arial" w:cs="Arial"/>
                <w:color w:val="000000"/>
              </w:rPr>
            </w:pPr>
          </w:p>
        </w:tc>
        <w:tc>
          <w:tcPr>
            <w:tcW w:w="0" w:type="auto"/>
            <w:tcBorders>
              <w:top w:val="single" w:sz="2" w:space="0" w:color="000000"/>
              <w:left w:val="single" w:sz="2" w:space="0" w:color="000000"/>
              <w:bottom w:val="single" w:sz="2" w:space="0" w:color="000000"/>
              <w:right w:val="single" w:sz="2" w:space="0" w:color="000000"/>
            </w:tcBorders>
            <w:shd w:val="clear" w:color="auto" w:fill="794000"/>
            <w:vAlign w:val="center"/>
          </w:tcPr>
          <w:p w:rsidR="00AB041E" w:rsidRDefault="00AB041E">
            <w:pPr>
              <w:autoSpaceDE w:val="0"/>
              <w:autoSpaceDN w:val="0"/>
              <w:adjustRightInd w:val="0"/>
              <w:spacing w:before="0" w:after="0"/>
              <w:jc w:val="right"/>
              <w:rPr>
                <w:rFonts w:ascii="Arial" w:hAnsi="Arial" w:cs="Arial"/>
                <w:color w:val="FFFFFF"/>
              </w:rPr>
            </w:pPr>
            <w:r>
              <w:rPr>
                <w:rFonts w:ascii="Arial" w:hAnsi="Arial" w:cs="Arial"/>
                <w:color w:val="FFFFFF"/>
              </w:rPr>
              <w:t xml:space="preserve">30.000 € </w:t>
            </w:r>
          </w:p>
        </w:tc>
        <w:tc>
          <w:tcPr>
            <w:tcW w:w="0" w:type="auto"/>
            <w:tcBorders>
              <w:top w:val="single" w:sz="2" w:space="0" w:color="000000"/>
              <w:left w:val="single" w:sz="2" w:space="0" w:color="000000"/>
              <w:bottom w:val="single" w:sz="2" w:space="0" w:color="000000"/>
              <w:right w:val="single" w:sz="2" w:space="0" w:color="000000"/>
            </w:tcBorders>
            <w:vAlign w:val="center"/>
          </w:tcPr>
          <w:p w:rsidR="00AB041E" w:rsidRDefault="00AB041E" w:rsidP="00080415">
            <w:pPr>
              <w:autoSpaceDE w:val="0"/>
              <w:autoSpaceDN w:val="0"/>
              <w:adjustRightInd w:val="0"/>
              <w:spacing w:before="0" w:after="0"/>
              <w:jc w:val="right"/>
              <w:rPr>
                <w:rFonts w:ascii="Arial" w:hAnsi="Arial" w:cs="Arial"/>
                <w:color w:val="000000"/>
              </w:rPr>
            </w:pPr>
            <w:r>
              <w:rPr>
                <w:rFonts w:ascii="Arial" w:hAnsi="Arial" w:cs="Arial"/>
                <w:color w:val="000000"/>
              </w:rPr>
              <w:t xml:space="preserve">0,62 € </w:t>
            </w:r>
          </w:p>
        </w:tc>
        <w:tc>
          <w:tcPr>
            <w:tcW w:w="0" w:type="auto"/>
            <w:tcBorders>
              <w:top w:val="single" w:sz="2" w:space="0" w:color="000000"/>
              <w:left w:val="single" w:sz="2" w:space="0" w:color="000000"/>
              <w:bottom w:val="single" w:sz="2" w:space="0" w:color="000000"/>
              <w:right w:val="single" w:sz="2" w:space="0" w:color="000000"/>
            </w:tcBorders>
            <w:vAlign w:val="center"/>
          </w:tcPr>
          <w:p w:rsidR="00AB041E" w:rsidRDefault="00AB041E" w:rsidP="00080415">
            <w:pPr>
              <w:autoSpaceDE w:val="0"/>
              <w:autoSpaceDN w:val="0"/>
              <w:adjustRightInd w:val="0"/>
              <w:spacing w:before="0" w:after="0"/>
              <w:jc w:val="right"/>
              <w:rPr>
                <w:rFonts w:ascii="Arial" w:hAnsi="Arial" w:cs="Arial"/>
                <w:color w:val="000000"/>
              </w:rPr>
            </w:pPr>
            <w:r>
              <w:rPr>
                <w:rFonts w:ascii="Arial" w:hAnsi="Arial" w:cs="Arial"/>
                <w:color w:val="000000"/>
              </w:rPr>
              <w:t xml:space="preserve">0,62 € </w:t>
            </w:r>
          </w:p>
        </w:tc>
        <w:tc>
          <w:tcPr>
            <w:tcW w:w="0" w:type="auto"/>
            <w:tcBorders>
              <w:top w:val="single" w:sz="2" w:space="0" w:color="000000"/>
              <w:left w:val="single" w:sz="2" w:space="0" w:color="000000"/>
              <w:bottom w:val="single" w:sz="2" w:space="0" w:color="000000"/>
              <w:right w:val="single" w:sz="2" w:space="0" w:color="000000"/>
            </w:tcBorders>
            <w:vAlign w:val="center"/>
          </w:tcPr>
          <w:p w:rsidR="00AB041E" w:rsidRDefault="00AB041E" w:rsidP="00080415">
            <w:pPr>
              <w:autoSpaceDE w:val="0"/>
              <w:autoSpaceDN w:val="0"/>
              <w:adjustRightInd w:val="0"/>
              <w:spacing w:before="0" w:after="0"/>
              <w:jc w:val="right"/>
              <w:rPr>
                <w:rFonts w:ascii="Arial" w:hAnsi="Arial" w:cs="Arial"/>
                <w:color w:val="000000"/>
              </w:rPr>
            </w:pPr>
            <w:r>
              <w:rPr>
                <w:rFonts w:ascii="Arial" w:hAnsi="Arial" w:cs="Arial"/>
                <w:color w:val="000000"/>
              </w:rPr>
              <w:t xml:space="preserve">- 0,18 € </w:t>
            </w:r>
          </w:p>
        </w:tc>
        <w:tc>
          <w:tcPr>
            <w:tcW w:w="0" w:type="auto"/>
            <w:tcBorders>
              <w:top w:val="single" w:sz="2" w:space="0" w:color="000000"/>
              <w:left w:val="single" w:sz="2" w:space="0" w:color="000000"/>
              <w:bottom w:val="single" w:sz="2" w:space="0" w:color="000000"/>
              <w:right w:val="single" w:sz="2" w:space="0" w:color="000000"/>
            </w:tcBorders>
            <w:vAlign w:val="center"/>
          </w:tcPr>
          <w:p w:rsidR="00AB041E" w:rsidRDefault="00AB041E" w:rsidP="00080415">
            <w:pPr>
              <w:autoSpaceDE w:val="0"/>
              <w:autoSpaceDN w:val="0"/>
              <w:adjustRightInd w:val="0"/>
              <w:spacing w:before="0" w:after="0"/>
              <w:jc w:val="right"/>
              <w:rPr>
                <w:rFonts w:ascii="Arial" w:hAnsi="Arial" w:cs="Arial"/>
                <w:color w:val="000000"/>
              </w:rPr>
            </w:pPr>
            <w:r>
              <w:rPr>
                <w:rFonts w:ascii="Arial" w:hAnsi="Arial" w:cs="Arial"/>
                <w:color w:val="000000"/>
              </w:rPr>
              <w:t xml:space="preserve">- 0,99 € </w:t>
            </w:r>
          </w:p>
        </w:tc>
        <w:tc>
          <w:tcPr>
            <w:tcW w:w="0" w:type="auto"/>
            <w:tcBorders>
              <w:left w:val="single" w:sz="2" w:space="0" w:color="000000"/>
            </w:tcBorders>
            <w:shd w:val="clear" w:color="auto" w:fill="auto"/>
            <w:vAlign w:val="center"/>
          </w:tcPr>
          <w:p w:rsidR="00AB041E" w:rsidRDefault="00AB041E" w:rsidP="00AB041E">
            <w:pPr>
              <w:autoSpaceDE w:val="0"/>
              <w:autoSpaceDN w:val="0"/>
              <w:adjustRightInd w:val="0"/>
              <w:spacing w:before="0" w:after="0"/>
              <w:rPr>
                <w:rFonts w:ascii="Arial" w:hAnsi="Arial" w:cs="Arial"/>
                <w:color w:val="000000"/>
              </w:rPr>
            </w:pPr>
          </w:p>
        </w:tc>
      </w:tr>
      <w:tr w:rsidR="00AB041E">
        <w:trPr>
          <w:trHeight w:val="322"/>
          <w:jc w:val="center"/>
        </w:trPr>
        <w:tc>
          <w:tcPr>
            <w:tcW w:w="0" w:type="auto"/>
            <w:vMerge/>
            <w:tcBorders>
              <w:left w:val="single" w:sz="2" w:space="0" w:color="000000"/>
              <w:bottom w:val="single" w:sz="2" w:space="0" w:color="000000"/>
              <w:right w:val="single" w:sz="2" w:space="0" w:color="000000"/>
            </w:tcBorders>
            <w:vAlign w:val="center"/>
          </w:tcPr>
          <w:p w:rsidR="00AB041E" w:rsidRDefault="00AB041E">
            <w:pPr>
              <w:autoSpaceDE w:val="0"/>
              <w:autoSpaceDN w:val="0"/>
              <w:adjustRightInd w:val="0"/>
              <w:spacing w:before="0" w:after="0"/>
              <w:jc w:val="right"/>
              <w:rPr>
                <w:rFonts w:ascii="Arial" w:hAnsi="Arial" w:cs="Arial"/>
                <w:color w:val="000000"/>
              </w:rPr>
            </w:pPr>
          </w:p>
        </w:tc>
        <w:tc>
          <w:tcPr>
            <w:tcW w:w="0" w:type="auto"/>
            <w:tcBorders>
              <w:top w:val="single" w:sz="2" w:space="0" w:color="000000"/>
              <w:left w:val="single" w:sz="2" w:space="0" w:color="000000"/>
              <w:bottom w:val="single" w:sz="2" w:space="0" w:color="000000"/>
              <w:right w:val="single" w:sz="2" w:space="0" w:color="000000"/>
            </w:tcBorders>
            <w:shd w:val="clear" w:color="auto" w:fill="794000"/>
            <w:vAlign w:val="center"/>
          </w:tcPr>
          <w:p w:rsidR="00AB041E" w:rsidRDefault="00AB041E">
            <w:pPr>
              <w:autoSpaceDE w:val="0"/>
              <w:autoSpaceDN w:val="0"/>
              <w:adjustRightInd w:val="0"/>
              <w:spacing w:before="0" w:after="0"/>
              <w:jc w:val="right"/>
              <w:rPr>
                <w:rFonts w:ascii="Arial" w:hAnsi="Arial" w:cs="Arial"/>
                <w:color w:val="FFFFFF"/>
              </w:rPr>
            </w:pPr>
            <w:r>
              <w:rPr>
                <w:rFonts w:ascii="Arial" w:hAnsi="Arial" w:cs="Arial"/>
                <w:color w:val="FFFFFF"/>
              </w:rPr>
              <w:t xml:space="preserve">15.000 € </w:t>
            </w:r>
          </w:p>
        </w:tc>
        <w:tc>
          <w:tcPr>
            <w:tcW w:w="0" w:type="auto"/>
            <w:tcBorders>
              <w:top w:val="single" w:sz="2" w:space="0" w:color="000000"/>
              <w:left w:val="single" w:sz="2" w:space="0" w:color="000000"/>
              <w:bottom w:val="single" w:sz="2" w:space="0" w:color="000000"/>
              <w:right w:val="single" w:sz="2" w:space="0" w:color="000000"/>
            </w:tcBorders>
            <w:vAlign w:val="center"/>
          </w:tcPr>
          <w:p w:rsidR="00AB041E" w:rsidRDefault="00AB041E" w:rsidP="00080415">
            <w:pPr>
              <w:autoSpaceDE w:val="0"/>
              <w:autoSpaceDN w:val="0"/>
              <w:adjustRightInd w:val="0"/>
              <w:spacing w:before="0" w:after="0"/>
              <w:jc w:val="right"/>
              <w:rPr>
                <w:rFonts w:ascii="Arial" w:hAnsi="Arial" w:cs="Arial"/>
                <w:color w:val="000000"/>
              </w:rPr>
            </w:pPr>
            <w:r>
              <w:rPr>
                <w:rFonts w:ascii="Arial" w:hAnsi="Arial" w:cs="Arial"/>
                <w:color w:val="000000"/>
              </w:rPr>
              <w:t xml:space="preserve">1,14 € </w:t>
            </w:r>
          </w:p>
        </w:tc>
        <w:tc>
          <w:tcPr>
            <w:tcW w:w="0" w:type="auto"/>
            <w:tcBorders>
              <w:top w:val="single" w:sz="2" w:space="0" w:color="000000"/>
              <w:left w:val="single" w:sz="2" w:space="0" w:color="000000"/>
              <w:bottom w:val="single" w:sz="2" w:space="0" w:color="000000"/>
              <w:right w:val="single" w:sz="2" w:space="0" w:color="000000"/>
            </w:tcBorders>
            <w:vAlign w:val="center"/>
          </w:tcPr>
          <w:p w:rsidR="00AB041E" w:rsidRDefault="00AB041E" w:rsidP="00080415">
            <w:pPr>
              <w:autoSpaceDE w:val="0"/>
              <w:autoSpaceDN w:val="0"/>
              <w:adjustRightInd w:val="0"/>
              <w:spacing w:before="0" w:after="0"/>
              <w:jc w:val="right"/>
              <w:rPr>
                <w:rFonts w:ascii="Arial" w:hAnsi="Arial" w:cs="Arial"/>
                <w:color w:val="000000"/>
              </w:rPr>
            </w:pPr>
            <w:r>
              <w:rPr>
                <w:rFonts w:ascii="Arial" w:hAnsi="Arial" w:cs="Arial"/>
                <w:color w:val="000000"/>
              </w:rPr>
              <w:t xml:space="preserve">1,14 € </w:t>
            </w:r>
          </w:p>
        </w:tc>
        <w:tc>
          <w:tcPr>
            <w:tcW w:w="0" w:type="auto"/>
            <w:tcBorders>
              <w:top w:val="single" w:sz="2" w:space="0" w:color="000000"/>
              <w:left w:val="single" w:sz="2" w:space="0" w:color="000000"/>
              <w:bottom w:val="single" w:sz="2" w:space="0" w:color="000000"/>
              <w:right w:val="single" w:sz="2" w:space="0" w:color="000000"/>
            </w:tcBorders>
            <w:vAlign w:val="center"/>
          </w:tcPr>
          <w:p w:rsidR="00AB041E" w:rsidRDefault="00AB041E" w:rsidP="00080415">
            <w:pPr>
              <w:autoSpaceDE w:val="0"/>
              <w:autoSpaceDN w:val="0"/>
              <w:adjustRightInd w:val="0"/>
              <w:spacing w:before="0" w:after="0"/>
              <w:jc w:val="right"/>
              <w:rPr>
                <w:rFonts w:ascii="Arial" w:hAnsi="Arial" w:cs="Arial"/>
                <w:color w:val="000000"/>
              </w:rPr>
            </w:pPr>
            <w:r>
              <w:rPr>
                <w:rFonts w:ascii="Arial" w:hAnsi="Arial" w:cs="Arial"/>
                <w:color w:val="000000"/>
              </w:rPr>
              <w:t xml:space="preserve">- 0,47 € </w:t>
            </w:r>
          </w:p>
        </w:tc>
        <w:tc>
          <w:tcPr>
            <w:tcW w:w="0" w:type="auto"/>
            <w:tcBorders>
              <w:top w:val="single" w:sz="2" w:space="0" w:color="000000"/>
              <w:left w:val="single" w:sz="2" w:space="0" w:color="000000"/>
              <w:bottom w:val="single" w:sz="2" w:space="0" w:color="000000"/>
              <w:right w:val="single" w:sz="2" w:space="0" w:color="000000"/>
            </w:tcBorders>
            <w:vAlign w:val="center"/>
          </w:tcPr>
          <w:p w:rsidR="00AB041E" w:rsidRDefault="00AB041E" w:rsidP="00080415">
            <w:pPr>
              <w:autoSpaceDE w:val="0"/>
              <w:autoSpaceDN w:val="0"/>
              <w:adjustRightInd w:val="0"/>
              <w:spacing w:before="0" w:after="0"/>
              <w:jc w:val="right"/>
              <w:rPr>
                <w:rFonts w:ascii="Arial" w:hAnsi="Arial" w:cs="Arial"/>
                <w:color w:val="000000"/>
              </w:rPr>
            </w:pPr>
            <w:r>
              <w:rPr>
                <w:rFonts w:ascii="Arial" w:hAnsi="Arial" w:cs="Arial"/>
                <w:color w:val="000000"/>
              </w:rPr>
              <w:t xml:space="preserve">- 2,07 € </w:t>
            </w:r>
          </w:p>
        </w:tc>
        <w:tc>
          <w:tcPr>
            <w:tcW w:w="0" w:type="auto"/>
            <w:tcBorders>
              <w:left w:val="single" w:sz="2" w:space="0" w:color="000000"/>
            </w:tcBorders>
            <w:shd w:val="clear" w:color="auto" w:fill="auto"/>
            <w:vAlign w:val="center"/>
          </w:tcPr>
          <w:p w:rsidR="00AB041E" w:rsidRDefault="00AB041E" w:rsidP="00AB041E">
            <w:pPr>
              <w:autoSpaceDE w:val="0"/>
              <w:autoSpaceDN w:val="0"/>
              <w:adjustRightInd w:val="0"/>
              <w:spacing w:before="0" w:after="0"/>
              <w:rPr>
                <w:rFonts w:ascii="Arial" w:hAnsi="Arial" w:cs="Arial"/>
                <w:color w:val="000000"/>
              </w:rPr>
            </w:pPr>
            <w:r>
              <w:rPr>
                <w:rFonts w:ascii="Arial" w:hAnsi="Arial" w:cs="Arial"/>
                <w:color w:val="000000"/>
              </w:rPr>
              <w:t>Más ganancias y pérdidas</w:t>
            </w:r>
          </w:p>
        </w:tc>
      </w:tr>
    </w:tbl>
    <w:p w:rsidR="00F731BC" w:rsidRPr="000A6CE9" w:rsidRDefault="00F731BC" w:rsidP="00425510"/>
    <w:sectPr w:rsidR="00F731BC" w:rsidRPr="000A6CE9">
      <w:headerReference w:type="default" r:id="rId7"/>
      <w:footerReference w:type="default" r:id="rId8"/>
      <w:pgSz w:w="11906" w:h="16838"/>
      <w:pgMar w:top="1985" w:right="851"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8D0" w:rsidRDefault="00E728D0">
      <w:r>
        <w:separator/>
      </w:r>
    </w:p>
  </w:endnote>
  <w:endnote w:type="continuationSeparator" w:id="0">
    <w:p w:rsidR="00E728D0" w:rsidRDefault="00E72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Arial MT Black">
    <w:altName w:val="Arial Black"/>
    <w:charset w:val="00"/>
    <w:family w:val="swiss"/>
    <w:pitch w:val="variable"/>
    <w:sig w:usb0="8000002F" w:usb1="00000008"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62D" w:rsidRDefault="006E062D" w:rsidP="00593A96">
    <w:pPr>
      <w:pStyle w:val="Peu"/>
      <w:rPr>
        <w:sz w:val="18"/>
      </w:rPr>
    </w:pPr>
    <w:r w:rsidRPr="00593A96">
      <w:t xml:space="preserve">Autor: </w:t>
    </w:r>
    <w:smartTag w:uri="urn:schemas-microsoft-com:office:smarttags" w:element="PersonName">
      <w:smartTagPr>
        <w:attr w:name="ProductID" w:val="Antonio Ca￱abate Carmona -"/>
      </w:smartTagPr>
      <w:smartTag w:uri="urn:schemas-microsoft-com:office:smarttags" w:element="PersonName">
        <w:smartTagPr>
          <w:attr w:name="ProductID" w:val="Antonio Ca￱abate Carmona"/>
        </w:smartTagPr>
        <w:r w:rsidRPr="00593A96">
          <w:t>Antonio Cañabate Carmona</w:t>
        </w:r>
      </w:smartTag>
      <w:r>
        <w:rPr>
          <w:sz w:val="18"/>
        </w:rPr>
        <w:tab/>
        <w:t>-</w:t>
      </w:r>
    </w:smartTag>
    <w:r>
      <w:rPr>
        <w:sz w:val="18"/>
      </w:rPr>
      <w:t xml:space="preserve"> </w:t>
    </w:r>
    <w:r w:rsidR="007C70DD">
      <w:rPr>
        <w:sz w:val="18"/>
      </w:rPr>
      <w:t xml:space="preserve">FIN </w:t>
    </w:r>
    <w:r>
      <w:rPr>
        <w:sz w:val="18"/>
      </w:rPr>
      <w:fldChar w:fldCharType="begin"/>
    </w:r>
    <w:r>
      <w:rPr>
        <w:sz w:val="18"/>
      </w:rPr>
      <w:instrText xml:space="preserve"> PAGE   \* MERGEFORMAT </w:instrText>
    </w:r>
    <w:r>
      <w:rPr>
        <w:sz w:val="18"/>
      </w:rPr>
      <w:fldChar w:fldCharType="separate"/>
    </w:r>
    <w:r w:rsidR="00AF4361">
      <w:rPr>
        <w:noProof/>
        <w:sz w:val="18"/>
      </w:rPr>
      <w:t>2</w:t>
    </w:r>
    <w:r>
      <w:rPr>
        <w:sz w:val="18"/>
      </w:rPr>
      <w:fldChar w:fldCharType="end"/>
    </w:r>
    <w:r>
      <w:rPr>
        <w:sz w:val="18"/>
      </w:rPr>
      <w:t xml:space="preserve"> -</w:t>
    </w:r>
    <w:r>
      <w:rPr>
        <w:sz w:val="18"/>
      </w:rPr>
      <w:tab/>
    </w:r>
    <w:r w:rsidR="001870FB">
      <w:t>29-07</w:t>
    </w:r>
    <w:r>
      <w:t>-2005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8D0" w:rsidRDefault="00E728D0">
      <w:r>
        <w:separator/>
      </w:r>
    </w:p>
  </w:footnote>
  <w:footnote w:type="continuationSeparator" w:id="0">
    <w:p w:rsidR="00E728D0" w:rsidRDefault="00E728D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62D" w:rsidRDefault="00605A7E">
    <w:pPr>
      <w:pStyle w:val="Capalera"/>
      <w:tabs>
        <w:tab w:val="clear" w:pos="8838"/>
        <w:tab w:val="right" w:pos="9720"/>
      </w:tabs>
      <w:spacing w:before="120"/>
      <w:rPr>
        <w:bCs/>
        <w:color w:val="777777"/>
        <w:sz w:val="22"/>
      </w:rPr>
    </w:pPr>
    <w:r>
      <w:rPr>
        <w:noProof/>
        <w:lang w:val="ca-ES" w:eastAsia="ca-ES"/>
      </w:rPr>
      <w:drawing>
        <wp:anchor distT="0" distB="0" distL="114300" distR="114300" simplePos="0" relativeHeight="251658240" behindDoc="0" locked="0" layoutInCell="1" allowOverlap="1">
          <wp:simplePos x="0" y="0"/>
          <wp:positionH relativeFrom="column">
            <wp:align>right</wp:align>
          </wp:positionH>
          <wp:positionV relativeFrom="paragraph">
            <wp:posOffset>0</wp:posOffset>
          </wp:positionV>
          <wp:extent cx="752475" cy="323850"/>
          <wp:effectExtent l="19050" t="0" r="9525" b="0"/>
          <wp:wrapSquare wrapText="bothSides"/>
          <wp:docPr id="11" name="Imatge 11" descr="Logo-F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FIN"/>
                  <pic:cNvPicPr>
                    <a:picLocks noChangeAspect="1" noChangeArrowheads="1"/>
                  </pic:cNvPicPr>
                </pic:nvPicPr>
                <pic:blipFill>
                  <a:blip r:embed="rId1"/>
                  <a:srcRect/>
                  <a:stretch>
                    <a:fillRect/>
                  </a:stretch>
                </pic:blipFill>
                <pic:spPr bwMode="auto">
                  <a:xfrm>
                    <a:off x="0" y="0"/>
                    <a:ext cx="752475" cy="323850"/>
                  </a:xfrm>
                  <a:prstGeom prst="rect">
                    <a:avLst/>
                  </a:prstGeom>
                  <a:noFill/>
                  <a:ln w="9525">
                    <a:noFill/>
                    <a:miter lim="800000"/>
                    <a:headEnd/>
                    <a:tailEnd/>
                  </a:ln>
                </pic:spPr>
              </pic:pic>
            </a:graphicData>
          </a:graphic>
        </wp:anchor>
      </w:drawing>
    </w:r>
    <w:r w:rsidR="00E728D0">
      <w:rPr>
        <w:bCs/>
        <w:noProof/>
        <w:color w:val="777777"/>
        <w:sz w:val="22"/>
      </w:rPr>
      <w:pict>
        <v:line id="_x0000_s2054" style="position:absolute;z-index:251657216;mso-position-horizontal-relative:text;mso-position-vertical-relative:text" from="-1.5pt,24.55pt" to="484.5pt,24.55pt" strokecolor="#a85400" strokeweight="1pt"/>
      </w:pict>
    </w:r>
    <w:r w:rsidR="00425510">
      <w:rPr>
        <w:bCs/>
        <w:noProof/>
        <w:color w:val="777777"/>
        <w:sz w:val="22"/>
      </w:rPr>
      <w:t>Inversión en vivienda particular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B7A0D68"/>
    <w:lvl w:ilvl="0">
      <w:numFmt w:val="bullet"/>
      <w:lvlText w:val="*"/>
      <w:lvlJc w:val="left"/>
    </w:lvl>
  </w:abstractNum>
  <w:abstractNum w:abstractNumId="1" w15:restartNumberingAfterBreak="0">
    <w:nsid w:val="0D4C482F"/>
    <w:multiLevelType w:val="hybridMultilevel"/>
    <w:tmpl w:val="DF08CDD8"/>
    <w:lvl w:ilvl="0" w:tplc="83140950">
      <w:numFmt w:val="bullet"/>
      <w:lvlText w:val=""/>
      <w:lvlJc w:val="left"/>
      <w:pPr>
        <w:tabs>
          <w:tab w:val="num" w:pos="548"/>
        </w:tabs>
        <w:ind w:left="548" w:hanging="360"/>
      </w:pPr>
      <w:rPr>
        <w:rFonts w:ascii="Wingdings" w:hAnsi="Wingdings" w:cs="Times New Roman" w:hint="default"/>
        <w:b/>
        <w:color w:val="FF9900"/>
        <w:sz w:val="28"/>
      </w:rPr>
    </w:lvl>
    <w:lvl w:ilvl="1" w:tplc="0C0A0003" w:tentative="1">
      <w:start w:val="1"/>
      <w:numFmt w:val="bullet"/>
      <w:lvlText w:val="o"/>
      <w:lvlJc w:val="left"/>
      <w:pPr>
        <w:tabs>
          <w:tab w:val="num" w:pos="1515"/>
        </w:tabs>
        <w:ind w:left="1515" w:hanging="360"/>
      </w:pPr>
      <w:rPr>
        <w:rFonts w:ascii="Courier New" w:hAnsi="Courier New" w:hint="default"/>
      </w:rPr>
    </w:lvl>
    <w:lvl w:ilvl="2" w:tplc="0C0A0005" w:tentative="1">
      <w:start w:val="1"/>
      <w:numFmt w:val="bullet"/>
      <w:lvlText w:val=""/>
      <w:lvlJc w:val="left"/>
      <w:pPr>
        <w:tabs>
          <w:tab w:val="num" w:pos="2235"/>
        </w:tabs>
        <w:ind w:left="2235" w:hanging="360"/>
      </w:pPr>
      <w:rPr>
        <w:rFonts w:ascii="Wingdings" w:hAnsi="Wingdings" w:hint="default"/>
      </w:rPr>
    </w:lvl>
    <w:lvl w:ilvl="3" w:tplc="0C0A0001" w:tentative="1">
      <w:start w:val="1"/>
      <w:numFmt w:val="bullet"/>
      <w:lvlText w:val=""/>
      <w:lvlJc w:val="left"/>
      <w:pPr>
        <w:tabs>
          <w:tab w:val="num" w:pos="2955"/>
        </w:tabs>
        <w:ind w:left="2955" w:hanging="360"/>
      </w:pPr>
      <w:rPr>
        <w:rFonts w:ascii="Symbol" w:hAnsi="Symbol" w:hint="default"/>
      </w:rPr>
    </w:lvl>
    <w:lvl w:ilvl="4" w:tplc="0C0A0003" w:tentative="1">
      <w:start w:val="1"/>
      <w:numFmt w:val="bullet"/>
      <w:lvlText w:val="o"/>
      <w:lvlJc w:val="left"/>
      <w:pPr>
        <w:tabs>
          <w:tab w:val="num" w:pos="3675"/>
        </w:tabs>
        <w:ind w:left="3675" w:hanging="360"/>
      </w:pPr>
      <w:rPr>
        <w:rFonts w:ascii="Courier New" w:hAnsi="Courier New" w:hint="default"/>
      </w:rPr>
    </w:lvl>
    <w:lvl w:ilvl="5" w:tplc="0C0A0005" w:tentative="1">
      <w:start w:val="1"/>
      <w:numFmt w:val="bullet"/>
      <w:lvlText w:val=""/>
      <w:lvlJc w:val="left"/>
      <w:pPr>
        <w:tabs>
          <w:tab w:val="num" w:pos="4395"/>
        </w:tabs>
        <w:ind w:left="4395" w:hanging="360"/>
      </w:pPr>
      <w:rPr>
        <w:rFonts w:ascii="Wingdings" w:hAnsi="Wingdings" w:hint="default"/>
      </w:rPr>
    </w:lvl>
    <w:lvl w:ilvl="6" w:tplc="0C0A0001" w:tentative="1">
      <w:start w:val="1"/>
      <w:numFmt w:val="bullet"/>
      <w:lvlText w:val=""/>
      <w:lvlJc w:val="left"/>
      <w:pPr>
        <w:tabs>
          <w:tab w:val="num" w:pos="5115"/>
        </w:tabs>
        <w:ind w:left="5115" w:hanging="360"/>
      </w:pPr>
      <w:rPr>
        <w:rFonts w:ascii="Symbol" w:hAnsi="Symbol" w:hint="default"/>
      </w:rPr>
    </w:lvl>
    <w:lvl w:ilvl="7" w:tplc="0C0A0003" w:tentative="1">
      <w:start w:val="1"/>
      <w:numFmt w:val="bullet"/>
      <w:lvlText w:val="o"/>
      <w:lvlJc w:val="left"/>
      <w:pPr>
        <w:tabs>
          <w:tab w:val="num" w:pos="5835"/>
        </w:tabs>
        <w:ind w:left="5835" w:hanging="360"/>
      </w:pPr>
      <w:rPr>
        <w:rFonts w:ascii="Courier New" w:hAnsi="Courier New" w:hint="default"/>
      </w:rPr>
    </w:lvl>
    <w:lvl w:ilvl="8" w:tplc="0C0A0005" w:tentative="1">
      <w:start w:val="1"/>
      <w:numFmt w:val="bullet"/>
      <w:lvlText w:val=""/>
      <w:lvlJc w:val="left"/>
      <w:pPr>
        <w:tabs>
          <w:tab w:val="num" w:pos="6555"/>
        </w:tabs>
        <w:ind w:left="6555" w:hanging="360"/>
      </w:pPr>
      <w:rPr>
        <w:rFonts w:ascii="Wingdings" w:hAnsi="Wingdings" w:hint="default"/>
      </w:rPr>
    </w:lvl>
  </w:abstractNum>
  <w:abstractNum w:abstractNumId="2" w15:restartNumberingAfterBreak="0">
    <w:nsid w:val="0DF805D8"/>
    <w:multiLevelType w:val="hybridMultilevel"/>
    <w:tmpl w:val="B4C67CA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212A1F"/>
    <w:multiLevelType w:val="hybridMultilevel"/>
    <w:tmpl w:val="5A3402C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327393"/>
    <w:multiLevelType w:val="hybridMultilevel"/>
    <w:tmpl w:val="4D424E38"/>
    <w:lvl w:ilvl="0" w:tplc="0C0A0001">
      <w:start w:val="1"/>
      <w:numFmt w:val="bullet"/>
      <w:lvlText w:val=""/>
      <w:lvlJc w:val="left"/>
      <w:pPr>
        <w:tabs>
          <w:tab w:val="num" w:pos="780"/>
        </w:tabs>
        <w:ind w:left="780" w:hanging="360"/>
      </w:pPr>
      <w:rPr>
        <w:rFonts w:ascii="Symbol" w:hAnsi="Symbol" w:hint="default"/>
      </w:rPr>
    </w:lvl>
    <w:lvl w:ilvl="1" w:tplc="0C0A0003" w:tentative="1">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F83F4B"/>
    <w:multiLevelType w:val="hybridMultilevel"/>
    <w:tmpl w:val="A0322F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8C6466"/>
    <w:multiLevelType w:val="hybridMultilevel"/>
    <w:tmpl w:val="E2C2CA04"/>
    <w:lvl w:ilvl="0" w:tplc="0C0A0001">
      <w:start w:val="1"/>
      <w:numFmt w:val="bullet"/>
      <w:lvlText w:val=""/>
      <w:lvlJc w:val="left"/>
      <w:pPr>
        <w:tabs>
          <w:tab w:val="num" w:pos="780"/>
        </w:tabs>
        <w:ind w:left="780" w:hanging="360"/>
      </w:pPr>
      <w:rPr>
        <w:rFonts w:ascii="Symbol" w:hAnsi="Symbol"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F1761DC"/>
    <w:multiLevelType w:val="hybridMultilevel"/>
    <w:tmpl w:val="E17E4930"/>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512A24"/>
    <w:multiLevelType w:val="hybridMultilevel"/>
    <w:tmpl w:val="C9D2180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215E581B"/>
    <w:multiLevelType w:val="multilevel"/>
    <w:tmpl w:val="922C4070"/>
    <w:lvl w:ilvl="0">
      <w:start w:val="3"/>
      <w:numFmt w:val="decimal"/>
      <w:lvlText w:val="%1"/>
      <w:lvlJc w:val="left"/>
      <w:pPr>
        <w:tabs>
          <w:tab w:val="num" w:pos="630"/>
        </w:tabs>
        <w:ind w:left="630" w:hanging="63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29B41AF3"/>
    <w:multiLevelType w:val="hybridMultilevel"/>
    <w:tmpl w:val="0EBEDFD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F">
      <w:start w:val="1"/>
      <w:numFmt w:val="decimal"/>
      <w:lvlText w:val="%3."/>
      <w:lvlJc w:val="left"/>
      <w:pPr>
        <w:tabs>
          <w:tab w:val="num" w:pos="2160"/>
        </w:tabs>
        <w:ind w:left="2160" w:hanging="360"/>
      </w:p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9B6904"/>
    <w:multiLevelType w:val="hybridMultilevel"/>
    <w:tmpl w:val="22DCBF2E"/>
    <w:lvl w:ilvl="0" w:tplc="D7BA823C">
      <w:start w:val="1"/>
      <w:numFmt w:val="decimal"/>
      <w:lvlText w:val="I.%1"/>
      <w:lvlJc w:val="left"/>
      <w:pPr>
        <w:tabs>
          <w:tab w:val="num" w:pos="1260"/>
        </w:tabs>
        <w:ind w:left="1260" w:hanging="360"/>
      </w:pPr>
      <w:rPr>
        <w:rFonts w:ascii="Verdana" w:hAnsi="Verdana" w:hint="default"/>
        <w:b/>
        <w:i w:val="0"/>
        <w:color w:val="333399"/>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D01308A"/>
    <w:multiLevelType w:val="hybridMultilevel"/>
    <w:tmpl w:val="C44ACC5A"/>
    <w:lvl w:ilvl="0" w:tplc="0C0A000F">
      <w:start w:val="1"/>
      <w:numFmt w:val="decimal"/>
      <w:lvlText w:val="%1."/>
      <w:lvlJc w:val="left"/>
      <w:pPr>
        <w:tabs>
          <w:tab w:val="num" w:pos="360"/>
        </w:tabs>
        <w:ind w:left="360" w:hanging="360"/>
      </w:pPr>
      <w:rPr>
        <w:rFont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E774E3E"/>
    <w:multiLevelType w:val="hybridMultilevel"/>
    <w:tmpl w:val="B148B6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45741C"/>
    <w:multiLevelType w:val="hybridMultilevel"/>
    <w:tmpl w:val="620A82F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8C14DE"/>
    <w:multiLevelType w:val="hybridMultilevel"/>
    <w:tmpl w:val="872E5BA6"/>
    <w:lvl w:ilvl="0" w:tplc="0C0A0001">
      <w:start w:val="1"/>
      <w:numFmt w:val="bullet"/>
      <w:lvlText w:val=""/>
      <w:lvlJc w:val="left"/>
      <w:pPr>
        <w:tabs>
          <w:tab w:val="num" w:pos="1260"/>
        </w:tabs>
        <w:ind w:left="1260" w:hanging="360"/>
      </w:pPr>
      <w:rPr>
        <w:rFonts w:ascii="Symbol" w:hAnsi="Symbol" w:hint="default"/>
      </w:rPr>
    </w:lvl>
    <w:lvl w:ilvl="1" w:tplc="0C0A0003" w:tentative="1">
      <w:start w:val="1"/>
      <w:numFmt w:val="bullet"/>
      <w:lvlText w:val="o"/>
      <w:lvlJc w:val="left"/>
      <w:pPr>
        <w:tabs>
          <w:tab w:val="num" w:pos="1980"/>
        </w:tabs>
        <w:ind w:left="1980" w:hanging="360"/>
      </w:pPr>
      <w:rPr>
        <w:rFonts w:ascii="Courier New" w:hAnsi="Courier New" w:hint="default"/>
      </w:rPr>
    </w:lvl>
    <w:lvl w:ilvl="2" w:tplc="0C0A0005" w:tentative="1">
      <w:start w:val="1"/>
      <w:numFmt w:val="bullet"/>
      <w:lvlText w:val=""/>
      <w:lvlJc w:val="left"/>
      <w:pPr>
        <w:tabs>
          <w:tab w:val="num" w:pos="2700"/>
        </w:tabs>
        <w:ind w:left="2700" w:hanging="360"/>
      </w:pPr>
      <w:rPr>
        <w:rFonts w:ascii="Wingdings" w:hAnsi="Wingdings" w:hint="default"/>
      </w:rPr>
    </w:lvl>
    <w:lvl w:ilvl="3" w:tplc="0C0A0001" w:tentative="1">
      <w:start w:val="1"/>
      <w:numFmt w:val="bullet"/>
      <w:lvlText w:val=""/>
      <w:lvlJc w:val="left"/>
      <w:pPr>
        <w:tabs>
          <w:tab w:val="num" w:pos="3420"/>
        </w:tabs>
        <w:ind w:left="3420" w:hanging="360"/>
      </w:pPr>
      <w:rPr>
        <w:rFonts w:ascii="Symbol" w:hAnsi="Symbol" w:hint="default"/>
      </w:rPr>
    </w:lvl>
    <w:lvl w:ilvl="4" w:tplc="0C0A0003" w:tentative="1">
      <w:start w:val="1"/>
      <w:numFmt w:val="bullet"/>
      <w:lvlText w:val="o"/>
      <w:lvlJc w:val="left"/>
      <w:pPr>
        <w:tabs>
          <w:tab w:val="num" w:pos="4140"/>
        </w:tabs>
        <w:ind w:left="4140" w:hanging="360"/>
      </w:pPr>
      <w:rPr>
        <w:rFonts w:ascii="Courier New" w:hAnsi="Courier New" w:hint="default"/>
      </w:rPr>
    </w:lvl>
    <w:lvl w:ilvl="5" w:tplc="0C0A0005" w:tentative="1">
      <w:start w:val="1"/>
      <w:numFmt w:val="bullet"/>
      <w:lvlText w:val=""/>
      <w:lvlJc w:val="left"/>
      <w:pPr>
        <w:tabs>
          <w:tab w:val="num" w:pos="4860"/>
        </w:tabs>
        <w:ind w:left="4860" w:hanging="360"/>
      </w:pPr>
      <w:rPr>
        <w:rFonts w:ascii="Wingdings" w:hAnsi="Wingdings" w:hint="default"/>
      </w:rPr>
    </w:lvl>
    <w:lvl w:ilvl="6" w:tplc="0C0A0001" w:tentative="1">
      <w:start w:val="1"/>
      <w:numFmt w:val="bullet"/>
      <w:lvlText w:val=""/>
      <w:lvlJc w:val="left"/>
      <w:pPr>
        <w:tabs>
          <w:tab w:val="num" w:pos="5580"/>
        </w:tabs>
        <w:ind w:left="5580" w:hanging="360"/>
      </w:pPr>
      <w:rPr>
        <w:rFonts w:ascii="Symbol" w:hAnsi="Symbol" w:hint="default"/>
      </w:rPr>
    </w:lvl>
    <w:lvl w:ilvl="7" w:tplc="0C0A0003" w:tentative="1">
      <w:start w:val="1"/>
      <w:numFmt w:val="bullet"/>
      <w:lvlText w:val="o"/>
      <w:lvlJc w:val="left"/>
      <w:pPr>
        <w:tabs>
          <w:tab w:val="num" w:pos="6300"/>
        </w:tabs>
        <w:ind w:left="6300" w:hanging="360"/>
      </w:pPr>
      <w:rPr>
        <w:rFonts w:ascii="Courier New" w:hAnsi="Courier New" w:hint="default"/>
      </w:rPr>
    </w:lvl>
    <w:lvl w:ilvl="8" w:tplc="0C0A0005" w:tentative="1">
      <w:start w:val="1"/>
      <w:numFmt w:val="bullet"/>
      <w:lvlText w:val=""/>
      <w:lvlJc w:val="left"/>
      <w:pPr>
        <w:tabs>
          <w:tab w:val="num" w:pos="7020"/>
        </w:tabs>
        <w:ind w:left="7020" w:hanging="360"/>
      </w:pPr>
      <w:rPr>
        <w:rFonts w:ascii="Wingdings" w:hAnsi="Wingdings" w:hint="default"/>
      </w:rPr>
    </w:lvl>
  </w:abstractNum>
  <w:abstractNum w:abstractNumId="16" w15:restartNumberingAfterBreak="0">
    <w:nsid w:val="39B8781B"/>
    <w:multiLevelType w:val="hybridMultilevel"/>
    <w:tmpl w:val="F394224E"/>
    <w:lvl w:ilvl="0" w:tplc="0C0A000F">
      <w:start w:val="1"/>
      <w:numFmt w:val="decimal"/>
      <w:lvlText w:val="%1."/>
      <w:lvlJc w:val="left"/>
      <w:pPr>
        <w:tabs>
          <w:tab w:val="num" w:pos="360"/>
        </w:tabs>
        <w:ind w:left="360" w:hanging="360"/>
      </w:pPr>
      <w:rPr>
        <w:rFont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9BA58EE"/>
    <w:multiLevelType w:val="hybridMultilevel"/>
    <w:tmpl w:val="B1220E2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7808AC"/>
    <w:multiLevelType w:val="multilevel"/>
    <w:tmpl w:val="BFDA9406"/>
    <w:lvl w:ilvl="0">
      <w:start w:val="1"/>
      <w:numFmt w:val="decimal"/>
      <w:pStyle w:val="Ttol1"/>
      <w:lvlText w:val="%1."/>
      <w:lvlJc w:val="left"/>
      <w:pPr>
        <w:tabs>
          <w:tab w:val="num" w:pos="0"/>
        </w:tabs>
        <w:ind w:left="-360" w:firstLine="0"/>
      </w:pPr>
      <w:rPr>
        <w:rFonts w:hint="default"/>
      </w:rPr>
    </w:lvl>
    <w:lvl w:ilvl="1">
      <w:start w:val="1"/>
      <w:numFmt w:val="decimal"/>
      <w:pStyle w:val="Ttol2"/>
      <w:lvlText w:val="%1.%2."/>
      <w:lvlJc w:val="left"/>
      <w:pPr>
        <w:tabs>
          <w:tab w:val="num" w:pos="720"/>
        </w:tabs>
        <w:ind w:left="0" w:firstLine="0"/>
      </w:pPr>
      <w:rPr>
        <w:rFonts w:hint="default"/>
      </w:rPr>
    </w:lvl>
    <w:lvl w:ilvl="2">
      <w:start w:val="1"/>
      <w:numFmt w:val="decimal"/>
      <w:lvlText w:val="%1.%2.%3."/>
      <w:lvlJc w:val="left"/>
      <w:pPr>
        <w:tabs>
          <w:tab w:val="num" w:pos="1800"/>
        </w:tabs>
        <w:ind w:left="864" w:hanging="504"/>
      </w:pPr>
      <w:rPr>
        <w:rFonts w:hint="default"/>
      </w:rPr>
    </w:lvl>
    <w:lvl w:ilvl="3">
      <w:start w:val="1"/>
      <w:numFmt w:val="decimal"/>
      <w:lvlText w:val="%1.%2.%3.%4."/>
      <w:lvlJc w:val="left"/>
      <w:pPr>
        <w:tabs>
          <w:tab w:val="num" w:pos="2880"/>
        </w:tabs>
        <w:ind w:left="1368" w:hanging="648"/>
      </w:pPr>
      <w:rPr>
        <w:rFonts w:hint="default"/>
      </w:rPr>
    </w:lvl>
    <w:lvl w:ilvl="4">
      <w:start w:val="1"/>
      <w:numFmt w:val="decimal"/>
      <w:lvlText w:val="%1.%2.%3.%4.%5."/>
      <w:lvlJc w:val="left"/>
      <w:pPr>
        <w:tabs>
          <w:tab w:val="num" w:pos="3600"/>
        </w:tabs>
        <w:ind w:left="1872" w:hanging="792"/>
      </w:pPr>
      <w:rPr>
        <w:rFonts w:hint="default"/>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40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9" w15:restartNumberingAfterBreak="0">
    <w:nsid w:val="3DD722EC"/>
    <w:multiLevelType w:val="hybridMultilevel"/>
    <w:tmpl w:val="C20E24D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D46EF2"/>
    <w:multiLevelType w:val="hybridMultilevel"/>
    <w:tmpl w:val="11AC566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E2E080B"/>
    <w:multiLevelType w:val="hybridMultilevel"/>
    <w:tmpl w:val="7C9C065C"/>
    <w:lvl w:ilvl="0" w:tplc="63BA6372">
      <w:start w:val="1"/>
      <w:numFmt w:val="bullet"/>
      <w:pStyle w:val="Item"/>
      <w:lvlText w:val=""/>
      <w:lvlJc w:val="left"/>
      <w:pPr>
        <w:tabs>
          <w:tab w:val="num" w:pos="360"/>
        </w:tabs>
        <w:ind w:left="360" w:hanging="360"/>
      </w:pPr>
      <w:rPr>
        <w:rFonts w:ascii="Webdings" w:hAnsi="Webdings" w:hint="default"/>
        <w:color w:val="793D00"/>
        <w:sz w:val="24"/>
        <w:szCs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A259A0"/>
    <w:multiLevelType w:val="multilevel"/>
    <w:tmpl w:val="9C5AC856"/>
    <w:lvl w:ilvl="0">
      <w:start w:val="1"/>
      <w:numFmt w:val="bullet"/>
      <w:lvlText w:val=""/>
      <w:lvlJc w:val="left"/>
      <w:pPr>
        <w:tabs>
          <w:tab w:val="num" w:pos="360"/>
        </w:tabs>
        <w:ind w:left="360" w:hanging="360"/>
      </w:pPr>
      <w:rPr>
        <w:rFonts w:ascii="Webdings" w:hAnsi="Webdings" w:hint="default"/>
        <w:color w:val="00008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CA774E"/>
    <w:multiLevelType w:val="hybridMultilevel"/>
    <w:tmpl w:val="64240F2A"/>
    <w:lvl w:ilvl="0" w:tplc="05701CCC">
      <w:start w:val="1"/>
      <w:numFmt w:val="bullet"/>
      <w:pStyle w:val="Item1"/>
      <w:lvlText w:val=""/>
      <w:lvlJc w:val="left"/>
      <w:pPr>
        <w:tabs>
          <w:tab w:val="num" w:pos="717"/>
        </w:tabs>
        <w:ind w:left="714" w:hanging="357"/>
      </w:pPr>
      <w:rPr>
        <w:rFonts w:ascii="Wingdings" w:hAnsi="Wingdings" w:hint="default"/>
        <w:color w:val="808080"/>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9E73A8"/>
    <w:multiLevelType w:val="hybridMultilevel"/>
    <w:tmpl w:val="2CD42C6A"/>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E742D5"/>
    <w:multiLevelType w:val="singleLevel"/>
    <w:tmpl w:val="F9AE137C"/>
    <w:lvl w:ilvl="0">
      <w:start w:val="1"/>
      <w:numFmt w:val="bullet"/>
      <w:pStyle w:val="Item2"/>
      <w:lvlText w:val="-"/>
      <w:lvlJc w:val="left"/>
      <w:pPr>
        <w:tabs>
          <w:tab w:val="num" w:pos="360"/>
        </w:tabs>
        <w:ind w:left="360" w:hanging="360"/>
      </w:pPr>
      <w:rPr>
        <w:rFonts w:ascii="Arial MT Black" w:hAnsi="Arial MT Black" w:hint="default"/>
        <w:sz w:val="16"/>
      </w:rPr>
    </w:lvl>
  </w:abstractNum>
  <w:abstractNum w:abstractNumId="26" w15:restartNumberingAfterBreak="0">
    <w:nsid w:val="5EB6428C"/>
    <w:multiLevelType w:val="singleLevel"/>
    <w:tmpl w:val="38B60A34"/>
    <w:lvl w:ilvl="0">
      <w:start w:val="1"/>
      <w:numFmt w:val="bullet"/>
      <w:lvlText w:val=""/>
      <w:lvlJc w:val="left"/>
      <w:pPr>
        <w:tabs>
          <w:tab w:val="num" w:pos="360"/>
        </w:tabs>
        <w:ind w:left="360" w:hanging="360"/>
      </w:pPr>
      <w:rPr>
        <w:rFonts w:ascii="Webdings" w:hAnsi="Webdings" w:hint="default"/>
        <w:sz w:val="24"/>
      </w:rPr>
    </w:lvl>
  </w:abstractNum>
  <w:abstractNum w:abstractNumId="27" w15:restartNumberingAfterBreak="0">
    <w:nsid w:val="63F73C00"/>
    <w:multiLevelType w:val="hybridMultilevel"/>
    <w:tmpl w:val="F4FCFB9C"/>
    <w:lvl w:ilvl="0" w:tplc="B4B2B094">
      <w:start w:val="1"/>
      <w:numFmt w:val="decimal"/>
      <w:lvlText w:val="II.%1"/>
      <w:lvlJc w:val="left"/>
      <w:pPr>
        <w:tabs>
          <w:tab w:val="num" w:pos="1620"/>
        </w:tabs>
        <w:ind w:left="1260" w:hanging="360"/>
      </w:pPr>
      <w:rPr>
        <w:rFonts w:ascii="Verdana" w:hAnsi="Verdana" w:hint="default"/>
        <w:b/>
        <w:i w:val="0"/>
        <w:color w:val="333399"/>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6E3D7939"/>
    <w:multiLevelType w:val="hybridMultilevel"/>
    <w:tmpl w:val="AA3E7702"/>
    <w:lvl w:ilvl="0" w:tplc="6EC02F0A">
      <w:start w:val="1"/>
      <w:numFmt w:val="bullet"/>
      <w:pStyle w:val="vieta1"/>
      <w:lvlText w:val=""/>
      <w:lvlJc w:val="left"/>
      <w:pPr>
        <w:tabs>
          <w:tab w:val="num" w:pos="794"/>
        </w:tabs>
        <w:ind w:left="794" w:hanging="397"/>
      </w:pPr>
      <w:rPr>
        <w:rFonts w:ascii="Wingdings" w:hAnsi="Wingdings" w:hint="default"/>
        <w:color w:val="FFCC00"/>
      </w:rPr>
    </w:lvl>
    <w:lvl w:ilvl="1" w:tplc="36ACDF74">
      <w:start w:val="5"/>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4171AA"/>
    <w:multiLevelType w:val="hybridMultilevel"/>
    <w:tmpl w:val="872E5BA6"/>
    <w:lvl w:ilvl="0" w:tplc="97C4C126">
      <w:start w:val="1"/>
      <w:numFmt w:val="decimal"/>
      <w:lvlText w:val="(O%1)"/>
      <w:lvlJc w:val="left"/>
      <w:pPr>
        <w:tabs>
          <w:tab w:val="num" w:pos="1620"/>
        </w:tabs>
        <w:ind w:left="1260" w:hanging="360"/>
      </w:pPr>
      <w:rPr>
        <w:rFonts w:ascii="Verdana" w:hAnsi="Verdana" w:hint="default"/>
        <w:b/>
        <w:i w:val="0"/>
        <w:color w:val="333399"/>
      </w:rPr>
    </w:lvl>
    <w:lvl w:ilvl="1" w:tplc="0C0A0003" w:tentative="1">
      <w:start w:val="1"/>
      <w:numFmt w:val="bullet"/>
      <w:lvlText w:val="o"/>
      <w:lvlJc w:val="left"/>
      <w:pPr>
        <w:tabs>
          <w:tab w:val="num" w:pos="1980"/>
        </w:tabs>
        <w:ind w:left="1980" w:hanging="360"/>
      </w:pPr>
      <w:rPr>
        <w:rFonts w:ascii="Courier New" w:hAnsi="Courier New" w:hint="default"/>
      </w:rPr>
    </w:lvl>
    <w:lvl w:ilvl="2" w:tplc="0C0A0005" w:tentative="1">
      <w:start w:val="1"/>
      <w:numFmt w:val="bullet"/>
      <w:lvlText w:val=""/>
      <w:lvlJc w:val="left"/>
      <w:pPr>
        <w:tabs>
          <w:tab w:val="num" w:pos="2700"/>
        </w:tabs>
        <w:ind w:left="2700" w:hanging="360"/>
      </w:pPr>
      <w:rPr>
        <w:rFonts w:ascii="Wingdings" w:hAnsi="Wingdings" w:hint="default"/>
      </w:rPr>
    </w:lvl>
    <w:lvl w:ilvl="3" w:tplc="0C0A0001" w:tentative="1">
      <w:start w:val="1"/>
      <w:numFmt w:val="bullet"/>
      <w:lvlText w:val=""/>
      <w:lvlJc w:val="left"/>
      <w:pPr>
        <w:tabs>
          <w:tab w:val="num" w:pos="3420"/>
        </w:tabs>
        <w:ind w:left="3420" w:hanging="360"/>
      </w:pPr>
      <w:rPr>
        <w:rFonts w:ascii="Symbol" w:hAnsi="Symbol" w:hint="default"/>
      </w:rPr>
    </w:lvl>
    <w:lvl w:ilvl="4" w:tplc="0C0A0003" w:tentative="1">
      <w:start w:val="1"/>
      <w:numFmt w:val="bullet"/>
      <w:lvlText w:val="o"/>
      <w:lvlJc w:val="left"/>
      <w:pPr>
        <w:tabs>
          <w:tab w:val="num" w:pos="4140"/>
        </w:tabs>
        <w:ind w:left="4140" w:hanging="360"/>
      </w:pPr>
      <w:rPr>
        <w:rFonts w:ascii="Courier New" w:hAnsi="Courier New" w:hint="default"/>
      </w:rPr>
    </w:lvl>
    <w:lvl w:ilvl="5" w:tplc="0C0A0005" w:tentative="1">
      <w:start w:val="1"/>
      <w:numFmt w:val="bullet"/>
      <w:lvlText w:val=""/>
      <w:lvlJc w:val="left"/>
      <w:pPr>
        <w:tabs>
          <w:tab w:val="num" w:pos="4860"/>
        </w:tabs>
        <w:ind w:left="4860" w:hanging="360"/>
      </w:pPr>
      <w:rPr>
        <w:rFonts w:ascii="Wingdings" w:hAnsi="Wingdings" w:hint="default"/>
      </w:rPr>
    </w:lvl>
    <w:lvl w:ilvl="6" w:tplc="0C0A0001" w:tentative="1">
      <w:start w:val="1"/>
      <w:numFmt w:val="bullet"/>
      <w:lvlText w:val=""/>
      <w:lvlJc w:val="left"/>
      <w:pPr>
        <w:tabs>
          <w:tab w:val="num" w:pos="5580"/>
        </w:tabs>
        <w:ind w:left="5580" w:hanging="360"/>
      </w:pPr>
      <w:rPr>
        <w:rFonts w:ascii="Symbol" w:hAnsi="Symbol" w:hint="default"/>
      </w:rPr>
    </w:lvl>
    <w:lvl w:ilvl="7" w:tplc="0C0A0003" w:tentative="1">
      <w:start w:val="1"/>
      <w:numFmt w:val="bullet"/>
      <w:lvlText w:val="o"/>
      <w:lvlJc w:val="left"/>
      <w:pPr>
        <w:tabs>
          <w:tab w:val="num" w:pos="6300"/>
        </w:tabs>
        <w:ind w:left="6300" w:hanging="360"/>
      </w:pPr>
      <w:rPr>
        <w:rFonts w:ascii="Courier New" w:hAnsi="Courier New" w:hint="default"/>
      </w:rPr>
    </w:lvl>
    <w:lvl w:ilvl="8" w:tplc="0C0A0005" w:tentative="1">
      <w:start w:val="1"/>
      <w:numFmt w:val="bullet"/>
      <w:lvlText w:val=""/>
      <w:lvlJc w:val="left"/>
      <w:pPr>
        <w:tabs>
          <w:tab w:val="num" w:pos="7020"/>
        </w:tabs>
        <w:ind w:left="7020" w:hanging="360"/>
      </w:pPr>
      <w:rPr>
        <w:rFonts w:ascii="Wingdings" w:hAnsi="Wingdings" w:hint="default"/>
      </w:rPr>
    </w:lvl>
  </w:abstractNum>
  <w:abstractNum w:abstractNumId="30" w15:restartNumberingAfterBreak="0">
    <w:nsid w:val="72167DC7"/>
    <w:multiLevelType w:val="multilevel"/>
    <w:tmpl w:val="7C9C065C"/>
    <w:lvl w:ilvl="0">
      <w:start w:val="1"/>
      <w:numFmt w:val="bullet"/>
      <w:lvlText w:val=""/>
      <w:lvlJc w:val="left"/>
      <w:pPr>
        <w:tabs>
          <w:tab w:val="num" w:pos="360"/>
        </w:tabs>
        <w:ind w:left="360" w:hanging="360"/>
      </w:pPr>
      <w:rPr>
        <w:rFonts w:ascii="Webdings" w:hAnsi="Webdings" w:hint="default"/>
        <w:color w:val="793D00"/>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A56115"/>
    <w:multiLevelType w:val="hybridMultilevel"/>
    <w:tmpl w:val="48A8D3A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2" w15:restartNumberingAfterBreak="0">
    <w:nsid w:val="77957441"/>
    <w:multiLevelType w:val="singleLevel"/>
    <w:tmpl w:val="AF76B50E"/>
    <w:lvl w:ilvl="0">
      <w:start w:val="1"/>
      <w:numFmt w:val="bullet"/>
      <w:lvlText w:val=""/>
      <w:lvlJc w:val="left"/>
      <w:pPr>
        <w:tabs>
          <w:tab w:val="num" w:pos="360"/>
        </w:tabs>
        <w:ind w:left="360" w:hanging="360"/>
      </w:pPr>
      <w:rPr>
        <w:rFonts w:ascii="Wingdings" w:hAnsi="Wingdings" w:hint="default"/>
        <w:sz w:val="24"/>
      </w:rPr>
    </w:lvl>
  </w:abstractNum>
  <w:num w:numId="1">
    <w:abstractNumId w:val="26"/>
  </w:num>
  <w:num w:numId="2">
    <w:abstractNumId w:val="32"/>
  </w:num>
  <w:num w:numId="3">
    <w:abstractNumId w:val="25"/>
  </w:num>
  <w:num w:numId="4">
    <w:abstractNumId w:val="18"/>
  </w:num>
  <w:num w:numId="5">
    <w:abstractNumId w:val="18"/>
  </w:num>
  <w:num w:numId="6">
    <w:abstractNumId w:val="5"/>
  </w:num>
  <w:num w:numId="7">
    <w:abstractNumId w:val="17"/>
  </w:num>
  <w:num w:numId="8">
    <w:abstractNumId w:val="14"/>
  </w:num>
  <w:num w:numId="9">
    <w:abstractNumId w:val="31"/>
  </w:num>
  <w:num w:numId="10">
    <w:abstractNumId w:val="15"/>
  </w:num>
  <w:num w:numId="11">
    <w:abstractNumId w:val="29"/>
  </w:num>
  <w:num w:numId="12">
    <w:abstractNumId w:val="11"/>
  </w:num>
  <w:num w:numId="13">
    <w:abstractNumId w:val="27"/>
  </w:num>
  <w:num w:numId="14">
    <w:abstractNumId w:val="13"/>
  </w:num>
  <w:num w:numId="15">
    <w:abstractNumId w:val="9"/>
  </w:num>
  <w:num w:numId="16">
    <w:abstractNumId w:val="21"/>
  </w:num>
  <w:num w:numId="17">
    <w:abstractNumId w:val="23"/>
  </w:num>
  <w:num w:numId="18">
    <w:abstractNumId w:val="28"/>
  </w:num>
  <w:num w:numId="19">
    <w:abstractNumId w:val="1"/>
  </w:num>
  <w:num w:numId="20">
    <w:abstractNumId w:val="0"/>
    <w:lvlOverride w:ilvl="0">
      <w:lvl w:ilvl="0">
        <w:numFmt w:val="bullet"/>
        <w:lvlText w:val="•"/>
        <w:legacy w:legacy="1" w:legacySpace="0" w:legacyIndent="0"/>
        <w:lvlJc w:val="left"/>
        <w:rPr>
          <w:rFonts w:ascii="Verdana" w:hAnsi="Verdana" w:hint="default"/>
          <w:sz w:val="24"/>
        </w:rPr>
      </w:lvl>
    </w:lvlOverride>
  </w:num>
  <w:num w:numId="21">
    <w:abstractNumId w:val="4"/>
  </w:num>
  <w:num w:numId="22">
    <w:abstractNumId w:val="16"/>
  </w:num>
  <w:num w:numId="23">
    <w:abstractNumId w:val="20"/>
  </w:num>
  <w:num w:numId="24">
    <w:abstractNumId w:val="12"/>
  </w:num>
  <w:num w:numId="25">
    <w:abstractNumId w:val="2"/>
  </w:num>
  <w:num w:numId="26">
    <w:abstractNumId w:val="24"/>
  </w:num>
  <w:num w:numId="27">
    <w:abstractNumId w:val="8"/>
  </w:num>
  <w:num w:numId="28">
    <w:abstractNumId w:val="7"/>
  </w:num>
  <w:num w:numId="29">
    <w:abstractNumId w:val="19"/>
  </w:num>
  <w:num w:numId="30">
    <w:abstractNumId w:val="3"/>
  </w:num>
  <w:num w:numId="31">
    <w:abstractNumId w:val="10"/>
  </w:num>
  <w:num w:numId="32">
    <w:abstractNumId w:val="6"/>
  </w:num>
  <w:num w:numId="33">
    <w:abstractNumId w:val="18"/>
  </w:num>
  <w:num w:numId="34">
    <w:abstractNumId w:val="18"/>
  </w:num>
  <w:num w:numId="35">
    <w:abstractNumId w:val="22"/>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9" w:dllVersion="512"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5">
      <o:colormru v:ext="edit" colors="#989fb0,#a9afbd,#777,#969696,#eaeaea,#197b30,#b80000,#a854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79E5"/>
    <w:rsid w:val="00080415"/>
    <w:rsid w:val="000A6CE9"/>
    <w:rsid w:val="000A6DE7"/>
    <w:rsid w:val="000E41D5"/>
    <w:rsid w:val="001870FB"/>
    <w:rsid w:val="00196714"/>
    <w:rsid w:val="00265504"/>
    <w:rsid w:val="003309D1"/>
    <w:rsid w:val="00425510"/>
    <w:rsid w:val="004D160E"/>
    <w:rsid w:val="004F681E"/>
    <w:rsid w:val="00593A96"/>
    <w:rsid w:val="00605A7E"/>
    <w:rsid w:val="006438AA"/>
    <w:rsid w:val="006E062D"/>
    <w:rsid w:val="007C70DD"/>
    <w:rsid w:val="00864420"/>
    <w:rsid w:val="008B0E01"/>
    <w:rsid w:val="008D0D3A"/>
    <w:rsid w:val="009016F8"/>
    <w:rsid w:val="00953AC4"/>
    <w:rsid w:val="00A579E5"/>
    <w:rsid w:val="00AB041E"/>
    <w:rsid w:val="00AF4361"/>
    <w:rsid w:val="00D75449"/>
    <w:rsid w:val="00D86B82"/>
    <w:rsid w:val="00E728D0"/>
    <w:rsid w:val="00F731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5">
      <o:colormru v:ext="edit" colors="#989fb0,#a9afbd,#777,#969696,#eaeaea,#197b30,#b80000,#a85400"/>
    </o:shapedefaults>
    <o:shapelayout v:ext="edit">
      <o:idmap v:ext="edit" data="1"/>
    </o:shapelayout>
  </w:shapeDefaults>
  <w:decimalSymbol w:val=","/>
  <w:listSeparator w:val=";"/>
  <w15:docId w15:val="{984691BC-F0D0-4D06-89E6-C782EBBD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180"/>
    </w:pPr>
    <w:rPr>
      <w:rFonts w:ascii="Verdana" w:hAnsi="Verdana"/>
    </w:rPr>
  </w:style>
  <w:style w:type="paragraph" w:styleId="Ttol1">
    <w:name w:val="heading 1"/>
    <w:basedOn w:val="Normal"/>
    <w:next w:val="Normal"/>
    <w:qFormat/>
    <w:rsid w:val="00593A96"/>
    <w:pPr>
      <w:keepNext/>
      <w:numPr>
        <w:numId w:val="4"/>
      </w:numPr>
      <w:spacing w:before="360" w:after="120"/>
      <w:ind w:left="0"/>
      <w:outlineLvl w:val="0"/>
    </w:pPr>
    <w:rPr>
      <w:b/>
      <w:color w:val="793D00"/>
      <w:spacing w:val="16"/>
      <w:kern w:val="28"/>
      <w:sz w:val="24"/>
      <w:szCs w:val="24"/>
      <w:lang w:val="ca-ES"/>
    </w:rPr>
  </w:style>
  <w:style w:type="paragraph" w:styleId="Ttol2">
    <w:name w:val="heading 2"/>
    <w:basedOn w:val="Normal"/>
    <w:next w:val="Normal"/>
    <w:qFormat/>
    <w:rsid w:val="00593A96"/>
    <w:pPr>
      <w:keepNext/>
      <w:numPr>
        <w:ilvl w:val="1"/>
        <w:numId w:val="5"/>
      </w:numPr>
      <w:spacing w:before="360" w:after="120"/>
      <w:outlineLvl w:val="1"/>
    </w:pPr>
    <w:rPr>
      <w:b/>
      <w:color w:val="A85400"/>
      <w:spacing w:val="16"/>
      <w:sz w:val="22"/>
      <w:lang w:val="ca-ES"/>
    </w:rPr>
  </w:style>
  <w:style w:type="paragraph" w:styleId="Ttol3">
    <w:name w:val="heading 3"/>
    <w:basedOn w:val="Normal"/>
    <w:next w:val="Normal"/>
    <w:link w:val="Ttol3Car"/>
    <w:qFormat/>
    <w:rsid w:val="00593A96"/>
    <w:pPr>
      <w:keepNext/>
      <w:spacing w:before="360"/>
      <w:outlineLvl w:val="2"/>
    </w:pPr>
    <w:rPr>
      <w:b/>
      <w:color w:val="A85400"/>
      <w:sz w:val="22"/>
      <w:szCs w:val="22"/>
    </w:rPr>
  </w:style>
  <w:style w:type="paragraph" w:styleId="Ttol4">
    <w:name w:val="heading 4"/>
    <w:basedOn w:val="Normal"/>
    <w:next w:val="Normal"/>
    <w:qFormat/>
    <w:pPr>
      <w:keepNext/>
      <w:spacing w:before="180"/>
      <w:outlineLvl w:val="3"/>
    </w:pPr>
    <w:rPr>
      <w:b/>
      <w:bCs/>
    </w:rPr>
  </w:style>
  <w:style w:type="paragraph" w:styleId="Ttol5">
    <w:name w:val="heading 5"/>
    <w:basedOn w:val="Normal"/>
    <w:next w:val="Normal"/>
    <w:qFormat/>
    <w:pPr>
      <w:keepNext/>
      <w:jc w:val="center"/>
      <w:outlineLvl w:val="4"/>
    </w:pPr>
    <w:rPr>
      <w:sz w:val="40"/>
    </w:rPr>
  </w:style>
  <w:style w:type="paragraph" w:styleId="Ttol6">
    <w:name w:val="heading 6"/>
    <w:basedOn w:val="Normal"/>
    <w:next w:val="Normal"/>
    <w:qFormat/>
    <w:pPr>
      <w:keepNext/>
      <w:ind w:left="426"/>
      <w:outlineLvl w:val="5"/>
    </w:pPr>
    <w:rPr>
      <w:b/>
      <w:bCs/>
      <w:color w:val="000000"/>
    </w:rPr>
  </w:style>
  <w:style w:type="paragraph" w:styleId="Ttol7">
    <w:name w:val="heading 7"/>
    <w:basedOn w:val="Normal"/>
    <w:next w:val="Normal"/>
    <w:qFormat/>
    <w:pPr>
      <w:keepNext/>
      <w:ind w:left="709"/>
      <w:outlineLvl w:val="6"/>
    </w:pPr>
    <w:rPr>
      <w:b/>
      <w:bCs/>
      <w:color w:val="808080"/>
    </w:rPr>
  </w:style>
  <w:style w:type="paragraph" w:styleId="Ttol8">
    <w:name w:val="heading 8"/>
    <w:basedOn w:val="Normal"/>
    <w:next w:val="Normal"/>
    <w:qFormat/>
    <w:pPr>
      <w:keepNext/>
      <w:ind w:left="426"/>
      <w:outlineLvl w:val="7"/>
    </w:pPr>
    <w:rPr>
      <w:b/>
      <w:bCs/>
    </w:rPr>
  </w:style>
  <w:style w:type="paragraph" w:styleId="Ttol9">
    <w:name w:val="heading 9"/>
    <w:basedOn w:val="Normal"/>
    <w:next w:val="Normal"/>
    <w:qFormat/>
    <w:pPr>
      <w:keepNext/>
      <w:ind w:left="709"/>
      <w:outlineLvl w:val="8"/>
    </w:pPr>
    <w:rPr>
      <w:b/>
      <w:bC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Sagniadetextindependent">
    <w:name w:val="Body Text Indent"/>
    <w:basedOn w:val="Normal"/>
    <w:pPr>
      <w:ind w:left="708"/>
    </w:pPr>
    <w:rPr>
      <w:i/>
      <w:iCs/>
    </w:rPr>
  </w:style>
  <w:style w:type="paragraph" w:customStyle="1" w:styleId="Adeterminar">
    <w:name w:val="A determinar"/>
    <w:basedOn w:val="Sagniadetextindependent"/>
    <w:pPr>
      <w:shd w:val="clear" w:color="auto" w:fill="E0E0E0"/>
    </w:pPr>
  </w:style>
  <w:style w:type="paragraph" w:styleId="Capalera">
    <w:name w:val="header"/>
    <w:basedOn w:val="Normal"/>
    <w:pPr>
      <w:tabs>
        <w:tab w:val="center" w:pos="4419"/>
        <w:tab w:val="right" w:pos="8838"/>
      </w:tabs>
    </w:pPr>
  </w:style>
  <w:style w:type="character" w:styleId="Enlla">
    <w:name w:val="Hyperlink"/>
    <w:basedOn w:val="Tipusdelletraperdefectedelpargraf"/>
    <w:rPr>
      <w:color w:val="0000FF"/>
      <w:u w:val="single"/>
    </w:rPr>
  </w:style>
  <w:style w:type="character" w:styleId="Enllavisitat">
    <w:name w:val="FollowedHyperlink"/>
    <w:basedOn w:val="Tipusdelletraperdefectedelpargraf"/>
    <w:rPr>
      <w:color w:val="800080"/>
      <w:u w:val="single"/>
    </w:rPr>
  </w:style>
  <w:style w:type="paragraph" w:customStyle="1" w:styleId="Item">
    <w:name w:val="Item"/>
    <w:basedOn w:val="Normal"/>
    <w:rsid w:val="006438AA"/>
    <w:pPr>
      <w:numPr>
        <w:numId w:val="16"/>
      </w:numPr>
      <w:spacing w:after="60"/>
      <w:ind w:left="357" w:hanging="357"/>
    </w:pPr>
  </w:style>
  <w:style w:type="paragraph" w:customStyle="1" w:styleId="Item1">
    <w:name w:val="Item 1"/>
    <w:basedOn w:val="Normal"/>
    <w:pPr>
      <w:numPr>
        <w:numId w:val="17"/>
      </w:numPr>
      <w:spacing w:before="120" w:after="120"/>
    </w:pPr>
  </w:style>
  <w:style w:type="paragraph" w:customStyle="1" w:styleId="Item2">
    <w:name w:val="Item 2"/>
    <w:basedOn w:val="Item1"/>
    <w:pPr>
      <w:numPr>
        <w:numId w:val="3"/>
      </w:numPr>
      <w:ind w:left="2058" w:hanging="357"/>
    </w:pPr>
  </w:style>
  <w:style w:type="paragraph" w:styleId="NormalWeb">
    <w:name w:val="Normal (Web)"/>
    <w:basedOn w:val="Normal"/>
    <w:pPr>
      <w:spacing w:before="100" w:beforeAutospacing="1" w:after="100" w:afterAutospacing="1"/>
    </w:pPr>
    <w:rPr>
      <w:sz w:val="19"/>
      <w:szCs w:val="19"/>
    </w:rPr>
  </w:style>
  <w:style w:type="character" w:styleId="Nmerodepgina">
    <w:name w:val="page number"/>
    <w:basedOn w:val="Tipusdelletraperdefectedelpargraf"/>
  </w:style>
  <w:style w:type="paragraph" w:styleId="Peu">
    <w:name w:val="footer"/>
    <w:basedOn w:val="Normal"/>
    <w:rsid w:val="00593A96"/>
    <w:pPr>
      <w:tabs>
        <w:tab w:val="center" w:pos="4419"/>
        <w:tab w:val="right" w:pos="9540"/>
      </w:tabs>
      <w:ind w:right="360"/>
    </w:pPr>
    <w:rPr>
      <w:b/>
      <w:bCs/>
      <w:i/>
      <w:iCs/>
      <w:color w:val="A85400"/>
      <w:sz w:val="16"/>
    </w:rPr>
  </w:style>
  <w:style w:type="paragraph" w:styleId="Sagniadetextindependent2">
    <w:name w:val="Body Text Indent 2"/>
    <w:basedOn w:val="Normal"/>
    <w:pPr>
      <w:ind w:left="708"/>
    </w:pPr>
    <w:rPr>
      <w:i/>
      <w:iCs/>
    </w:rPr>
  </w:style>
  <w:style w:type="paragraph" w:styleId="Sagniadetextindependent3">
    <w:name w:val="Body Text Indent 3"/>
    <w:basedOn w:val="Normal"/>
    <w:pPr>
      <w:ind w:left="708"/>
    </w:pPr>
    <w:rPr>
      <w:lang w:val="es-MX"/>
    </w:rPr>
  </w:style>
  <w:style w:type="paragraph" w:styleId="IDC1">
    <w:name w:val="toc 1"/>
    <w:basedOn w:val="Normal"/>
    <w:next w:val="Normal"/>
    <w:autoRedefine/>
    <w:semiHidden/>
  </w:style>
  <w:style w:type="paragraph" w:styleId="IDC2">
    <w:name w:val="toc 2"/>
    <w:basedOn w:val="Normal"/>
    <w:next w:val="Normal"/>
    <w:autoRedefine/>
    <w:semiHidden/>
    <w:pPr>
      <w:ind w:left="220"/>
    </w:pPr>
  </w:style>
  <w:style w:type="paragraph" w:styleId="IDC3">
    <w:name w:val="toc 3"/>
    <w:basedOn w:val="Normal"/>
    <w:next w:val="Normal"/>
    <w:autoRedefine/>
    <w:semiHidden/>
    <w:pPr>
      <w:ind w:left="440"/>
    </w:pPr>
  </w:style>
  <w:style w:type="paragraph" w:styleId="IDC4">
    <w:name w:val="toc 4"/>
    <w:basedOn w:val="Normal"/>
    <w:next w:val="Normal"/>
    <w:autoRedefine/>
    <w:semiHidden/>
    <w:pPr>
      <w:ind w:left="660"/>
    </w:pPr>
  </w:style>
  <w:style w:type="paragraph" w:styleId="IDC5">
    <w:name w:val="toc 5"/>
    <w:basedOn w:val="Normal"/>
    <w:next w:val="Normal"/>
    <w:autoRedefine/>
    <w:semiHidden/>
    <w:pPr>
      <w:ind w:left="880"/>
    </w:pPr>
  </w:style>
  <w:style w:type="paragraph" w:styleId="IDC6">
    <w:name w:val="toc 6"/>
    <w:basedOn w:val="Normal"/>
    <w:next w:val="Normal"/>
    <w:autoRedefine/>
    <w:semiHidden/>
    <w:pPr>
      <w:ind w:left="1100"/>
    </w:pPr>
  </w:style>
  <w:style w:type="paragraph" w:styleId="IDC7">
    <w:name w:val="toc 7"/>
    <w:basedOn w:val="Normal"/>
    <w:next w:val="Normal"/>
    <w:autoRedefine/>
    <w:semiHidden/>
    <w:pPr>
      <w:ind w:left="1320"/>
    </w:pPr>
  </w:style>
  <w:style w:type="paragraph" w:styleId="IDC8">
    <w:name w:val="toc 8"/>
    <w:basedOn w:val="Normal"/>
    <w:next w:val="Normal"/>
    <w:autoRedefine/>
    <w:semiHidden/>
    <w:pPr>
      <w:ind w:left="1540"/>
    </w:pPr>
  </w:style>
  <w:style w:type="paragraph" w:styleId="IDC9">
    <w:name w:val="toc 9"/>
    <w:basedOn w:val="Normal"/>
    <w:next w:val="Normal"/>
    <w:autoRedefine/>
    <w:semiHidden/>
    <w:pPr>
      <w:ind w:left="1760"/>
    </w:pPr>
  </w:style>
  <w:style w:type="paragraph" w:styleId="Textindependent">
    <w:name w:val="Body Text"/>
    <w:basedOn w:val="Normal"/>
    <w:pPr>
      <w:autoSpaceDE w:val="0"/>
      <w:autoSpaceDN w:val="0"/>
      <w:adjustRightInd w:val="0"/>
      <w:spacing w:before="0" w:after="0"/>
    </w:pPr>
    <w:rPr>
      <w:lang w:val="es-MX"/>
    </w:rPr>
  </w:style>
  <w:style w:type="paragraph" w:styleId="Textindependent2">
    <w:name w:val="Body Text 2"/>
    <w:basedOn w:val="Normal"/>
    <w:pPr>
      <w:autoSpaceDE w:val="0"/>
      <w:autoSpaceDN w:val="0"/>
      <w:adjustRightInd w:val="0"/>
      <w:spacing w:before="0" w:after="0"/>
    </w:pPr>
  </w:style>
  <w:style w:type="paragraph" w:styleId="Textindependent3">
    <w:name w:val="Body Text 3"/>
    <w:basedOn w:val="Normal"/>
    <w:rPr>
      <w:i/>
      <w:iCs/>
      <w:lang w:val="es-MX"/>
    </w:rPr>
  </w:style>
  <w:style w:type="paragraph" w:customStyle="1" w:styleId="font5">
    <w:name w:val="font5"/>
    <w:basedOn w:val="Normal"/>
    <w:pPr>
      <w:spacing w:before="100" w:beforeAutospacing="1" w:after="100" w:afterAutospacing="1"/>
    </w:pPr>
    <w:rPr>
      <w:rFonts w:ascii="Times New Roman" w:hAnsi="Times New Roman"/>
      <w:b/>
      <w:bCs/>
      <w:color w:val="333399"/>
      <w:sz w:val="14"/>
      <w:szCs w:val="14"/>
    </w:rPr>
  </w:style>
  <w:style w:type="paragraph" w:customStyle="1" w:styleId="font6">
    <w:name w:val="font6"/>
    <w:basedOn w:val="Normal"/>
    <w:pPr>
      <w:spacing w:before="100" w:beforeAutospacing="1" w:after="100" w:afterAutospacing="1"/>
    </w:pPr>
    <w:rPr>
      <w:sz w:val="16"/>
      <w:szCs w:val="16"/>
    </w:rPr>
  </w:style>
  <w:style w:type="paragraph" w:customStyle="1" w:styleId="xl24">
    <w:name w:val="xl24"/>
    <w:basedOn w:val="Normal"/>
    <w:pPr>
      <w:pBdr>
        <w:top w:val="single" w:sz="4" w:space="0" w:color="808080"/>
        <w:left w:val="single" w:sz="4" w:space="0" w:color="808080"/>
        <w:bottom w:val="single" w:sz="4" w:space="0" w:color="808080"/>
        <w:right w:val="single" w:sz="4" w:space="0" w:color="808080"/>
      </w:pBdr>
      <w:shd w:val="clear" w:color="auto" w:fill="333399"/>
      <w:spacing w:before="100" w:beforeAutospacing="1" w:after="100" w:afterAutospacing="1"/>
      <w:textAlignment w:val="top"/>
    </w:pPr>
    <w:rPr>
      <w:b/>
      <w:bCs/>
      <w:color w:val="FFFFFF"/>
      <w:sz w:val="16"/>
      <w:szCs w:val="16"/>
    </w:rPr>
  </w:style>
  <w:style w:type="paragraph" w:customStyle="1" w:styleId="xl25">
    <w:name w:val="xl25"/>
    <w:basedOn w:val="Normal"/>
    <w:pPr>
      <w:pBdr>
        <w:top w:val="single" w:sz="4" w:space="0" w:color="808080"/>
        <w:bottom w:val="single" w:sz="4" w:space="0" w:color="808080"/>
        <w:right w:val="single" w:sz="4" w:space="0" w:color="808080"/>
      </w:pBdr>
      <w:shd w:val="clear" w:color="auto" w:fill="333399"/>
      <w:spacing w:before="100" w:beforeAutospacing="1" w:after="100" w:afterAutospacing="1"/>
      <w:jc w:val="right"/>
      <w:textAlignment w:val="top"/>
    </w:pPr>
    <w:rPr>
      <w:b/>
      <w:bCs/>
      <w:color w:val="FFFFFF"/>
      <w:sz w:val="16"/>
      <w:szCs w:val="16"/>
    </w:rPr>
  </w:style>
  <w:style w:type="paragraph" w:customStyle="1" w:styleId="xl26">
    <w:name w:val="xl26"/>
    <w:basedOn w:val="Normal"/>
    <w:pPr>
      <w:pBdr>
        <w:left w:val="single" w:sz="4" w:space="0" w:color="808080"/>
        <w:bottom w:val="single" w:sz="4" w:space="0" w:color="808080"/>
        <w:right w:val="single" w:sz="4" w:space="0" w:color="808080"/>
      </w:pBdr>
      <w:spacing w:before="100" w:beforeAutospacing="1" w:after="100" w:afterAutospacing="1"/>
      <w:textAlignment w:val="top"/>
    </w:pPr>
    <w:rPr>
      <w:b/>
      <w:bCs/>
      <w:color w:val="333399"/>
      <w:sz w:val="16"/>
      <w:szCs w:val="16"/>
    </w:rPr>
  </w:style>
  <w:style w:type="paragraph" w:customStyle="1" w:styleId="xl27">
    <w:name w:val="xl27"/>
    <w:basedOn w:val="Normal"/>
    <w:pPr>
      <w:pBdr>
        <w:bottom w:val="single" w:sz="4" w:space="0" w:color="808080"/>
        <w:right w:val="single" w:sz="4" w:space="0" w:color="808080"/>
      </w:pBdr>
      <w:spacing w:before="100" w:beforeAutospacing="1" w:after="100" w:afterAutospacing="1"/>
      <w:jc w:val="right"/>
      <w:textAlignment w:val="top"/>
    </w:pPr>
    <w:rPr>
      <w:b/>
      <w:bCs/>
      <w:color w:val="333399"/>
      <w:sz w:val="16"/>
      <w:szCs w:val="16"/>
    </w:rPr>
  </w:style>
  <w:style w:type="paragraph" w:customStyle="1" w:styleId="xl28">
    <w:name w:val="xl28"/>
    <w:basedOn w:val="Normal"/>
    <w:pPr>
      <w:pBdr>
        <w:left w:val="single" w:sz="4" w:space="0" w:color="808080"/>
        <w:bottom w:val="single" w:sz="4" w:space="0" w:color="808080"/>
        <w:right w:val="single" w:sz="4" w:space="0" w:color="808080"/>
      </w:pBdr>
      <w:shd w:val="clear" w:color="auto" w:fill="DDDDDD"/>
      <w:spacing w:before="100" w:beforeAutospacing="1" w:after="100" w:afterAutospacing="1"/>
      <w:textAlignment w:val="top"/>
    </w:pPr>
    <w:rPr>
      <w:b/>
      <w:bCs/>
      <w:sz w:val="16"/>
      <w:szCs w:val="16"/>
    </w:rPr>
  </w:style>
  <w:style w:type="paragraph" w:customStyle="1" w:styleId="xl29">
    <w:name w:val="xl29"/>
    <w:basedOn w:val="Normal"/>
    <w:pPr>
      <w:pBdr>
        <w:bottom w:val="single" w:sz="4" w:space="0" w:color="808080"/>
        <w:right w:val="single" w:sz="4" w:space="0" w:color="808080"/>
      </w:pBdr>
      <w:shd w:val="clear" w:color="auto" w:fill="DDDDDD"/>
      <w:spacing w:before="100" w:beforeAutospacing="1" w:after="100" w:afterAutospacing="1"/>
      <w:jc w:val="right"/>
      <w:textAlignment w:val="top"/>
    </w:pPr>
    <w:rPr>
      <w:b/>
      <w:bCs/>
      <w:sz w:val="16"/>
      <w:szCs w:val="16"/>
    </w:rPr>
  </w:style>
  <w:style w:type="paragraph" w:customStyle="1" w:styleId="vieta1">
    <w:name w:val="viñeta 1"/>
    <w:basedOn w:val="Item1"/>
    <w:pPr>
      <w:numPr>
        <w:numId w:val="18"/>
      </w:numPr>
      <w:spacing w:after="60"/>
      <w:jc w:val="both"/>
    </w:pPr>
  </w:style>
  <w:style w:type="paragraph" w:customStyle="1" w:styleId="Cuadro">
    <w:name w:val="Cuadro"/>
    <w:basedOn w:val="Normal"/>
    <w:pPr>
      <w:framePr w:hSpace="142" w:wrap="around" w:vAnchor="text" w:hAnchor="text" w:xAlign="right" w:y="1"/>
      <w:spacing w:after="60"/>
      <w:suppressOverlap/>
    </w:pPr>
    <w:rPr>
      <w:rFonts w:cs="Arial"/>
      <w:b/>
      <w:i/>
      <w:color w:val="5F5F5F"/>
    </w:rPr>
  </w:style>
  <w:style w:type="paragraph" w:styleId="Llegenda">
    <w:name w:val="caption"/>
    <w:basedOn w:val="Normal"/>
    <w:next w:val="Normal"/>
    <w:qFormat/>
    <w:pPr>
      <w:spacing w:before="0" w:after="120"/>
      <w:jc w:val="center"/>
    </w:pPr>
    <w:rPr>
      <w:b/>
      <w:bCs/>
      <w:i/>
      <w:iCs/>
      <w:sz w:val="18"/>
    </w:rPr>
  </w:style>
  <w:style w:type="character" w:styleId="Refernciadecomentari">
    <w:name w:val="annotation reference"/>
    <w:basedOn w:val="Tipusdelletraperdefectedelpargraf"/>
    <w:semiHidden/>
    <w:rPr>
      <w:sz w:val="16"/>
      <w:szCs w:val="16"/>
    </w:rPr>
  </w:style>
  <w:style w:type="paragraph" w:styleId="Textdecomentari">
    <w:name w:val="annotation text"/>
    <w:basedOn w:val="Normal"/>
    <w:semiHidden/>
  </w:style>
  <w:style w:type="paragraph" w:styleId="Temadelcomentari">
    <w:name w:val="annotation subject"/>
    <w:basedOn w:val="Textdecomentari"/>
    <w:next w:val="Textdecomentari"/>
    <w:semiHidden/>
    <w:rPr>
      <w:b/>
      <w:bCs/>
    </w:rPr>
  </w:style>
  <w:style w:type="paragraph" w:styleId="Textdeglobus">
    <w:name w:val="Balloon Text"/>
    <w:basedOn w:val="Normal"/>
    <w:semiHidden/>
    <w:rPr>
      <w:rFonts w:ascii="Tahoma" w:hAnsi="Tahoma" w:cs="Tahoma"/>
      <w:sz w:val="16"/>
      <w:szCs w:val="16"/>
    </w:rPr>
  </w:style>
  <w:style w:type="paragraph" w:styleId="Textdenotaapeudepgina">
    <w:name w:val="footnote text"/>
    <w:basedOn w:val="Normal"/>
    <w:semiHidden/>
  </w:style>
  <w:style w:type="character" w:styleId="Refernciadenotaapeudepgina">
    <w:name w:val="footnote reference"/>
    <w:basedOn w:val="Tipusdelletraperdefectedelpargraf"/>
    <w:semiHidden/>
    <w:rPr>
      <w:vertAlign w:val="superscript"/>
    </w:rPr>
  </w:style>
  <w:style w:type="character" w:customStyle="1" w:styleId="Ttol3Car">
    <w:name w:val="Títol 3 Car"/>
    <w:basedOn w:val="Tipusdelletraperdefectedelpargraf"/>
    <w:link w:val="Ttol3"/>
    <w:rsid w:val="00593A96"/>
    <w:rPr>
      <w:rFonts w:ascii="Verdana" w:hAnsi="Verdana"/>
      <w:b/>
      <w:color w:val="A85400"/>
      <w:sz w:val="22"/>
      <w:szCs w:val="22"/>
      <w:lang w:val="es-ES" w:eastAsia="es-ES" w:bidi="ar-SA"/>
    </w:rPr>
  </w:style>
  <w:style w:type="paragraph" w:customStyle="1" w:styleId="Normalencuadro">
    <w:name w:val="Normal en cuadro"/>
    <w:basedOn w:val="Normal"/>
    <w:pPr>
      <w:spacing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1185</Words>
  <Characters>6757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El área comercial</vt:lpstr>
    </vt:vector>
  </TitlesOfParts>
  <Company>DOE - UPC</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área comercial</dc:title>
  <dc:subject>apuntes de E3</dc:subject>
  <dc:creator>Antonio Cañabate Carmona</dc:creator>
  <cp:keywords/>
  <dc:description/>
  <cp:lastModifiedBy>Joan Carles Gil</cp:lastModifiedBy>
  <cp:revision>3</cp:revision>
  <cp:lastPrinted>2005-05-24T17:12:00Z</cp:lastPrinted>
  <dcterms:created xsi:type="dcterms:W3CDTF">2012-10-23T15:25:00Z</dcterms:created>
  <dcterms:modified xsi:type="dcterms:W3CDTF">2020-04-22T20:56:00Z</dcterms:modified>
  <cp:category>Apuntes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400060157</vt:i4>
  </property>
  <property fmtid="{D5CDD505-2E9C-101B-9397-08002B2CF9AE}" pid="3" name="_EmailSubject">
    <vt:lpwstr>comercial</vt:lpwstr>
  </property>
  <property fmtid="{D5CDD505-2E9C-101B-9397-08002B2CF9AE}" pid="4" name="_AuthorEmail">
    <vt:lpwstr>toni@toniyoo.com</vt:lpwstr>
  </property>
  <property fmtid="{D5CDD505-2E9C-101B-9397-08002B2CF9AE}" pid="5" name="_AuthorEmailDisplayName">
    <vt:lpwstr>Antonio Cañabate</vt:lpwstr>
  </property>
  <property fmtid="{D5CDD505-2E9C-101B-9397-08002B2CF9AE}" pid="6" name="_ReviewingToolsShownOnce">
    <vt:lpwstr/>
  </property>
</Properties>
</file>