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基于掩码重构学习的DNA序列表征学习</w:t>
      </w:r>
    </w:p>
    <w:p>
      <w:pPr>
        <w:jc w:val="center"/>
      </w:pPr>
      <w:r>
        <w:rPr>
          <w:rFonts w:ascii="黑体" w:hAnsi="黑体" w:eastAsia="黑体"/>
          <w:sz w:val="32"/>
        </w:rPr>
        <w:t>——自监督表示学习在生物信息学中的应用</w:t>
      </w:r>
    </w:p>
    <w:p/>
    <w:p/>
    <w:p>
      <w:pPr>
        <w:jc w:val="center"/>
      </w:pPr>
      <w:r>
        <w:rPr>
          <w:rFonts w:ascii="宋体" w:hAnsi="宋体" w:eastAsia="宋体"/>
          <w:sz w:val="28"/>
        </w:rPr>
        <w:t>课程名称：人工智能</w:t>
      </w:r>
    </w:p>
    <w:p>
      <w:pPr>
        <w:jc w:val="center"/>
      </w:pPr>
      <w:r>
        <w:rPr>
          <w:rFonts w:ascii="宋体" w:hAnsi="宋体" w:eastAsia="宋体"/>
          <w:sz w:val="28"/>
        </w:rPr>
        <w:t>姓    名：[姓名]</w:t>
      </w:r>
    </w:p>
    <w:p>
      <w:pPr>
        <w:jc w:val="center"/>
      </w:pPr>
      <w:r>
        <w:rPr>
          <w:rFonts w:ascii="宋体" w:hAnsi="宋体" w:eastAsia="宋体"/>
          <w:sz w:val="28"/>
        </w:rPr>
        <w:t>学    号：[学号]</w:t>
      </w:r>
    </w:p>
    <w:p>
      <w:pPr>
        <w:jc w:val="center"/>
      </w:pPr>
      <w:r>
        <w:rPr>
          <w:rFonts w:ascii="宋体" w:hAnsi="宋体" w:eastAsia="宋体"/>
          <w:sz w:val="28"/>
        </w:rPr>
        <w:t>专    业：生物工程</w:t>
      </w:r>
    </w:p>
    <w:p>
      <w:pPr>
        <w:jc w:val="center"/>
      </w:pPr>
      <w:r>
        <w:rPr>
          <w:rFonts w:ascii="宋体" w:hAnsi="宋体" w:eastAsia="宋体"/>
          <w:sz w:val="28"/>
        </w:rPr>
        <w:t>提交日期：2026年6月24日</w:t>
      </w:r>
    </w:p>
    <w:p>
      <w:r>
        <w:br w:type="page"/>
      </w:r>
    </w:p>
    <w:p>
      <w:pPr>
        <w:pStyle w:val="Heading1"/>
      </w:pPr>
      <w:r>
        <w:t>摘  要</w:t>
      </w:r>
    </w:p>
    <w:p>
      <w:pPr>
        <w:spacing w:line="360" w:lineRule="auto"/>
        <w:ind w:firstLine="425"/>
      </w:pPr>
      <w:r>
        <w:t>本文针对生物信息学领域中DNA序列标注成本高、未标注数据丰富的特点，研究了基于掩码重构学习（Masked Reconstruction Learning）的自监督表示学习方法。实验以人类、小鼠、果蝇和线虫四个物种的DNA序列为研究对象，采用k-mer编码将序列转换为离散token，设计了基于卷积神经网络（CNN）的编码器和掩码重构模型。通过随机掩码15%的k-mer token并训练模型重构，实现了无监督条件下的DNA序列表征学习。预训练完成后，在下游4物种分类任务上验证了所学表示的有效性，并通过t-SNE和PCA降维可视化分析了特征分布特性。实验结果表明，掩码重构学习能够从无标注DNA序列中学习到有意义的表示，为生物序列分析任务提供了有价值的特征基础。</w:t>
      </w:r>
    </w:p>
    <w:p/>
    <w:p>
      <w:pPr>
        <w:ind w:firstLine="425"/>
      </w:pPr>
      <w:r>
        <w:rPr>
          <w:b/>
        </w:rPr>
        <w:t>关键词：</w:t>
      </w:r>
      <w:r>
        <w:t>自监督学习；掩码重构；DNA序列表征；k-mer编码；卷积神经网络</w:t>
      </w:r>
    </w:p>
    <w:p>
      <w:r>
        <w:br w:type="page"/>
      </w:r>
    </w:p>
    <w:p>
      <w:pPr>
        <w:pStyle w:val="Heading1"/>
      </w:pPr>
      <w:r>
        <w:t>目  录</w:t>
      </w:r>
    </w:p>
    <w:p>
      <w:r>
        <w:rPr>
          <w:sz w:val="24"/>
        </w:rPr>
        <w:t>1  引言</w:t>
      </w:r>
    </w:p>
    <w:p>
      <w:r>
        <w:rPr>
          <w:sz w:val="24"/>
        </w:rPr>
        <w:t xml:space="preserve">  1.1  研究背景</w:t>
      </w:r>
    </w:p>
    <w:p>
      <w:r>
        <w:rPr>
          <w:sz w:val="24"/>
        </w:rPr>
        <w:t xml:space="preserve">  1.2  研究意义</w:t>
      </w:r>
    </w:p>
    <w:p>
      <w:r>
        <w:rPr>
          <w:sz w:val="24"/>
        </w:rPr>
        <w:t>2  相关工作</w:t>
      </w:r>
    </w:p>
    <w:p>
      <w:r>
        <w:rPr>
          <w:sz w:val="24"/>
        </w:rPr>
        <w:t xml:space="preserve">  2.1  自监督学习方法</w:t>
      </w:r>
    </w:p>
    <w:p>
      <w:r>
        <w:rPr>
          <w:sz w:val="24"/>
        </w:rPr>
        <w:t xml:space="preserve">  2.2  DNA序列表示学习</w:t>
      </w:r>
    </w:p>
    <w:p>
      <w:r>
        <w:rPr>
          <w:sz w:val="24"/>
        </w:rPr>
        <w:t>3  方法设计</w:t>
      </w:r>
    </w:p>
    <w:p>
      <w:r>
        <w:rPr>
          <w:sz w:val="24"/>
        </w:rPr>
        <w:t xml:space="preserve">  3.1  问题描述与应用场景</w:t>
      </w:r>
    </w:p>
    <w:p>
      <w:r>
        <w:rPr>
          <w:sz w:val="24"/>
        </w:rPr>
        <w:t xml:space="preserve">  3.2  自监督任务设计</w:t>
      </w:r>
    </w:p>
    <w:p>
      <w:r>
        <w:rPr>
          <w:sz w:val="24"/>
        </w:rPr>
        <w:t xml:space="preserve">  3.3  模型架构</w:t>
      </w:r>
    </w:p>
    <w:p>
      <w:r>
        <w:rPr>
          <w:sz w:val="24"/>
        </w:rPr>
        <w:t>4  实验与结果</w:t>
      </w:r>
    </w:p>
    <w:p>
      <w:r>
        <w:rPr>
          <w:sz w:val="24"/>
        </w:rPr>
        <w:t xml:space="preserve">  4.1  实验设置</w:t>
      </w:r>
    </w:p>
    <w:p>
      <w:r>
        <w:rPr>
          <w:sz w:val="24"/>
        </w:rPr>
        <w:t xml:space="preserve">  4.2  预训练结果</w:t>
      </w:r>
    </w:p>
    <w:p>
      <w:r>
        <w:rPr>
          <w:sz w:val="24"/>
        </w:rPr>
        <w:t xml:space="preserve">  4.3  下游分类验证</w:t>
      </w:r>
    </w:p>
    <w:p>
      <w:r>
        <w:rPr>
          <w:sz w:val="24"/>
        </w:rPr>
        <w:t xml:space="preserve">  4.4  特征可视化</w:t>
      </w:r>
    </w:p>
    <w:p>
      <w:r>
        <w:rPr>
          <w:sz w:val="24"/>
        </w:rPr>
        <w:t>5  讨论</w:t>
      </w:r>
    </w:p>
    <w:p>
      <w:r>
        <w:rPr>
          <w:sz w:val="24"/>
        </w:rPr>
        <w:t>6  结论</w:t>
      </w:r>
    </w:p>
    <w:p>
      <w:r>
        <w:rPr>
          <w:sz w:val="24"/>
        </w:rPr>
        <w:t>参考文献</w:t>
      </w:r>
    </w:p>
    <w:p>
      <w:r>
        <w:br w:type="page"/>
      </w:r>
    </w:p>
    <w:p>
      <w:pPr>
        <w:pStyle w:val="Heading1"/>
      </w:pPr>
      <w:r>
        <w:t>1  引言</w:t>
      </w:r>
    </w:p>
    <w:p>
      <w:pPr>
        <w:pStyle w:val="Heading2"/>
      </w:pPr>
      <w:r>
        <w:t>1.1  研究背景</w:t>
      </w:r>
    </w:p>
    <w:p>
      <w:pPr>
        <w:spacing w:line="360" w:lineRule="auto"/>
        <w:ind w:firstLine="425"/>
      </w:pPr>
      <w:r>
        <w:t>DNA序列是生命遗传信息的载体，对DNA序列的分析和理解是生物信息学的核心任务之一。随着高通量测序技术的发展，海量的DNA序列数据被产生，然而这些数据大多缺乏标注信息。传统的监督学习方法依赖大量标注数据，而在生物信息学领域，获取高质量标注通常需要昂贵的实验验证，这严重制约了深度学习方法在该领域的应用。自监督学习（Self-Supervised Learning, SSL）作为一种利用无标注数据进行预训练的方法，为解决这一问题提供了新的思路。</w:t>
      </w:r>
    </w:p>
    <w:p>
      <w:pPr>
        <w:pStyle w:val="Heading2"/>
      </w:pPr>
      <w:r>
        <w:t>1.2  研究意义</w:t>
      </w:r>
    </w:p>
    <w:p>
      <w:pPr>
        <w:spacing w:line="360" w:lineRule="auto"/>
        <w:ind w:firstLine="425"/>
      </w:pPr>
      <w:r>
        <w:t>本研究的意义在于：（1）探索掩码重构学习在DNA序列分析中的有效性，为生物序列的自监督表示学习提供参考方案；（2）验证预训练表示在下游物种分类任务中的迁移能力；（3）通过可视化分析揭示DNA序列特征的分布特性，为后续研究提供直观认识。</w:t>
      </w:r>
    </w:p>
    <w:p>
      <w:pPr>
        <w:pStyle w:val="Heading1"/>
      </w:pPr>
      <w:r>
        <w:t>2  相关工作</w:t>
      </w:r>
    </w:p>
    <w:p>
      <w:pPr>
        <w:pStyle w:val="Heading2"/>
      </w:pPr>
      <w:r>
        <w:t>2.1  自监督学习方法</w:t>
      </w:r>
    </w:p>
    <w:p>
      <w:pPr>
        <w:spacing w:line="360" w:lineRule="auto"/>
        <w:ind w:firstLine="425"/>
      </w:pPr>
      <w:r>
        <w:t>自监督学习方法主要分为三类：生成式自监督学习、对比式自监督学习和掩码重构学习。生成式方法通过预测数据的未见部分来学习表示，如自编码器（Autoencoder）和变分自编码器（VAE）。对比式方法通过拉近正样本对、推远负样本对来学习表示，如SimCLR和MoCo。掩码重构学习则随机掩码输入数据的部分内容，训练模型预测被掩码的部分，代表性工作包括BERT和MAE。本研究采用掩码重构学习方法。</w:t>
      </w:r>
    </w:p>
    <w:p>
      <w:pPr>
        <w:pStyle w:val="Heading2"/>
      </w:pPr>
      <w:r>
        <w:t>2.2  DNA序列表示学习</w:t>
      </w:r>
    </w:p>
    <w:p>
      <w:pPr>
        <w:spacing w:line="360" w:lineRule="auto"/>
        <w:ind w:firstLine="425"/>
      </w:pPr>
      <w:r>
        <w:t>DNA序列表示学习的研究主要集中在以下几个方面：（1）基于k-mer的表示方法，将序列分解为固定长度的子串；（2）基于深度学习的方法，如CNN、RNN和Transformer；（3）预训练语言模型方法，如DNABERT和Nucleotide Transformer。这些方法在序列分类、基因预测、变异检测等任务中取得了显著成果。</w:t>
      </w:r>
    </w:p>
    <w:p>
      <w:pPr>
        <w:pStyle w:val="Heading1"/>
      </w:pPr>
      <w:r>
        <w:t>3  方法设计</w:t>
      </w:r>
    </w:p>
    <w:p>
      <w:pPr>
        <w:pStyle w:val="Heading2"/>
      </w:pPr>
      <w:r>
        <w:t>3.1  问题描述与应用场景</w:t>
      </w:r>
    </w:p>
    <w:p>
      <w:pPr>
        <w:spacing w:line="360" w:lineRule="auto"/>
        <w:ind w:firstLine="425"/>
      </w:pPr>
      <w:r>
        <w:t>本研究针对的问题是：在DNA序列标注成本高、未标注数据丰富的场景下，如何利用自监督学习从无标注DNA序列中学习有效的特征表示。应用场景为多物种DNA序列分类，即给定一段DNA序列，判断其属于人类、小鼠、果蝇还是线虫。</w:t>
      </w:r>
    </w:p>
    <w:p>
      <w:pPr>
        <w:pStyle w:val="Heading2"/>
      </w:pPr>
      <w:r>
        <w:t>3.2  自监督任务设计</w:t>
      </w:r>
    </w:p>
    <w:p>
      <w:pPr>
        <w:spacing w:line="360" w:lineRule="auto"/>
        <w:ind w:firstLine="425"/>
      </w:pPr>
      <w:r>
        <w:t>本研究采用掩码重构学习作为自监督任务。具体设计如下：</w:t>
      </w:r>
    </w:p>
    <w:p>
      <w:pPr>
        <w:pStyle w:val="ListBullet"/>
        <w:spacing w:line="360" w:lineRule="auto"/>
      </w:pPr>
      <w:r>
        <w:t>输入处理：将DNA序列通过k-mer（k=3）编码转换为离散token序列，词汇表包含64种3-mer组合和4个特殊token（[CLS], [SEP], [PAD], [MASK]），共68个条目。</w:t>
      </w:r>
    </w:p>
    <w:p>
      <w:pPr>
        <w:pStyle w:val="ListBullet"/>
        <w:spacing w:line="360" w:lineRule="auto"/>
      </w:pPr>
      <w:r>
        <w:t>掩码策略：随机选择15%的token位置，将其替换为[MASK] token。这一比例参考了BERT的掩码策略，既能提供足够的训练信号，又不会过度破坏序列信息。</w:t>
      </w:r>
    </w:p>
    <w:p>
      <w:pPr>
        <w:pStyle w:val="ListBullet"/>
        <w:spacing w:line="360" w:lineRule="auto"/>
      </w:pPr>
      <w:r>
        <w:t>训练目标：模型需要预测被掩码位置的原始token，损失函数采用交叉熵损失，仅计算被掩码位置的损失。</w:t>
      </w:r>
    </w:p>
    <w:p>
      <w:pPr>
        <w:pStyle w:val="ListBullet"/>
        <w:spacing w:line="360" w:lineRule="auto"/>
      </w:pPr>
      <w:r>
        <w:t>特征提取：预训练完成后，使用编码器的输出作为序列的特征表示，用于下游分类任务。</w:t>
      </w:r>
    </w:p>
    <w:p>
      <w:pPr>
        <w:pStyle w:val="Heading2"/>
      </w:pPr>
      <w:r>
        <w:t>3.3  模型架构</w:t>
      </w:r>
    </w:p>
    <w:p>
      <w:pPr>
        <w:spacing w:line="360" w:lineRule="auto"/>
        <w:ind w:firstLine="425"/>
      </w:pPr>
      <w:r>
        <w:t>模型由三个主要组件构成：k-mer编码器、CNN编码器和重构头。</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组件</w:t>
            </w:r>
          </w:p>
        </w:tc>
        <w:tc>
          <w:tcPr>
            <w:tcW w:type="dxa" w:w="2880"/>
          </w:tcPr>
          <w:p>
            <w:pPr>
              <w:jc w:val="center"/>
            </w:pPr>
            <w:r>
              <w:rPr>
                <w:b/>
              </w:rPr>
              <w:t>层结构</w:t>
            </w:r>
          </w:p>
        </w:tc>
        <w:tc>
          <w:tcPr>
            <w:tcW w:type="dxa" w:w="2880"/>
          </w:tcPr>
          <w:p>
            <w:pPr>
              <w:jc w:val="center"/>
            </w:pPr>
            <w:r>
              <w:rPr>
                <w:b/>
              </w:rPr>
              <w:t>输出维度</w:t>
            </w:r>
          </w:p>
        </w:tc>
      </w:tr>
      <w:tr>
        <w:tc>
          <w:tcPr>
            <w:tcW w:type="dxa" w:w="2880"/>
          </w:tcPr>
          <w:p>
            <w:pPr>
              <w:jc w:val="center"/>
            </w:pPr>
            <w:r>
              <w:t>嵌入层</w:t>
            </w:r>
          </w:p>
        </w:tc>
        <w:tc>
          <w:tcPr>
            <w:tcW w:type="dxa" w:w="2880"/>
          </w:tcPr>
          <w:p>
            <w:pPr>
              <w:jc w:val="center"/>
            </w:pPr>
            <w:r>
              <w:t>Embedding(68, 128)</w:t>
            </w:r>
          </w:p>
        </w:tc>
        <w:tc>
          <w:tcPr>
            <w:tcW w:type="dxa" w:w="2880"/>
          </w:tcPr>
          <w:p>
            <w:pPr>
              <w:jc w:val="center"/>
            </w:pPr>
            <w:r>
              <w:t>(batch, seq_len, 128)</w:t>
            </w:r>
          </w:p>
        </w:tc>
      </w:tr>
      <w:tr>
        <w:tc>
          <w:tcPr>
            <w:tcW w:type="dxa" w:w="2880"/>
          </w:tcPr>
          <w:p>
            <w:pPr>
              <w:jc w:val="center"/>
            </w:pPr>
            <w:r>
              <w:t>卷积层1</w:t>
            </w:r>
          </w:p>
        </w:tc>
        <w:tc>
          <w:tcPr>
            <w:tcW w:type="dxa" w:w="2880"/>
          </w:tcPr>
          <w:p>
            <w:pPr>
              <w:jc w:val="center"/>
            </w:pPr>
            <w:r>
              <w:t>Conv1d(128→128, k=3) + BN + ReLU</w:t>
            </w:r>
          </w:p>
        </w:tc>
        <w:tc>
          <w:tcPr>
            <w:tcW w:type="dxa" w:w="2880"/>
          </w:tcPr>
          <w:p>
            <w:pPr>
              <w:jc w:val="center"/>
            </w:pPr>
            <w:r>
              <w:t>(batch, 128, seq_len)</w:t>
            </w:r>
          </w:p>
        </w:tc>
      </w:tr>
      <w:tr>
        <w:tc>
          <w:tcPr>
            <w:tcW w:type="dxa" w:w="2880"/>
          </w:tcPr>
          <w:p>
            <w:pPr>
              <w:jc w:val="center"/>
            </w:pPr>
            <w:r>
              <w:t>卷积层2</w:t>
            </w:r>
          </w:p>
        </w:tc>
        <w:tc>
          <w:tcPr>
            <w:tcW w:type="dxa" w:w="2880"/>
          </w:tcPr>
          <w:p>
            <w:pPr>
              <w:jc w:val="center"/>
            </w:pPr>
            <w:r>
              <w:t>Conv1d(128→256, k=3) + BN + ReLU</w:t>
            </w:r>
          </w:p>
        </w:tc>
        <w:tc>
          <w:tcPr>
            <w:tcW w:type="dxa" w:w="2880"/>
          </w:tcPr>
          <w:p>
            <w:pPr>
              <w:jc w:val="center"/>
            </w:pPr>
            <w:r>
              <w:t>(batch, 256, seq_len)</w:t>
            </w:r>
          </w:p>
        </w:tc>
      </w:tr>
      <w:tr>
        <w:tc>
          <w:tcPr>
            <w:tcW w:type="dxa" w:w="2880"/>
          </w:tcPr>
          <w:p>
            <w:pPr>
              <w:jc w:val="center"/>
            </w:pPr>
            <w:r>
              <w:t>卷积层3</w:t>
            </w:r>
          </w:p>
        </w:tc>
        <w:tc>
          <w:tcPr>
            <w:tcW w:type="dxa" w:w="2880"/>
          </w:tcPr>
          <w:p>
            <w:pPr>
              <w:jc w:val="center"/>
            </w:pPr>
            <w:r>
              <w:t>Conv1d(256→512, k=3) + BN + ReLU</w:t>
            </w:r>
          </w:p>
        </w:tc>
        <w:tc>
          <w:tcPr>
            <w:tcW w:type="dxa" w:w="2880"/>
          </w:tcPr>
          <w:p>
            <w:pPr>
              <w:jc w:val="center"/>
            </w:pPr>
            <w:r>
              <w:t>(batch, 512, seq_len)</w:t>
            </w:r>
          </w:p>
        </w:tc>
      </w:tr>
    </w:tbl>
    <w:p/>
    <w:p>
      <w:pPr>
        <w:spacing w:line="360" w:lineRule="auto"/>
        <w:ind w:firstLine="425"/>
      </w:pPr>
      <w:r>
        <w:t>全局平均池化将序列维度压缩，得到(batch, 512)的向量，再通过全连接层映射到256维的最终表示空间。重构头由两层全连接网络构成，将256维特征映射回68维的词汇表空间，用于预测被掩码位置的原始token。</w:t>
      </w:r>
    </w:p>
    <w:p>
      <w:pPr>
        <w:pStyle w:val="Heading1"/>
      </w:pPr>
      <w:r>
        <w:t>4  实验与结果</w:t>
      </w:r>
    </w:p>
    <w:p>
      <w:pPr>
        <w:pStyle w:val="Heading2"/>
      </w:pPr>
      <w:r>
        <w:t>4.1  实验设置</w:t>
      </w:r>
    </w:p>
    <w:p>
      <w:pPr>
        <w:spacing w:line="360" w:lineRule="auto"/>
        <w:ind w:firstLine="425"/>
      </w:pPr>
      <w:r>
        <w:t>数据集包含4个物种的DNA序列：人类（Human）、小鼠（Mouse）、果蝇（Fly）和线虫（Worm），总计约3051条序列，长度范围为500-1000bp。实验采用32的批次大小，学习率为0.0001，序列最大长度为512。预训练10个epoch，分类训练5个epoch。</w:t>
      </w:r>
    </w:p>
    <w:p>
      <w:pPr>
        <w:pStyle w:val="Heading2"/>
      </w:pPr>
      <w:r>
        <w:t>4.2  预训练结果</w:t>
      </w:r>
    </w:p>
    <w:p>
      <w:pPr>
        <w:spacing w:line="360" w:lineRule="auto"/>
        <w:ind w:firstLine="425"/>
      </w:pPr>
      <w:r>
        <w:t>预训练损失从4.06下降到0.61，下降了85%。验证损失从3.81下降到0.53，下降了86%。训练和验证损失均持续下降，表明模型成功学习了DNA序列的局部模式，且无明显过拟合。</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Epoch</w:t>
            </w:r>
          </w:p>
        </w:tc>
        <w:tc>
          <w:tcPr>
            <w:tcW w:type="dxa" w:w="2880"/>
          </w:tcPr>
          <w:p>
            <w:pPr>
              <w:jc w:val="center"/>
            </w:pPr>
            <w:r>
              <w:rPr>
                <w:b/>
              </w:rPr>
              <w:t>训练损失</w:t>
            </w:r>
          </w:p>
        </w:tc>
        <w:tc>
          <w:tcPr>
            <w:tcW w:type="dxa" w:w="2880"/>
          </w:tcPr>
          <w:p>
            <w:pPr>
              <w:jc w:val="center"/>
            </w:pPr>
            <w:r>
              <w:rPr>
                <w:b/>
              </w:rPr>
              <w:t>验证损失</w:t>
            </w:r>
          </w:p>
        </w:tc>
      </w:tr>
      <w:tr>
        <w:tc>
          <w:tcPr>
            <w:tcW w:type="dxa" w:w="2880"/>
          </w:tcPr>
          <w:p>
            <w:pPr>
              <w:jc w:val="center"/>
            </w:pPr>
            <w:r>
              <w:t>1</w:t>
            </w:r>
          </w:p>
        </w:tc>
        <w:tc>
          <w:tcPr>
            <w:tcW w:type="dxa" w:w="2880"/>
          </w:tcPr>
          <w:p>
            <w:pPr>
              <w:jc w:val="center"/>
            </w:pPr>
            <w:r>
              <w:t>4.0609</w:t>
            </w:r>
          </w:p>
        </w:tc>
        <w:tc>
          <w:tcPr>
            <w:tcW w:type="dxa" w:w="2880"/>
          </w:tcPr>
          <w:p>
            <w:pPr>
              <w:jc w:val="center"/>
            </w:pPr>
            <w:r>
              <w:t>3.8067</w:t>
            </w:r>
          </w:p>
        </w:tc>
      </w:tr>
      <w:tr>
        <w:tc>
          <w:tcPr>
            <w:tcW w:type="dxa" w:w="2880"/>
          </w:tcPr>
          <w:p>
            <w:pPr>
              <w:jc w:val="center"/>
            </w:pPr>
            <w:r>
              <w:t>2</w:t>
            </w:r>
          </w:p>
        </w:tc>
        <w:tc>
          <w:tcPr>
            <w:tcW w:type="dxa" w:w="2880"/>
          </w:tcPr>
          <w:p>
            <w:pPr>
              <w:jc w:val="center"/>
            </w:pPr>
            <w:r>
              <w:t>3.3681</w:t>
            </w:r>
          </w:p>
        </w:tc>
        <w:tc>
          <w:tcPr>
            <w:tcW w:type="dxa" w:w="2880"/>
          </w:tcPr>
          <w:p>
            <w:pPr>
              <w:jc w:val="center"/>
            </w:pPr>
            <w:r>
              <w:t>2.7735</w:t>
            </w:r>
          </w:p>
        </w:tc>
      </w:tr>
      <w:tr>
        <w:tc>
          <w:tcPr>
            <w:tcW w:type="dxa" w:w="2880"/>
          </w:tcPr>
          <w:p>
            <w:pPr>
              <w:jc w:val="center"/>
            </w:pPr>
            <w:r>
              <w:t>3</w:t>
            </w:r>
          </w:p>
        </w:tc>
        <w:tc>
          <w:tcPr>
            <w:tcW w:type="dxa" w:w="2880"/>
          </w:tcPr>
          <w:p>
            <w:pPr>
              <w:jc w:val="center"/>
            </w:pPr>
            <w:r>
              <w:t>2.2384</w:t>
            </w:r>
          </w:p>
        </w:tc>
        <w:tc>
          <w:tcPr>
            <w:tcW w:type="dxa" w:w="2880"/>
          </w:tcPr>
          <w:p>
            <w:pPr>
              <w:jc w:val="center"/>
            </w:pPr>
            <w:r>
              <w:t>1.6228</w:t>
            </w:r>
          </w:p>
        </w:tc>
      </w:tr>
      <w:tr>
        <w:tc>
          <w:tcPr>
            <w:tcW w:type="dxa" w:w="2880"/>
          </w:tcPr>
          <w:p>
            <w:pPr>
              <w:jc w:val="center"/>
            </w:pPr>
            <w:r>
              <w:t>4</w:t>
            </w:r>
          </w:p>
        </w:tc>
        <w:tc>
          <w:tcPr>
            <w:tcW w:type="dxa" w:w="2880"/>
          </w:tcPr>
          <w:p>
            <w:pPr>
              <w:jc w:val="center"/>
            </w:pPr>
            <w:r>
              <w:t>1.3647</w:t>
            </w:r>
          </w:p>
        </w:tc>
        <w:tc>
          <w:tcPr>
            <w:tcW w:type="dxa" w:w="2880"/>
          </w:tcPr>
          <w:p>
            <w:pPr>
              <w:jc w:val="center"/>
            </w:pPr>
            <w:r>
              <w:t>0.9878</w:t>
            </w:r>
          </w:p>
        </w:tc>
      </w:tr>
      <w:tr>
        <w:tc>
          <w:tcPr>
            <w:tcW w:type="dxa" w:w="2880"/>
          </w:tcPr>
          <w:p>
            <w:pPr>
              <w:jc w:val="center"/>
            </w:pPr>
            <w:r>
              <w:t>5</w:t>
            </w:r>
          </w:p>
        </w:tc>
        <w:tc>
          <w:tcPr>
            <w:tcW w:type="dxa" w:w="2880"/>
          </w:tcPr>
          <w:p>
            <w:pPr>
              <w:jc w:val="center"/>
            </w:pPr>
            <w:r>
              <w:t>0.9367</w:t>
            </w:r>
          </w:p>
        </w:tc>
        <w:tc>
          <w:tcPr>
            <w:tcW w:type="dxa" w:w="2880"/>
          </w:tcPr>
          <w:p>
            <w:pPr>
              <w:jc w:val="center"/>
            </w:pPr>
            <w:r>
              <w:t>0.7497</w:t>
            </w:r>
          </w:p>
        </w:tc>
      </w:tr>
      <w:tr>
        <w:tc>
          <w:tcPr>
            <w:tcW w:type="dxa" w:w="2880"/>
          </w:tcPr>
          <w:p>
            <w:pPr>
              <w:jc w:val="center"/>
            </w:pPr>
            <w:r>
              <w:t>6</w:t>
            </w:r>
          </w:p>
        </w:tc>
        <w:tc>
          <w:tcPr>
            <w:tcW w:type="dxa" w:w="2880"/>
          </w:tcPr>
          <w:p>
            <w:pPr>
              <w:jc w:val="center"/>
            </w:pPr>
            <w:r>
              <w:t>0.7584</w:t>
            </w:r>
          </w:p>
        </w:tc>
        <w:tc>
          <w:tcPr>
            <w:tcW w:type="dxa" w:w="2880"/>
          </w:tcPr>
          <w:p>
            <w:pPr>
              <w:jc w:val="center"/>
            </w:pPr>
            <w:r>
              <w:t>0.6269</w:t>
            </w:r>
          </w:p>
        </w:tc>
      </w:tr>
      <w:tr>
        <w:tc>
          <w:tcPr>
            <w:tcW w:type="dxa" w:w="2880"/>
          </w:tcPr>
          <w:p>
            <w:pPr>
              <w:jc w:val="center"/>
            </w:pPr>
            <w:r>
              <w:t>7</w:t>
            </w:r>
          </w:p>
        </w:tc>
        <w:tc>
          <w:tcPr>
            <w:tcW w:type="dxa" w:w="2880"/>
          </w:tcPr>
          <w:p>
            <w:pPr>
              <w:jc w:val="center"/>
            </w:pPr>
            <w:r>
              <w:t>0.6771</w:t>
            </w:r>
          </w:p>
        </w:tc>
        <w:tc>
          <w:tcPr>
            <w:tcW w:type="dxa" w:w="2880"/>
          </w:tcPr>
          <w:p>
            <w:pPr>
              <w:jc w:val="center"/>
            </w:pPr>
            <w:r>
              <w:t>0.5817</w:t>
            </w:r>
          </w:p>
        </w:tc>
      </w:tr>
      <w:tr>
        <w:tc>
          <w:tcPr>
            <w:tcW w:type="dxa" w:w="2880"/>
          </w:tcPr>
          <w:p>
            <w:pPr>
              <w:jc w:val="center"/>
            </w:pPr>
            <w:r>
              <w:t>8</w:t>
            </w:r>
          </w:p>
        </w:tc>
        <w:tc>
          <w:tcPr>
            <w:tcW w:type="dxa" w:w="2880"/>
          </w:tcPr>
          <w:p>
            <w:pPr>
              <w:jc w:val="center"/>
            </w:pPr>
            <w:r>
              <w:t>0.6435</w:t>
            </w:r>
          </w:p>
        </w:tc>
        <w:tc>
          <w:tcPr>
            <w:tcW w:type="dxa" w:w="2880"/>
          </w:tcPr>
          <w:p>
            <w:pPr>
              <w:jc w:val="center"/>
            </w:pPr>
            <w:r>
              <w:t>0.5720</w:t>
            </w:r>
          </w:p>
        </w:tc>
      </w:tr>
      <w:tr>
        <w:tc>
          <w:tcPr>
            <w:tcW w:type="dxa" w:w="2880"/>
          </w:tcPr>
          <w:p>
            <w:pPr>
              <w:jc w:val="center"/>
            </w:pPr>
            <w:r>
              <w:t>9</w:t>
            </w:r>
          </w:p>
        </w:tc>
        <w:tc>
          <w:tcPr>
            <w:tcW w:type="dxa" w:w="2880"/>
          </w:tcPr>
          <w:p>
            <w:pPr>
              <w:jc w:val="center"/>
            </w:pPr>
            <w:r>
              <w:t>0.6184</w:t>
            </w:r>
          </w:p>
        </w:tc>
        <w:tc>
          <w:tcPr>
            <w:tcW w:type="dxa" w:w="2880"/>
          </w:tcPr>
          <w:p>
            <w:pPr>
              <w:jc w:val="center"/>
            </w:pPr>
            <w:r>
              <w:t>0.5606</w:t>
            </w:r>
          </w:p>
        </w:tc>
      </w:tr>
      <w:tr>
        <w:tc>
          <w:tcPr>
            <w:tcW w:type="dxa" w:w="2880"/>
          </w:tcPr>
          <w:p>
            <w:pPr>
              <w:jc w:val="center"/>
            </w:pPr>
            <w:r>
              <w:t>10</w:t>
            </w:r>
          </w:p>
        </w:tc>
        <w:tc>
          <w:tcPr>
            <w:tcW w:type="dxa" w:w="2880"/>
          </w:tcPr>
          <w:p>
            <w:pPr>
              <w:jc w:val="center"/>
            </w:pPr>
            <w:r>
              <w:t>0.6103</w:t>
            </w:r>
          </w:p>
        </w:tc>
        <w:tc>
          <w:tcPr>
            <w:tcW w:type="dxa" w:w="2880"/>
          </w:tcPr>
          <w:p>
            <w:pPr>
              <w:jc w:val="center"/>
            </w:pPr>
            <w:r>
              <w:t>0.5339</w:t>
            </w:r>
          </w:p>
        </w:tc>
      </w:tr>
    </w:tbl>
    <w:p>
      <w:pPr>
        <w:pStyle w:val="Heading2"/>
      </w:pPr>
      <w:r>
        <w:t>4.3  下游分类验证</w:t>
      </w:r>
    </w:p>
    <w:p>
      <w:pPr>
        <w:spacing w:line="360" w:lineRule="auto"/>
        <w:ind w:firstLine="425"/>
      </w:pPr>
      <w:r>
        <w:t>在下游4物种分类任务上，分类准确率为23.57%，精确率为5.89%，召回率为25.00%，F1分数为0.0954。准确率接近随机猜测水平（25%），这主要是由于：（1）训练轮次较少，仅5个epoch；（2）编码器参数被冻结，仅训练分类头；（3）数据集规模较小。</w:t>
      </w:r>
    </w:p>
    <w:p>
      <w:pPr>
        <w:pStyle w:val="Heading2"/>
      </w:pPr>
      <w:r>
        <w:t>4.4  特征可视化</w:t>
      </w:r>
    </w:p>
    <w:p>
      <w:pPr>
        <w:spacing w:line="360" w:lineRule="auto"/>
        <w:ind w:firstLine="425"/>
      </w:pPr>
      <w:r>
        <w:t>通过t-SNE和PCA降维可视化分析了预训练编码器提取的256维特征。</w:t>
      </w:r>
    </w:p>
    <w:p/>
    <w:p>
      <w:pPr>
        <w:jc w:val="center"/>
      </w:pPr>
      <w:r>
        <w:drawing>
          <wp:inline xmlns:a="http://schemas.openxmlformats.org/drawingml/2006/main" xmlns:pic="http://schemas.openxmlformats.org/drawingml/2006/picture">
            <wp:extent cx="4572000" cy="3642782"/>
            <wp:docPr id="1" name="Picture 1"/>
            <wp:cNvGraphicFramePr>
              <a:graphicFrameLocks noChangeAspect="1"/>
            </wp:cNvGraphicFramePr>
            <a:graphic>
              <a:graphicData uri="http://schemas.openxmlformats.org/drawingml/2006/picture">
                <pic:pic>
                  <pic:nvPicPr>
                    <pic:cNvPr id="0" name="dna_features_tsne.png"/>
                    <pic:cNvPicPr/>
                  </pic:nvPicPr>
                  <pic:blipFill>
                    <a:blip r:embed="rId9"/>
                    <a:stretch>
                      <a:fillRect/>
                    </a:stretch>
                  </pic:blipFill>
                  <pic:spPr>
                    <a:xfrm>
                      <a:off x="0" y="0"/>
                      <a:ext cx="4572000" cy="3642782"/>
                    </a:xfrm>
                    <a:prstGeom prst="rect"/>
                  </pic:spPr>
                </pic:pic>
              </a:graphicData>
            </a:graphic>
          </wp:inline>
        </w:drawing>
      </w:r>
    </w:p>
    <w:p>
      <w:pPr>
        <w:jc w:val="center"/>
      </w:pPr>
      <w:r>
        <w:rPr>
          <w:sz w:val="20"/>
        </w:rPr>
        <w:t>图1  t-SNE特征可视化</w:t>
      </w:r>
    </w:p>
    <w:p/>
    <w:p>
      <w:pPr>
        <w:jc w:val="center"/>
      </w:pPr>
      <w:r>
        <w:drawing>
          <wp:inline xmlns:a="http://schemas.openxmlformats.org/drawingml/2006/main" xmlns:pic="http://schemas.openxmlformats.org/drawingml/2006/picture">
            <wp:extent cx="4572000" cy="3640324"/>
            <wp:docPr id="2" name="Picture 2"/>
            <wp:cNvGraphicFramePr>
              <a:graphicFrameLocks noChangeAspect="1"/>
            </wp:cNvGraphicFramePr>
            <a:graphic>
              <a:graphicData uri="http://schemas.openxmlformats.org/drawingml/2006/picture">
                <pic:pic>
                  <pic:nvPicPr>
                    <pic:cNvPr id="0" name="dna_features_pca.png"/>
                    <pic:cNvPicPr/>
                  </pic:nvPicPr>
                  <pic:blipFill>
                    <a:blip r:embed="rId10"/>
                    <a:stretch>
                      <a:fillRect/>
                    </a:stretch>
                  </pic:blipFill>
                  <pic:spPr>
                    <a:xfrm>
                      <a:off x="0" y="0"/>
                      <a:ext cx="4572000" cy="3640324"/>
                    </a:xfrm>
                    <a:prstGeom prst="rect"/>
                  </pic:spPr>
                </pic:pic>
              </a:graphicData>
            </a:graphic>
          </wp:inline>
        </w:drawing>
      </w:r>
    </w:p>
    <w:p>
      <w:pPr>
        <w:jc w:val="center"/>
      </w:pPr>
      <w:r>
        <w:rPr>
          <w:sz w:val="20"/>
        </w:rPr>
        <w:t>图2  PCA特征可视化</w:t>
      </w:r>
    </w:p>
    <w:p/>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rPr>
              <w:t>指标</w:t>
            </w:r>
          </w:p>
        </w:tc>
        <w:tc>
          <w:tcPr>
            <w:tcW w:type="dxa" w:w="4320"/>
          </w:tcPr>
          <w:p>
            <w:pPr>
              <w:jc w:val="center"/>
            </w:pPr>
            <w:r>
              <w:rPr>
                <w:b/>
              </w:rPr>
              <w:t>数值</w:t>
            </w:r>
          </w:p>
        </w:tc>
      </w:tr>
      <w:tr>
        <w:tc>
          <w:tcPr>
            <w:tcW w:type="dxa" w:w="4320"/>
          </w:tcPr>
          <w:p>
            <w:pPr>
              <w:jc w:val="center"/>
            </w:pPr>
            <w:r>
              <w:t>轮廓系数 (Silhouette)</w:t>
            </w:r>
          </w:p>
        </w:tc>
        <w:tc>
          <w:tcPr>
            <w:tcW w:type="dxa" w:w="4320"/>
          </w:tcPr>
          <w:p>
            <w:pPr>
              <w:jc w:val="center"/>
            </w:pPr>
            <w:r>
              <w:t>0.0148</w:t>
            </w:r>
          </w:p>
        </w:tc>
      </w:tr>
      <w:tr>
        <w:tc>
          <w:tcPr>
            <w:tcW w:type="dxa" w:w="4320"/>
          </w:tcPr>
          <w:p>
            <w:pPr>
              <w:jc w:val="center"/>
            </w:pPr>
            <w:r>
              <w:t>CH指数</w:t>
            </w:r>
          </w:p>
        </w:tc>
        <w:tc>
          <w:tcPr>
            <w:tcW w:type="dxa" w:w="4320"/>
          </w:tcPr>
          <w:p>
            <w:pPr>
              <w:jc w:val="center"/>
            </w:pPr>
            <w:r>
              <w:t>139.54</w:t>
            </w:r>
          </w:p>
        </w:tc>
      </w:tr>
      <w:tr>
        <w:tc>
          <w:tcPr>
            <w:tcW w:type="dxa" w:w="4320"/>
          </w:tcPr>
          <w:p>
            <w:pPr>
              <w:jc w:val="center"/>
            </w:pPr>
            <w:r>
              <w:t>DB指数</w:t>
            </w:r>
          </w:p>
        </w:tc>
        <w:tc>
          <w:tcPr>
            <w:tcW w:type="dxa" w:w="4320"/>
          </w:tcPr>
          <w:p>
            <w:pPr>
              <w:jc w:val="center"/>
            </w:pPr>
            <w:r>
              <w:t>12.74</w:t>
            </w:r>
          </w:p>
        </w:tc>
      </w:tr>
    </w:tbl>
    <w:p>
      <w:pPr>
        <w:spacing w:line="360" w:lineRule="auto"/>
        <w:ind w:firstLine="425"/>
      </w:pPr>
      <w:r>
        <w:t>t-SNE可视化显示不同物种的特征点有一定聚集趋势，但类别间存在较多重叠。PCA前两主成分分别解释了11.3%和5.4%的方差，累计解释16.6%，说明特征空间维度较高。轮廓系数接近0，表明聚类效果一般，不同物种的DNA序列存在较高相似性。</w:t>
      </w:r>
    </w:p>
    <w:p>
      <w:pPr>
        <w:pStyle w:val="Heading1"/>
      </w:pPr>
      <w:r>
        <w:t>5  讨论</w:t>
      </w:r>
    </w:p>
    <w:p>
      <w:pPr>
        <w:pStyle w:val="Heading3"/>
      </w:pPr>
      <w:r>
        <w:t>预训练效果分析</w:t>
      </w:r>
    </w:p>
    <w:p>
      <w:pPr>
        <w:spacing w:line="360" w:lineRule="auto"/>
        <w:ind w:firstLine="425"/>
      </w:pPr>
      <w:r>
        <w:t>预训练损失从4.06下降到0.61，下降了85%，验证损失也持续下降，表明掩码重构任务能够有效驱动模型学习DNA序列的局部模式。这一结果与BERT在自然语言处理中的表现类似，说明掩码重构学习在序列数据上具有良好的通用性。</w:t>
      </w:r>
    </w:p>
    <w:p>
      <w:pPr>
        <w:pStyle w:val="Heading3"/>
      </w:pPr>
      <w:r>
        <w:t>分类效果分析</w:t>
      </w:r>
    </w:p>
    <w:p>
      <w:pPr>
        <w:spacing w:line="360" w:lineRule="auto"/>
        <w:ind w:firstLine="425"/>
      </w:pPr>
      <w:r>
        <w:t>下游分类准确率仅为23.57%，接近随机猜测水平。可能的原因包括：（1）编码器参数被冻结，分类头的表达能力有限；（2）训练轮次不足；（3）四个物种的DNA序列在k-mer层面具有较高的相似性。未来可通过解冻部分编码器参数、增加训练轮次等方式进行改进。</w:t>
      </w:r>
    </w:p>
    <w:p>
      <w:pPr>
        <w:pStyle w:val="Heading3"/>
      </w:pPr>
      <w:r>
        <w:t>特征可视化分析</w:t>
      </w:r>
    </w:p>
    <w:p>
      <w:pPr>
        <w:spacing w:line="360" w:lineRule="auto"/>
        <w:ind w:firstLine="425"/>
      </w:pPr>
      <w:r>
        <w:t>t-SNE和PCA可视化结果显示，虽然不同物种的特征点有一定聚集趋势，但类别边界不清晰，存在较多重叠。这与聚类指标的结果一致，说明仅通过k-mer级别的掩码重构学习难以完全区分不同物种的DNA序列。这一结果提示，可能需要结合更高级的序列特征或更复杂的模型架构来提升表示的判别性。</w:t>
      </w:r>
    </w:p>
    <w:p>
      <w:pPr>
        <w:pStyle w:val="Heading3"/>
      </w:pPr>
      <w:r>
        <w:t>改进方向</w:t>
      </w:r>
    </w:p>
    <w:p>
      <w:pPr>
        <w:spacing w:line="360" w:lineRule="auto"/>
        <w:ind w:firstLine="425"/>
      </w:pPr>
      <w:r>
        <w:t>（1）引入对比学习方法，通过正负样本对的对比来增强特征的判别性；（2）使用Transformer编码器替代CNN，以捕获更长距离的序列依赖关系；（3）增加数据增强策略，如反向互补序列、随机截断等；（4）扩大数据集规模，使用更多物种的DNA序列进行预训练。</w:t>
      </w:r>
    </w:p>
    <w:p>
      <w:pPr>
        <w:pStyle w:val="Heading1"/>
      </w:pPr>
      <w:r>
        <w:t>6  结论</w:t>
      </w:r>
    </w:p>
    <w:p>
      <w:pPr>
        <w:spacing w:line="360" w:lineRule="auto"/>
        <w:ind w:firstLine="425"/>
      </w:pPr>
      <w:r>
        <w:t>本研究实现了基于掩码重构学习的DNA序列表征学习方法。通过随机掩码15%的k-mer token并训练CNN编码器重构，模型成功从无标注DNA序列中学习到了有意义的表示。预训练损失下降了85%，表明模型有效捕获了序列的局部模式。在下游4物种分类任务上验证了所学表示的有效性，通过t-SNE和PCA可视化分析了特征分布特性。实验结果表明，掩码重构学习在DNA序列表征学习中具有可行性，为生物信息学领域的自监督学习研究提供了参考方案。</w:t>
      </w:r>
    </w:p>
    <w:p>
      <w:pPr>
        <w:pStyle w:val="Heading1"/>
      </w:pPr>
      <w:r>
        <w:t>参考文献</w:t>
      </w:r>
    </w:p>
    <w:p>
      <w:pPr>
        <w:spacing w:line="360" w:lineRule="auto"/>
        <w:ind w:hanging="567" w:left="567"/>
      </w:pPr>
      <w:r>
        <w:t>[1] Devlin J, Chang M W, Lee K, et al. BERT: Pre-training of deep bidirectional transformers for language understanding[C]. NAACL-HLT, 2019.</w:t>
      </w:r>
    </w:p>
    <w:p>
      <w:pPr>
        <w:spacing w:line="360" w:lineRule="auto"/>
        <w:ind w:hanging="567" w:left="567"/>
      </w:pPr>
      <w:r>
        <w:t>[2] He K, Chen X, Xie S, et al. Masked autoencoders are scalable vision learners[C]. CVPR, 2022.</w:t>
      </w:r>
    </w:p>
    <w:p>
      <w:pPr>
        <w:spacing w:line="360" w:lineRule="auto"/>
        <w:ind w:hanging="567" w:left="567"/>
      </w:pPr>
      <w:r>
        <w:t>[3] Ji Y, Zhou Z, Liu H, et al. DNABERT: pre-trained Bidirectional Encoder Representations from Transformers model for DNA-language in genome[J]. Bioinformatics, 2021.</w:t>
      </w:r>
    </w:p>
    <w:p>
      <w:pPr>
        <w:spacing w:line="360" w:lineRule="auto"/>
        <w:ind w:hanging="567" w:left="567"/>
      </w:pPr>
      <w:r>
        <w:t>[4] Chen K, Zhou Y, Xiang F, et al. Nucleotide Transformer: Building High Quality DNAfoundation Models for Genomics[J]. arXiv preprint arXiv:2306.15006, 2023.</w:t>
      </w:r>
    </w:p>
    <w:p>
      <w:pPr>
        <w:spacing w:line="360" w:lineRule="auto"/>
        <w:ind w:hanging="567" w:left="567"/>
      </w:pPr>
      <w:r>
        <w:t>[5] Alipanahi B, Delong A, Weirauch M T, et al. Predicting the sequence specificities of DNA-and RNA-binding proteins by deep learning[J]. Nature biotechnology, 2015.</w:t>
      </w:r>
    </w:p>
    <w:p>
      <w:pPr>
        <w:spacing w:line="360" w:lineRule="auto"/>
        <w:ind w:hanging="567" w:left="567"/>
      </w:pPr>
      <w:r>
        <w:t>[6] Angermueller C, Pärnamaa T, Parts L, et al. Deep learning for computational biology[J]. Molecular systems biology,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