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Barstock Platform Design Document</w:t>
      </w:r>
    </w:p>
    <w:p>
      <w:r>
        <w:t>Crowd-Sourced Tare Intelligence Architecture</w:t>
      </w:r>
    </w:p>
    <w:p>
      <w:r>
        <w:t>Generated: 2026-02-27</w:t>
      </w:r>
    </w:p>
    <w:p>
      <w:r>
        <w:t>Audience: Claude implementation agent (architecture specification)</w:t>
      </w:r>
    </w:p>
    <w:p/>
    <w:p>
      <w:pPr>
        <w:pStyle w:val="Heading2"/>
      </w:pPr>
      <w:r>
        <w:t>1. Purpose</w:t>
      </w:r>
    </w:p>
    <w:p>
      <w:r>
        <w:t>This document describes the architecture for a global, self-improving tare weight intelligence system within the Barstock platform. The objective is to create a continuously learning bottle-weight database that improves inventory accuracy across all tenants while maintaining strict multi-tenant isolation.</w:t>
      </w:r>
    </w:p>
    <w:p>
      <w:pPr>
        <w:pStyle w:val="Heading2"/>
      </w:pPr>
      <w:r>
        <w:t>2. Strategic Objective</w:t>
      </w:r>
    </w:p>
    <w:p>
      <w:r>
        <w:t>Barstock will surpass existing systems by:</w:t>
      </w:r>
    </w:p>
    <w:p>
      <w:pPr>
        <w:pStyle w:val="ListBullet"/>
      </w:pPr>
      <w:r>
        <w:t>• Providing accurate tare weights immediately during onboarding.</w:t>
      </w:r>
    </w:p>
    <w:p>
      <w:pPr>
        <w:pStyle w:val="ListBullet"/>
      </w:pPr>
      <w:r>
        <w:t>• Learning automatically from real inventory workflows (especially 'Mark Empty').</w:t>
      </w:r>
    </w:p>
    <w:p>
      <w:pPr>
        <w:pStyle w:val="ListBullet"/>
      </w:pPr>
      <w:r>
        <w:t>• Detecting bottle redesigns automatically.</w:t>
      </w:r>
    </w:p>
    <w:p>
      <w:pPr>
        <w:pStyle w:val="ListBullet"/>
      </w:pPr>
      <w:r>
        <w:t>• Preventing crowdsourced data poisoning via trust scoring.</w:t>
      </w:r>
    </w:p>
    <w:p>
      <w:pPr>
        <w:pStyle w:val="ListBullet"/>
      </w:pPr>
      <w:r>
        <w:t>• Maintaining strict tenant isolation (no cross-bar inventory sharing).</w:t>
      </w:r>
    </w:p>
    <w:p>
      <w:pPr>
        <w:pStyle w:val="Heading2"/>
      </w:pPr>
      <w:r>
        <w:t>3. Core Architectural Principle</w:t>
      </w:r>
    </w:p>
    <w:p>
      <w:r>
        <w:t>Tare weight belongs to a Package Variant, not the Product. The same liquid product can ship in multiple packaging configurations over time.</w:t>
      </w:r>
    </w:p>
    <w:p>
      <w:r>
        <w:t>Hierarchy:</w:t>
      </w:r>
    </w:p>
    <w:p>
      <w:pPr>
        <w:pStyle w:val="ListBullet"/>
      </w:pPr>
      <w:r>
        <w:t>Product → Package Variant → Global Tare Model</w:t>
      </w:r>
    </w:p>
    <w:p>
      <w:pPr>
        <w:pStyle w:val="Heading2"/>
      </w:pPr>
      <w:r>
        <w:t>4. Data Model Overview (Conceptual)</w:t>
      </w:r>
    </w:p>
    <w:p>
      <w:pPr>
        <w:pStyle w:val="Heading3"/>
      </w:pPr>
      <w:r>
        <w:t>4.1 Product (Global)</w:t>
      </w:r>
    </w:p>
    <w:p>
      <w:r>
        <w:t>Represents the liquid (brand, ABV, density).</w:t>
      </w:r>
    </w:p>
    <w:p>
      <w:pPr>
        <w:pStyle w:val="ListBullet"/>
      </w:pPr>
      <w:r>
        <w:t>Key fields:</w:t>
      </w:r>
    </w:p>
    <w:p>
      <w:pPr>
        <w:pStyle w:val="ListContinue"/>
      </w:pPr>
      <w:r>
        <w:t>• Name</w:t>
      </w:r>
    </w:p>
    <w:p>
      <w:pPr>
        <w:pStyle w:val="ListContinue"/>
      </w:pPr>
      <w:r>
        <w:t>• Brand</w:t>
      </w:r>
    </w:p>
    <w:p>
      <w:pPr>
        <w:pStyle w:val="ListContinue"/>
      </w:pPr>
      <w:r>
        <w:t>• Category</w:t>
      </w:r>
    </w:p>
    <w:p>
      <w:pPr>
        <w:pStyle w:val="ListContinue"/>
      </w:pPr>
      <w:r>
        <w:t>• ABV</w:t>
      </w:r>
    </w:p>
    <w:p>
      <w:pPr>
        <w:pStyle w:val="ListContinue"/>
      </w:pPr>
      <w:r>
        <w:t>• Density (g/mL)</w:t>
      </w:r>
    </w:p>
    <w:p>
      <w:pPr>
        <w:pStyle w:val="Heading3"/>
      </w:pPr>
      <w:r>
        <w:t>4.2 Package Variant (Global)</w:t>
      </w:r>
    </w:p>
    <w:p>
      <w:r>
        <w:t>Represents a specific bottle configuration.</w:t>
      </w:r>
    </w:p>
    <w:p>
      <w:pPr>
        <w:pStyle w:val="ListBullet"/>
      </w:pPr>
      <w:r>
        <w:t>Key fields:</w:t>
      </w:r>
    </w:p>
    <w:p>
      <w:pPr>
        <w:pStyle w:val="ListContinue"/>
      </w:pPr>
      <w:r>
        <w:t>• Product reference</w:t>
      </w:r>
    </w:p>
    <w:p>
      <w:pPr>
        <w:pStyle w:val="ListContinue"/>
      </w:pPr>
      <w:r>
        <w:t>• Volume (mL)</w:t>
      </w:r>
    </w:p>
    <w:p>
      <w:pPr>
        <w:pStyle w:val="ListContinue"/>
      </w:pPr>
      <w:r>
        <w:t>• Region code</w:t>
      </w:r>
    </w:p>
    <w:p>
      <w:pPr>
        <w:pStyle w:val="ListContinue"/>
      </w:pPr>
      <w:r>
        <w:t>• Closure type</w:t>
      </w:r>
    </w:p>
    <w:p>
      <w:pPr>
        <w:pStyle w:val="ListContinue"/>
      </w:pPr>
      <w:r>
        <w:t>• Bottle shape hash (future)</w:t>
      </w:r>
    </w:p>
    <w:p>
      <w:pPr>
        <w:pStyle w:val="ListContinue"/>
      </w:pPr>
      <w:r>
        <w:t>• Status (Active / Suspected Split / Deprecated)</w:t>
      </w:r>
    </w:p>
    <w:p>
      <w:pPr>
        <w:pStyle w:val="Heading3"/>
      </w:pPr>
      <w:r>
        <w:t>4.3 Global Tare Model</w:t>
      </w:r>
    </w:p>
    <w:p>
      <w:r>
        <w:t>Represents consensus tare weight derived from observations.</w:t>
      </w:r>
    </w:p>
    <w:p>
      <w:pPr>
        <w:pStyle w:val="ListBullet"/>
      </w:pPr>
      <w:r>
        <w:t>Key fields:</w:t>
      </w:r>
    </w:p>
    <w:p>
      <w:pPr>
        <w:pStyle w:val="ListContinue"/>
      </w:pPr>
      <w:r>
        <w:t>• Tare estimate (grams)</w:t>
      </w:r>
    </w:p>
    <w:p>
      <w:pPr>
        <w:pStyle w:val="ListContinue"/>
      </w:pPr>
      <w:r>
        <w:t>• Standard deviation</w:t>
      </w:r>
    </w:p>
    <w:p>
      <w:pPr>
        <w:pStyle w:val="ListContinue"/>
      </w:pPr>
      <w:r>
        <w:t>• Effective weighted sample count</w:t>
      </w:r>
    </w:p>
    <w:p>
      <w:pPr>
        <w:pStyle w:val="ListContinue"/>
      </w:pPr>
      <w:r>
        <w:t>• Confidence score (0–100)</w:t>
      </w:r>
    </w:p>
    <w:p>
      <w:pPr>
        <w:pStyle w:val="ListContinue"/>
      </w:pPr>
      <w:r>
        <w:t>• Algorithm version</w:t>
      </w:r>
    </w:p>
    <w:p>
      <w:pPr>
        <w:pStyle w:val="Heading3"/>
      </w:pPr>
      <w:r>
        <w:t>4.4 Tare Observations (Immutable Ledger)</w:t>
      </w:r>
    </w:p>
    <w:p>
      <w:r>
        <w:t>Each measured empty bottle generates an append-only observation.</w:t>
      </w:r>
    </w:p>
    <w:p>
      <w:pPr>
        <w:pStyle w:val="ListBullet"/>
      </w:pPr>
      <w:r>
        <w:t>Key attributes:</w:t>
      </w:r>
    </w:p>
    <w:p>
      <w:pPr>
        <w:pStyle w:val="ListContinue"/>
      </w:pPr>
      <w:r>
        <w:t>• Package variant reference</w:t>
      </w:r>
    </w:p>
    <w:p>
      <w:pPr>
        <w:pStyle w:val="ListContinue"/>
      </w:pPr>
      <w:r>
        <w:t>• Business reference</w:t>
      </w:r>
    </w:p>
    <w:p>
      <w:pPr>
        <w:pStyle w:val="ListContinue"/>
      </w:pPr>
      <w:r>
        <w:t>• Measured weight (grams)</w:t>
      </w:r>
    </w:p>
    <w:p>
      <w:pPr>
        <w:pStyle w:val="ListContinue"/>
      </w:pPr>
      <w:r>
        <w:t>• Source (Empty Confirmed / Manual / Imported)</w:t>
      </w:r>
    </w:p>
    <w:p>
      <w:pPr>
        <w:pStyle w:val="ListContinue"/>
      </w:pPr>
      <w:r>
        <w:t>• Stability metadata</w:t>
      </w:r>
    </w:p>
    <w:p>
      <w:pPr>
        <w:pStyle w:val="ListContinue"/>
      </w:pPr>
      <w:r>
        <w:t>• Outlier flag</w:t>
      </w:r>
    </w:p>
    <w:p>
      <w:pPr>
        <w:pStyle w:val="ListContinue"/>
      </w:pPr>
      <w:r>
        <w:t>• Review status</w:t>
      </w:r>
    </w:p>
    <w:p>
      <w:pPr>
        <w:pStyle w:val="Heading2"/>
      </w:pPr>
      <w:r>
        <w:t>5. Learning &amp; Consensus Engine</w:t>
      </w:r>
    </w:p>
    <w:p>
      <w:pPr>
        <w:pStyle w:val="Heading3"/>
      </w:pPr>
      <w:r>
        <w:t>5.1 Observation Validation</w:t>
      </w:r>
    </w:p>
    <w:p>
      <w:r>
        <w:t>Before acceptance, each observation must:</w:t>
      </w:r>
    </w:p>
    <w:p>
      <w:pPr>
        <w:pStyle w:val="ListBullet"/>
      </w:pPr>
      <w:r>
        <w:t>• Fall within plausible weight bounds for volume.</w:t>
      </w:r>
    </w:p>
    <w:p>
      <w:pPr>
        <w:pStyle w:val="ListBullet"/>
      </w:pPr>
      <w:r>
        <w:t>• Pass BLE stability requirements.</w:t>
      </w:r>
    </w:p>
    <w:p>
      <w:pPr>
        <w:pStyle w:val="ListBullet"/>
      </w:pPr>
      <w:r>
        <w:t>• Not deviate excessively from current consensus.</w:t>
      </w:r>
    </w:p>
    <w:p>
      <w:pPr>
        <w:pStyle w:val="Heading3"/>
      </w:pPr>
      <w:r>
        <w:t>5.2 Weighted Consensus Update</w:t>
      </w:r>
    </w:p>
    <w:p>
      <w:r>
        <w:t>Accepted observations are combined using a weighted trimmed mean. Weights depend on source type, business trust score, and scale stability.</w:t>
      </w:r>
    </w:p>
    <w:p>
      <w:pPr>
        <w:pStyle w:val="Heading3"/>
      </w:pPr>
      <w:r>
        <w:t>5.3 Confidence Scoring</w:t>
      </w:r>
    </w:p>
    <w:p>
      <w:r>
        <w:t>Confidence increases with sample weight and consistency, and decreases with variance. Displayed transparently in the UI.</w:t>
      </w:r>
    </w:p>
    <w:p>
      <w:pPr>
        <w:pStyle w:val="Heading3"/>
      </w:pPr>
      <w:r>
        <w:t>5.4 Business Trust Model</w:t>
      </w:r>
    </w:p>
    <w:p>
      <w:r>
        <w:t>Each business has a dynamic trust score adjusted based on historical observation accuracy. Higher trust increases influence in consensus calculations.</w:t>
      </w:r>
    </w:p>
    <w:p>
      <w:pPr>
        <w:pStyle w:val="Heading2"/>
      </w:pPr>
      <w:r>
        <w:t>6. Automatic Bottle Redesign Detection (Phase 2)</w:t>
      </w:r>
    </w:p>
    <w:p>
      <w:r>
        <w:t>If weight distributions become bimodal, the system detects possible packaging changes. A new Package Variant is created automatically pending admin review.</w:t>
      </w:r>
    </w:p>
    <w:p>
      <w:pPr>
        <w:pStyle w:val="Heading2"/>
      </w:pPr>
      <w:r>
        <w:t>7. Multi-Tenant Isolation &amp; Privacy</w:t>
      </w:r>
    </w:p>
    <w:p>
      <w:r>
        <w:t>Only aggregated tare physics data is shared globally. No tenant inventory counts, depletion data, or business-sensitive information is exposed.</w:t>
      </w:r>
    </w:p>
    <w:p>
      <w:pPr>
        <w:pStyle w:val="Heading2"/>
      </w:pPr>
      <w:r>
        <w:t>8. Onboarding 'Magic Moment'</w:t>
      </w:r>
    </w:p>
    <w:p>
      <w:r>
        <w:t>When a new bar scans a bottle, the system instantly provides a high-confidence tare if available. This creates immediate trust in weight-based inventory.</w:t>
      </w:r>
    </w:p>
    <w:p>
      <w:pPr>
        <w:pStyle w:val="Heading2"/>
      </w:pPr>
      <w:r>
        <w:t>9. MVP Scope</w:t>
      </w:r>
    </w:p>
    <w:p>
      <w:r>
        <w:t>Initial implementation includes:</w:t>
      </w:r>
    </w:p>
    <w:p>
      <w:pPr>
        <w:pStyle w:val="ListBullet"/>
      </w:pPr>
      <w:r>
        <w:t>• Product &amp; Package Variant model</w:t>
      </w:r>
    </w:p>
    <w:p>
      <w:pPr>
        <w:pStyle w:val="ListBullet"/>
      </w:pPr>
      <w:r>
        <w:t>• Tare observation ledger</w:t>
      </w:r>
    </w:p>
    <w:p>
      <w:pPr>
        <w:pStyle w:val="ListBullet"/>
      </w:pPr>
      <w:r>
        <w:t>• Weighted consensus engine</w:t>
      </w:r>
    </w:p>
    <w:p>
      <w:pPr>
        <w:pStyle w:val="ListBullet"/>
      </w:pPr>
      <w:r>
        <w:t>• Confidence scoring</w:t>
      </w:r>
    </w:p>
    <w:p>
      <w:pPr>
        <w:pStyle w:val="ListBullet"/>
      </w:pPr>
      <w:r>
        <w:t>• Global sync API</w:t>
      </w:r>
    </w:p>
    <w:p>
      <w:pPr>
        <w:pStyle w:val="Heading2"/>
      </w:pPr>
      <w:r>
        <w:t>10. Future Enhancements</w:t>
      </w:r>
    </w:p>
    <w:p>
      <w:pPr>
        <w:pStyle w:val="ListBullet"/>
      </w:pPr>
      <w:r>
        <w:t>• Vision-based bottle recognition</w:t>
      </w:r>
    </w:p>
    <w:p>
      <w:pPr>
        <w:pStyle w:val="ListBullet"/>
      </w:pPr>
      <w:r>
        <w:t>• Regional catalog integrations</w:t>
      </w:r>
    </w:p>
    <w:p>
      <w:pPr>
        <w:pStyle w:val="ListBullet"/>
      </w:pPr>
      <w:r>
        <w:t>• Advanced clustering algorithms</w:t>
      </w:r>
    </w:p>
    <w:p>
      <w:pPr>
        <w:pStyle w:val="ListBullet"/>
      </w:pPr>
      <w:r>
        <w:t>• Scale certification registry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