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Data Preprocessing and Feature Engineering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the initial phase of the project, we focused on loading and preparing the data from the MIMIC-IV dataset to establish the foundation for building predictive models for ICU mortality. The MIMIC-IV dataset provides comprehensive information on patient demographics, clinical measurements, and ICU stays.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Loading the Data:</w:t>
      </w:r>
      <w:r w:rsidDel="00000000" w:rsidR="00000000" w:rsidRPr="00000000">
        <w:rPr>
          <w:sz w:val="24"/>
          <w:szCs w:val="24"/>
          <w:rtl w:val="0"/>
        </w:rPr>
        <w:t xml:space="preserve"> </w:t>
      </w:r>
    </w:p>
    <w:p w:rsidR="00000000" w:rsidDel="00000000" w:rsidP="00000000" w:rsidRDefault="00000000" w:rsidRPr="00000000" w14:paraId="00000006">
      <w:pPr>
        <w:rPr/>
      </w:pPr>
      <w:r w:rsidDel="00000000" w:rsidR="00000000" w:rsidRPr="00000000">
        <w:rPr>
          <w:rtl w:val="0"/>
        </w:rPr>
        <w:t xml:space="preserve">Key tables from MIMIC-IV, including eight tables patients.csv, admissions.csv, icustays.csv, diagnoses.csv, chartevents.csv, labevents.csv, d_items.csv and d_labitems.csv. </w:t>
      </w:r>
    </w:p>
    <w:p w:rsidR="00000000" w:rsidDel="00000000" w:rsidP="00000000" w:rsidRDefault="00000000" w:rsidRPr="00000000" w14:paraId="00000007">
      <w:pPr>
        <w:rPr/>
      </w:pPr>
      <w:r w:rsidDel="00000000" w:rsidR="00000000" w:rsidRPr="00000000">
        <w:rPr/>
        <w:drawing>
          <wp:inline distB="114300" distT="114300" distL="114300" distR="114300">
            <wp:extent cx="5943600" cy="1308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above files are useful for sensitive features, group fairness and gender modeling.</w:t>
      </w:r>
    </w:p>
    <w:p w:rsidR="00000000" w:rsidDel="00000000" w:rsidP="00000000" w:rsidRDefault="00000000" w:rsidRPr="00000000" w14:paraId="00000009">
      <w:pPr>
        <w:rPr/>
      </w:pPr>
      <w:r w:rsidDel="00000000" w:rsidR="00000000" w:rsidRPr="00000000">
        <w:rPr/>
        <w:drawing>
          <wp:inline distB="114300" distT="114300" distL="114300" distR="114300">
            <wp:extent cx="5943600" cy="8636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tables help define the target variable (Y) like mortality, which is crucial to our study.</w:t>
      </w:r>
    </w:p>
    <w:p w:rsidR="00000000" w:rsidDel="00000000" w:rsidP="00000000" w:rsidRDefault="00000000" w:rsidRPr="00000000" w14:paraId="0000000B">
      <w:pPr>
        <w:rPr/>
      </w:pPr>
      <w:r w:rsidDel="00000000" w:rsidR="00000000" w:rsidRPr="00000000">
        <w:rPr/>
        <w:drawing>
          <wp:inline distB="114300" distT="114300" distL="114300" distR="114300">
            <wp:extent cx="5943600" cy="7874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These two tables contain lab and experiment data while patients are in ICU. These two datasets contain more than hundreds of millions of data entries, therefore chunk loading is required.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sz w:val="24"/>
          <w:szCs w:val="24"/>
        </w:rPr>
      </w:pPr>
      <w:r w:rsidDel="00000000" w:rsidR="00000000" w:rsidRPr="00000000">
        <w:rPr>
          <w:b w:val="1"/>
          <w:sz w:val="24"/>
          <w:szCs w:val="24"/>
          <w:rtl w:val="0"/>
        </w:rPr>
        <w:t xml:space="preserve">Data Filtering:</w:t>
      </w:r>
    </w:p>
    <w:p w:rsidR="00000000" w:rsidDel="00000000" w:rsidP="00000000" w:rsidRDefault="00000000" w:rsidRPr="00000000" w14:paraId="0000000F">
      <w:pPr>
        <w:spacing w:after="240" w:before="240" w:lineRule="auto"/>
        <w:rPr/>
      </w:pPr>
      <w:r w:rsidDel="00000000" w:rsidR="00000000" w:rsidRPr="00000000">
        <w:rPr>
          <w:rtl w:val="0"/>
        </w:rPr>
        <w:t xml:space="preserve">The datasets </w:t>
      </w:r>
      <w:r w:rsidDel="00000000" w:rsidR="00000000" w:rsidRPr="00000000">
        <w:rPr>
          <w:rFonts w:ascii="Roboto Mono" w:cs="Roboto Mono" w:eastAsia="Roboto Mono" w:hAnsi="Roboto Mono"/>
          <w:color w:val="188038"/>
          <w:rtl w:val="0"/>
        </w:rPr>
        <w:t xml:space="preserve">chartevents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labevents</w:t>
      </w:r>
      <w:r w:rsidDel="00000000" w:rsidR="00000000" w:rsidRPr="00000000">
        <w:rPr>
          <w:rtl w:val="0"/>
        </w:rPr>
        <w:t xml:space="preserve"> contain extensive records of various medical measurements. For this study, only vital signs were required due to their direct relevance to patient mortality analysis. </w:t>
      </w:r>
    </w:p>
    <w:p w:rsidR="00000000" w:rsidDel="00000000" w:rsidP="00000000" w:rsidRDefault="00000000" w:rsidRPr="00000000" w14:paraId="00000010">
      <w:pPr>
        <w:spacing w:after="240" w:before="240" w:lineRule="auto"/>
        <w:rPr/>
      </w:pPr>
      <w:r w:rsidDel="00000000" w:rsidR="00000000" w:rsidRPr="00000000">
        <w:rPr>
          <w:rtl w:val="0"/>
        </w:rPr>
        <w:t xml:space="preserve">To isolate vital sign data in the </w:t>
      </w:r>
      <w:r w:rsidDel="00000000" w:rsidR="00000000" w:rsidRPr="00000000">
        <w:rPr>
          <w:rFonts w:ascii="Roboto Mono" w:cs="Roboto Mono" w:eastAsia="Roboto Mono" w:hAnsi="Roboto Mono"/>
          <w:color w:val="188038"/>
          <w:rtl w:val="0"/>
        </w:rPr>
        <w:t xml:space="preserve">chartevents</w:t>
      </w:r>
      <w:r w:rsidDel="00000000" w:rsidR="00000000" w:rsidRPr="00000000">
        <w:rPr>
          <w:rtl w:val="0"/>
        </w:rPr>
        <w:t xml:space="preserve"> dataset, records were filtered using item identifiers (</w:t>
      </w:r>
      <w:r w:rsidDel="00000000" w:rsidR="00000000" w:rsidRPr="00000000">
        <w:rPr>
          <w:rFonts w:ascii="Roboto Mono" w:cs="Roboto Mono" w:eastAsia="Roboto Mono" w:hAnsi="Roboto Mono"/>
          <w:color w:val="188038"/>
          <w:rtl w:val="0"/>
        </w:rPr>
        <w:t xml:space="preserve">itemids</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d_items</w:t>
      </w:r>
      <w:r w:rsidDel="00000000" w:rsidR="00000000" w:rsidRPr="00000000">
        <w:rPr>
          <w:rtl w:val="0"/>
        </w:rPr>
        <w:t xml:space="preserve"> table where the category was marked explicitly as 'Routine Vital Signs'.</w:t>
      </w:r>
    </w:p>
    <w:p w:rsidR="00000000" w:rsidDel="00000000" w:rsidP="00000000" w:rsidRDefault="00000000" w:rsidRPr="00000000" w14:paraId="00000011">
      <w:pPr>
        <w:spacing w:after="240" w:before="240" w:lineRule="auto"/>
        <w:rPr/>
      </w:pPr>
      <w:r w:rsidDel="00000000" w:rsidR="00000000" w:rsidRPr="00000000">
        <w:rPr>
          <w:rtl w:val="0"/>
        </w:rPr>
        <w:t xml:space="preserve">In processing the </w:t>
      </w:r>
      <w:r w:rsidDel="00000000" w:rsidR="00000000" w:rsidRPr="00000000">
        <w:rPr>
          <w:rFonts w:ascii="Roboto Mono" w:cs="Roboto Mono" w:eastAsia="Roboto Mono" w:hAnsi="Roboto Mono"/>
          <w:color w:val="188038"/>
          <w:rtl w:val="0"/>
        </w:rPr>
        <w:t xml:space="preserve">labevents</w:t>
      </w:r>
      <w:r w:rsidDel="00000000" w:rsidR="00000000" w:rsidRPr="00000000">
        <w:rPr>
          <w:rtl w:val="0"/>
        </w:rPr>
        <w:t xml:space="preserve"> dataset, a two-step filtering approach was employed due to its large size. Initially, data were read in manageable chunks, dropping any rows without numeric values in the </w:t>
      </w:r>
      <w:r w:rsidDel="00000000" w:rsidR="00000000" w:rsidRPr="00000000">
        <w:rPr>
          <w:rFonts w:ascii="Roboto Mono" w:cs="Roboto Mono" w:eastAsia="Roboto Mono" w:hAnsi="Roboto Mono"/>
          <w:color w:val="188038"/>
          <w:rtl w:val="0"/>
        </w:rPr>
        <w:t xml:space="preserve">valuenum</w:t>
      </w:r>
      <w:r w:rsidDel="00000000" w:rsidR="00000000" w:rsidRPr="00000000">
        <w:rPr>
          <w:rtl w:val="0"/>
        </w:rPr>
        <w:t xml:space="preserve"> column. Subsequently, the top five most frequently occurring lab event item identifiers were identified. In a second pass, data was filtered again to retain only entries corresponding to these top five item identifiers. The filtered data chunks were then combined into a consolidated dataset, and timestamps (</w:t>
      </w:r>
      <w:r w:rsidDel="00000000" w:rsidR="00000000" w:rsidRPr="00000000">
        <w:rPr>
          <w:rFonts w:ascii="Roboto Mono" w:cs="Roboto Mono" w:eastAsia="Roboto Mono" w:hAnsi="Roboto Mono"/>
          <w:color w:val="188038"/>
          <w:rtl w:val="0"/>
        </w:rPr>
        <w:t xml:space="preserve">charttime</w:t>
      </w:r>
      <w:r w:rsidDel="00000000" w:rsidR="00000000" w:rsidRPr="00000000">
        <w:rPr>
          <w:rtl w:val="0"/>
        </w:rPr>
        <w:t xml:space="preserve">) were converted into datetime objects for consistent temporal analysis.</w:t>
      </w:r>
    </w:p>
    <w:p w:rsidR="00000000" w:rsidDel="00000000" w:rsidP="00000000" w:rsidRDefault="00000000" w:rsidRPr="00000000" w14:paraId="00000012">
      <w:pPr>
        <w:spacing w:after="240" w:before="240" w:lineRule="auto"/>
        <w:rPr>
          <w:b w:val="1"/>
          <w:sz w:val="24"/>
          <w:szCs w:val="24"/>
        </w:rPr>
      </w:pPr>
      <w:r w:rsidDel="00000000" w:rsidR="00000000" w:rsidRPr="00000000">
        <w:rPr>
          <w:b w:val="1"/>
          <w:sz w:val="24"/>
          <w:szCs w:val="24"/>
          <w:rtl w:val="0"/>
        </w:rPr>
        <w:t xml:space="preserve">Handling Missing Data:</w:t>
      </w:r>
    </w:p>
    <w:p w:rsidR="00000000" w:rsidDel="00000000" w:rsidP="00000000" w:rsidRDefault="00000000" w:rsidRPr="00000000" w14:paraId="00000013">
      <w:pPr>
        <w:spacing w:after="240" w:before="240" w:lineRule="auto"/>
        <w:rPr/>
      </w:pPr>
      <w:r w:rsidDel="00000000" w:rsidR="00000000" w:rsidRPr="00000000">
        <w:rPr>
          <w:rtl w:val="0"/>
        </w:rPr>
        <w:t xml:space="preserve">Missing values in the dataset were systematically identified and addressed. Specifically, columns such as </w:t>
      </w:r>
      <w:r w:rsidDel="00000000" w:rsidR="00000000" w:rsidRPr="00000000">
        <w:rPr>
          <w:rFonts w:ascii="Roboto Mono" w:cs="Roboto Mono" w:eastAsia="Roboto Mono" w:hAnsi="Roboto Mono"/>
          <w:color w:val="188038"/>
          <w:rtl w:val="0"/>
        </w:rPr>
        <w:t xml:space="preserve">insurance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marital_status</w:t>
      </w:r>
      <w:r w:rsidDel="00000000" w:rsidR="00000000" w:rsidRPr="00000000">
        <w:rPr>
          <w:rtl w:val="0"/>
        </w:rPr>
        <w:t xml:space="preserve"> were evaluated for missing data, and appropriate imputation methods were examined. For the attribute </w:t>
      </w:r>
      <w:r w:rsidDel="00000000" w:rsidR="00000000" w:rsidRPr="00000000">
        <w:rPr>
          <w:rFonts w:ascii="Roboto Mono" w:cs="Roboto Mono" w:eastAsia="Roboto Mono" w:hAnsi="Roboto Mono"/>
          <w:color w:val="188038"/>
          <w:rtl w:val="0"/>
        </w:rPr>
        <w:t xml:space="preserve">dod</w:t>
      </w:r>
      <w:r w:rsidDel="00000000" w:rsidR="00000000" w:rsidRPr="00000000">
        <w:rPr>
          <w:rtl w:val="0"/>
        </w:rPr>
        <w:t xml:space="preserve"> (date of death), missing values indicate that the patient's date of death was not recorded, suggesting the patient was not documented as deceased during the ICU stay. Given the importance of this information as an indicator, these missing values were intentionally retained.</w:t>
      </w:r>
    </w:p>
    <w:p w:rsidR="00000000" w:rsidDel="00000000" w:rsidP="00000000" w:rsidRDefault="00000000" w:rsidRPr="00000000" w14:paraId="00000014">
      <w:pPr>
        <w:spacing w:after="240" w:before="240" w:lineRule="auto"/>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icustays</w:t>
      </w:r>
      <w:r w:rsidDel="00000000" w:rsidR="00000000" w:rsidRPr="00000000">
        <w:rPr>
          <w:rtl w:val="0"/>
        </w:rPr>
        <w:t xml:space="preserve"> table, rows with missing values in the </w:t>
      </w:r>
      <w:r w:rsidDel="00000000" w:rsidR="00000000" w:rsidRPr="00000000">
        <w:rPr>
          <w:rFonts w:ascii="Roboto Mono" w:cs="Roboto Mono" w:eastAsia="Roboto Mono" w:hAnsi="Roboto Mono"/>
          <w:color w:val="188038"/>
          <w:rtl w:val="0"/>
        </w:rPr>
        <w:t xml:space="preserve">outtime</w:t>
      </w:r>
      <w:r w:rsidDel="00000000" w:rsidR="00000000" w:rsidRPr="00000000">
        <w:rPr>
          <w:rtl w:val="0"/>
        </w:rPr>
        <w:t xml:space="preserve"> column were removed entirely, as the absence of this timestamp prevents accurate determination of ICU mortality, a critical endpoint in this supervised learning project.</w:t>
      </w:r>
    </w:p>
    <w:p w:rsidR="00000000" w:rsidDel="00000000" w:rsidP="00000000" w:rsidRDefault="00000000" w:rsidRPr="00000000" w14:paraId="00000015">
      <w:pPr>
        <w:spacing w:after="240" w:before="240" w:lineRule="auto"/>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labevents</w:t>
      </w:r>
      <w:r w:rsidDel="00000000" w:rsidR="00000000" w:rsidRPr="00000000">
        <w:rPr>
          <w:rtl w:val="0"/>
        </w:rPr>
        <w:t xml:space="preserve"> table, the column </w:t>
      </w:r>
      <w:r w:rsidDel="00000000" w:rsidR="00000000" w:rsidRPr="00000000">
        <w:rPr>
          <w:rFonts w:ascii="Roboto Mono" w:cs="Roboto Mono" w:eastAsia="Roboto Mono" w:hAnsi="Roboto Mono"/>
          <w:color w:val="188038"/>
          <w:rtl w:val="0"/>
        </w:rPr>
        <w:t xml:space="preserve">valuenum</w:t>
      </w:r>
      <w:r w:rsidDel="00000000" w:rsidR="00000000" w:rsidRPr="00000000">
        <w:rPr>
          <w:rtl w:val="0"/>
        </w:rPr>
        <w:t xml:space="preserve"> exhibited significant missing data. Initial attempts to impute these missing values with mean and median methods resulted in computational difficulties due to the dataset's substantial size. Although efforts were made to perform chunk-wise imputation according to the available computing memory, it was subsequently discovered that the dataset contained over 100 million entries, rendering imputation infeasible. Consequently, rows with missing or non-numeric </w:t>
      </w:r>
      <w:r w:rsidDel="00000000" w:rsidR="00000000" w:rsidRPr="00000000">
        <w:rPr>
          <w:rFonts w:ascii="Roboto Mono" w:cs="Roboto Mono" w:eastAsia="Roboto Mono" w:hAnsi="Roboto Mono"/>
          <w:color w:val="188038"/>
          <w:rtl w:val="0"/>
        </w:rPr>
        <w:t xml:space="preserve">valuenum</w:t>
      </w:r>
      <w:r w:rsidDel="00000000" w:rsidR="00000000" w:rsidRPr="00000000">
        <w:rPr>
          <w:rtl w:val="0"/>
        </w:rPr>
        <w:t xml:space="preserve"> entries were excluded. Following this removal, the dataset still contained over 21 million entries, which remains sufficient for analytical purposes.</w:t>
      </w:r>
    </w:p>
    <w:p w:rsidR="00000000" w:rsidDel="00000000" w:rsidP="00000000" w:rsidRDefault="00000000" w:rsidRPr="00000000" w14:paraId="00000016">
      <w:pPr>
        <w:spacing w:after="240" w:before="240" w:lineRule="auto"/>
        <w:rPr/>
      </w:pPr>
      <w:r w:rsidDel="00000000" w:rsidR="00000000" w:rsidRPr="00000000">
        <w:rPr>
          <w:rtl w:val="0"/>
        </w:rPr>
        <w:t xml:space="preserve">Similarly, in the </w:t>
      </w:r>
      <w:r w:rsidDel="00000000" w:rsidR="00000000" w:rsidRPr="00000000">
        <w:rPr>
          <w:rFonts w:ascii="Roboto Mono" w:cs="Roboto Mono" w:eastAsia="Roboto Mono" w:hAnsi="Roboto Mono"/>
          <w:color w:val="188038"/>
          <w:rtl w:val="0"/>
        </w:rPr>
        <w:t xml:space="preserve">chartevent</w:t>
      </w:r>
      <w:r w:rsidDel="00000000" w:rsidR="00000000" w:rsidRPr="00000000">
        <w:rPr>
          <w:rtl w:val="0"/>
        </w:rPr>
        <w:t xml:space="preserve"> table, rows containing missing or non-numeric values in the </w:t>
      </w:r>
      <w:r w:rsidDel="00000000" w:rsidR="00000000" w:rsidRPr="00000000">
        <w:rPr>
          <w:rFonts w:ascii="Roboto Mono" w:cs="Roboto Mono" w:eastAsia="Roboto Mono" w:hAnsi="Roboto Mono"/>
          <w:color w:val="188038"/>
          <w:rtl w:val="0"/>
        </w:rPr>
        <w:t xml:space="preserve">valuenum</w:t>
      </w:r>
      <w:r w:rsidDel="00000000" w:rsidR="00000000" w:rsidRPr="00000000">
        <w:rPr>
          <w:rtl w:val="0"/>
        </w:rPr>
        <w:t xml:space="preserve"> column were dropped, resulting in a dataset of over 27 million entries.</w:t>
      </w:r>
    </w:p>
    <w:p w:rsidR="00000000" w:rsidDel="00000000" w:rsidP="00000000" w:rsidRDefault="00000000" w:rsidRPr="00000000" w14:paraId="00000017">
      <w:pPr>
        <w:spacing w:after="240" w:before="240" w:lineRule="auto"/>
        <w:rPr/>
      </w:pPr>
      <w:r w:rsidDel="00000000" w:rsidR="00000000" w:rsidRPr="00000000">
        <w:rPr>
          <w:rtl w:val="0"/>
        </w:rPr>
        <w:t xml:space="preserve">For columns such as </w:t>
      </w:r>
      <w:r w:rsidDel="00000000" w:rsidR="00000000" w:rsidRPr="00000000">
        <w:rPr>
          <w:rFonts w:ascii="Roboto Mono" w:cs="Roboto Mono" w:eastAsia="Roboto Mono" w:hAnsi="Roboto Mono"/>
          <w:color w:val="188038"/>
          <w:rtl w:val="0"/>
        </w:rPr>
        <w:t xml:space="preserve">insurance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marital_status</w:t>
      </w:r>
      <w:r w:rsidDel="00000000" w:rsidR="00000000" w:rsidRPr="00000000">
        <w:rPr>
          <w:rtl w:val="0"/>
        </w:rPr>
        <w:t xml:space="preserve">, missing values were imputed with the category 'UNKNOWN', indicating either unavailable information or patient non-disclosure. Given the high proportion of missing data within these columns, the decision was made to prioritize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race</w:t>
      </w:r>
      <w:r w:rsidDel="00000000" w:rsidR="00000000" w:rsidRPr="00000000">
        <w:rPr>
          <w:rtl w:val="0"/>
        </w:rPr>
        <w:t xml:space="preserve"> as sensitive attributes for subsequent analysis.</w:t>
      </w:r>
    </w:p>
    <w:p w:rsidR="00000000" w:rsidDel="00000000" w:rsidP="00000000" w:rsidRDefault="00000000" w:rsidRPr="00000000" w14:paraId="00000018">
      <w:pPr>
        <w:spacing w:after="240" w:before="240" w:lineRule="auto"/>
        <w:rPr>
          <w:b w:val="1"/>
        </w:rPr>
      </w:pPr>
      <w:r w:rsidDel="00000000" w:rsidR="00000000" w:rsidRPr="00000000">
        <w:rPr>
          <w:b w:val="1"/>
          <w:sz w:val="24"/>
          <w:szCs w:val="24"/>
          <w:rtl w:val="0"/>
        </w:rPr>
        <w:t xml:space="preserve">Summary:</w:t>
      </w:r>
      <w:r w:rsidDel="00000000" w:rsidR="00000000" w:rsidRPr="00000000">
        <w:rPr>
          <w:sz w:val="24"/>
          <w:szCs w:val="24"/>
          <w:rtl w:val="0"/>
        </w:rPr>
        <w:t xml:space="preserve"> </w:t>
      </w:r>
      <w:r w:rsidDel="00000000" w:rsidR="00000000" w:rsidRPr="00000000">
        <w:rPr>
          <w:rtl w:val="0"/>
        </w:rPr>
        <w:t xml:space="preserve">Missing data were thoroughly evaluated and managed according to their relevance to the study objectives. Critical indicators (such as </w:t>
      </w:r>
      <w:r w:rsidDel="00000000" w:rsidR="00000000" w:rsidRPr="00000000">
        <w:rPr>
          <w:rFonts w:ascii="Roboto Mono" w:cs="Roboto Mono" w:eastAsia="Roboto Mono" w:hAnsi="Roboto Mono"/>
          <w:color w:val="188038"/>
          <w:rtl w:val="0"/>
        </w:rPr>
        <w:t xml:space="preserve">dod</w:t>
      </w:r>
      <w:r w:rsidDel="00000000" w:rsidR="00000000" w:rsidRPr="00000000">
        <w:rPr>
          <w:rtl w:val="0"/>
        </w:rPr>
        <w:t xml:space="preserve">) retained missing values to preserve analytical integrity, while data essential for defining the outcome (such as </w:t>
      </w:r>
      <w:r w:rsidDel="00000000" w:rsidR="00000000" w:rsidRPr="00000000">
        <w:rPr>
          <w:rFonts w:ascii="Roboto Mono" w:cs="Roboto Mono" w:eastAsia="Roboto Mono" w:hAnsi="Roboto Mono"/>
          <w:color w:val="188038"/>
          <w:rtl w:val="0"/>
        </w:rPr>
        <w:t xml:space="preserve">outtime</w:t>
      </w:r>
      <w:r w:rsidDel="00000000" w:rsidR="00000000" w:rsidRPr="00000000">
        <w:rPr>
          <w:rtl w:val="0"/>
        </w:rPr>
        <w:t xml:space="preserve">) necessitated row removal. Large datasets (</w:t>
      </w:r>
      <w:r w:rsidDel="00000000" w:rsidR="00000000" w:rsidRPr="00000000">
        <w:rPr>
          <w:rFonts w:ascii="Roboto Mono" w:cs="Roboto Mono" w:eastAsia="Roboto Mono" w:hAnsi="Roboto Mono"/>
          <w:color w:val="188038"/>
          <w:rtl w:val="0"/>
        </w:rPr>
        <w:t xml:space="preserve">labevents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chartevent</w:t>
      </w:r>
      <w:r w:rsidDel="00000000" w:rsidR="00000000" w:rsidRPr="00000000">
        <w:rPr>
          <w:rtl w:val="0"/>
        </w:rPr>
        <w:t xml:space="preserve">) required strategic omission of non-imputable values due to computational limitations. Data encoding procedures involved converting gender to binary format, standardizing racial categories, and creating age groupings. Finally, filtering strategies focused exclusively on relevant vital signs and significant laboratory events to enhance the relevance and manageability of data for mortality analysis.</w:t>
      </w: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Data Encoding</w:t>
      </w:r>
    </w:p>
    <w:p w:rsidR="00000000" w:rsidDel="00000000" w:rsidP="00000000" w:rsidRDefault="00000000" w:rsidRPr="00000000" w14:paraId="0000001A">
      <w:pPr>
        <w:spacing w:after="240" w:before="240" w:lineRule="auto"/>
        <w:rPr/>
      </w:pPr>
      <w:r w:rsidDel="00000000" w:rsidR="00000000" w:rsidRPr="00000000">
        <w:rPr>
          <w:b w:val="1"/>
          <w:sz w:val="24"/>
          <w:szCs w:val="24"/>
          <w:rtl w:val="0"/>
        </w:rPr>
        <w:t xml:space="preserve">Binary Encoding of Gender:</w:t>
      </w:r>
      <w:r w:rsidDel="00000000" w:rsidR="00000000" w:rsidRPr="00000000">
        <w:rPr>
          <w:sz w:val="24"/>
          <w:szCs w:val="24"/>
          <w:rtl w:val="0"/>
        </w:rPr>
        <w:t xml:space="preserve"> </w:t>
      </w:r>
      <w:r w:rsidDel="00000000" w:rsidR="00000000" w:rsidRPr="00000000">
        <w:rPr>
          <w:rtl w:val="0"/>
        </w:rPr>
        <w:t xml:space="preserve">Gender data was converted into binary format to enhance computational efficiency and simplify categorical handling in subsequent machine learning analyses.</w:t>
      </w:r>
    </w:p>
    <w:p w:rsidR="00000000" w:rsidDel="00000000" w:rsidP="00000000" w:rsidRDefault="00000000" w:rsidRPr="00000000" w14:paraId="0000001B">
      <w:pPr>
        <w:spacing w:after="240" w:before="240" w:lineRule="auto"/>
        <w:rPr/>
      </w:pPr>
      <w:r w:rsidDel="00000000" w:rsidR="00000000" w:rsidRPr="00000000">
        <w:rPr>
          <w:b w:val="1"/>
          <w:sz w:val="24"/>
          <w:szCs w:val="24"/>
          <w:rtl w:val="0"/>
        </w:rPr>
        <w:t xml:space="preserve">Standardization of Race Categories:</w:t>
      </w:r>
      <w:r w:rsidDel="00000000" w:rsidR="00000000" w:rsidRPr="00000000">
        <w:rPr>
          <w:sz w:val="24"/>
          <w:szCs w:val="24"/>
          <w:rtl w:val="0"/>
        </w:rPr>
        <w:t xml:space="preserve"> </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race</w:t>
      </w:r>
      <w:r w:rsidDel="00000000" w:rsidR="00000000" w:rsidRPr="00000000">
        <w:rPr>
          <w:rtl w:val="0"/>
        </w:rPr>
        <w:t xml:space="preserve"> attribute underwent standardization by consolidating diverse racial and ethnic classifications into broader, unified categories using the </w:t>
      </w:r>
      <w:r w:rsidDel="00000000" w:rsidR="00000000" w:rsidRPr="00000000">
        <w:rPr>
          <w:rFonts w:ascii="Roboto Mono" w:cs="Roboto Mono" w:eastAsia="Roboto Mono" w:hAnsi="Roboto Mono"/>
          <w:color w:val="188038"/>
          <w:rtl w:val="0"/>
        </w:rPr>
        <w:t xml:space="preserve">map_race()</w:t>
      </w:r>
      <w:r w:rsidDel="00000000" w:rsidR="00000000" w:rsidRPr="00000000">
        <w:rPr>
          <w:rtl w:val="0"/>
        </w:rPr>
        <w:t xml:space="preserve"> function. This process effectively addressed inconsistencies and variations in how racial and ethnic data were originally documented, such as combining the categories Hispanic and Latino.</w:t>
      </w:r>
    </w:p>
    <w:p w:rsidR="00000000" w:rsidDel="00000000" w:rsidP="00000000" w:rsidRDefault="00000000" w:rsidRPr="00000000" w14:paraId="0000001C">
      <w:pPr>
        <w:rPr>
          <w:sz w:val="24"/>
          <w:szCs w:val="24"/>
        </w:rPr>
      </w:pPr>
      <w:r w:rsidDel="00000000" w:rsidR="00000000" w:rsidRPr="00000000">
        <w:rPr>
          <w:sz w:val="24"/>
          <w:szCs w:val="24"/>
        </w:rPr>
        <w:drawing>
          <wp:inline distB="114300" distT="114300" distL="114300" distR="114300">
            <wp:extent cx="5611243" cy="3338839"/>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1243" cy="333883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sz w:val="24"/>
          <w:szCs w:val="24"/>
          <w:rtl w:val="0"/>
        </w:rPr>
        <w:t xml:space="preserve">Age Grouping:</w:t>
      </w:r>
      <w:r w:rsidDel="00000000" w:rsidR="00000000" w:rsidRPr="00000000">
        <w:rPr>
          <w:sz w:val="24"/>
          <w:szCs w:val="24"/>
          <w:rtl w:val="0"/>
        </w:rPr>
        <w:t xml:space="preserve"> </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anchor_age</w:t>
      </w:r>
      <w:r w:rsidDel="00000000" w:rsidR="00000000" w:rsidRPr="00000000">
        <w:rPr>
          <w:rtl w:val="0"/>
        </w:rPr>
        <w:t xml:space="preserve"> attribute was segmented into five distinct groups: </w:t>
      </w:r>
      <w:r w:rsidDel="00000000" w:rsidR="00000000" w:rsidRPr="00000000">
        <w:rPr>
          <w:rFonts w:ascii="Courier New" w:cs="Courier New" w:eastAsia="Courier New" w:hAnsi="Courier New"/>
          <w:color w:val="2aa198"/>
          <w:sz w:val="21"/>
          <w:szCs w:val="21"/>
          <w:rtl w:val="0"/>
        </w:rPr>
        <w:t xml:space="preserve">"18-29", "30-49", "50-64", "65-79", and "80-91"</w:t>
      </w:r>
      <w:r w:rsidDel="00000000" w:rsidR="00000000" w:rsidRPr="00000000">
        <w:rPr>
          <w:sz w:val="24"/>
          <w:szCs w:val="24"/>
          <w:rtl w:val="0"/>
        </w:rPr>
        <w:t xml:space="preserve">. </w:t>
      </w:r>
      <w:r w:rsidDel="00000000" w:rsidR="00000000" w:rsidRPr="00000000">
        <w:rPr>
          <w:rtl w:val="0"/>
        </w:rPr>
        <w:t xml:space="preserve">Grouping ages in this manner enhances model interpretability and efficiency by reducing dimensional complexity, which is particularly beneficial for analyses using logistic regression, gradient-boosted models (e.g., XGBoost), and deep learning frameworks. This approach facilitates the detection of age-related trends and simplifies model training and evaluation.</w:t>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5943600" cy="35433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b w:val="1"/>
          <w:sz w:val="24"/>
          <w:szCs w:val="24"/>
          <w:rtl w:val="0"/>
        </w:rPr>
        <w:t xml:space="preserve">Summary:</w:t>
      </w:r>
      <w:r w:rsidDel="00000000" w:rsidR="00000000" w:rsidRPr="00000000">
        <w:rPr>
          <w:sz w:val="24"/>
          <w:szCs w:val="24"/>
          <w:rtl w:val="0"/>
        </w:rPr>
        <w:t xml:space="preserve"> Data encoding procedures involved converting gender to binary format, standardizing racial categories, and creating age groupings. These transformations improved computational efficiency, simplified data handling, and supported more robust analytical outcomes.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sz w:val="24"/>
          <w:szCs w:val="24"/>
          <w:rtl w:val="0"/>
        </w:rPr>
        <w:t xml:space="preserve">Merging Tables: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phase of the project, we integrated several datasets to create a comprehensive dataframe with 94,444 rows and 34 columns, including three sensitive attributes gender, anchor_age, race_grouped. To compute the target variable, ICU mortality, we identified the dod (date of death) and outtime (ICU discharge time) after joining the relevant tables.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Additionally we identify the chartevent and labevent that only measure during the patients stay in the icu by comparing intime outtime and chartime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selecting the top 5 chart events for vital signs, which were identified based on their relevance to ICU mortality prediction and their frequency in the dataset. The selected chart events are as follows: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220045 - Heart Rate (HR): A crucial vital sign that measures the patient's heart rate, typically recorded in beats per minute (bpm).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220210 - Respiratory Rate: This event records the patient's respiratory rate, critical for assessing the patient's respiratory function.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220277 - Systolic Blood Pressure: This event tracks the patient's systolic blood pressure, a key indicator of cardiovascular health and circulatory function.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220179 - Diastolic Blood Pressure: This event measures diastolic blood pressure, which, together with systolic blood pressure, provides an overall picture of the patient's blood pressure status.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220180 - Temperature: This event records the patient's body temperature, an important measure for detecting infections or other health complications.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chart event data for these vital signs were filtered, aggregated, and merged into the main dataframe. For both vital signs and lab tests, we computed the mean and standard deviation for variables such as heart rate, respiratory rate, systolic and diastolic blood pressure, and temperature. These aggregated results were then incorporated into the main dataframe.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performing a left merge of the datasets, we identified and addressed missing values by creating flags for missing data and filling the missing values with a placeholder value of -1.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t xml:space="preserve">The final dataset now includes enriched information from patient demographics, ICU stays, vital signs, and lab tests, with missing values appropriately handled, providing a comprehensive set of features for mortality prediction. By focusing on these critical vital signs, we ensure that the predictive model captures the most relevant clinical indicators of patient outcomes in the ICU.</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Model Training and Evaluation: Logistic Regression with SMOTE</w:t>
      </w:r>
    </w:p>
    <w:p w:rsidR="00000000" w:rsidDel="00000000" w:rsidP="00000000" w:rsidRDefault="00000000" w:rsidRPr="00000000" w14:paraId="00000037">
      <w:pPr>
        <w:rPr/>
      </w:pPr>
      <w:r w:rsidDel="00000000" w:rsidR="00000000" w:rsidRPr="00000000">
        <w:rPr>
          <w:rtl w:val="0"/>
        </w:rPr>
        <w:t xml:space="preserve">In this phase, we trained a Logistic Regression model to predict ICU mortality using preprocessed data. To address class imbalance, we applied SMOTE (Synthetic Minority Over-sampling Technique) and performed standardization of continuous features. After splitting the data into training and test sets, the model was trained on the balanced dataset.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model's performance was evaluated using classification metrics (precision, recall, F1-score) and AUC (Area Under the Curve). Additionally, we adjusted the classification threshold to 0.4 and recalculated the metrics to assess the impact of this adjustment.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SMOTE effectively balanced the dataset and improved recall for class 1 (the minority class), although precision for class 1 remained low. After adjusting the threshold, there was a slight decrease in overall accuracy. However, precision for class 0 improved, and recall for class 1 increased, though precision for class 1 still remained suboptimal. The AUC slightly dropped, indicating a trade-off between accuracy and sensitivity for the minority class.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conclusion, SMOTE helped balance the dataset and improved recall for the minority class but did not fully resolve the low precision for class 1. Threshold adjustment further enhanced recall for the minority class at the expense of overall accuracy, highlighting the trade-off between sensitivity and specificity in model performance.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4762500" cy="2257425"/>
            <wp:effectExtent b="0" l="0" r="0" t="0"/>
            <wp:docPr id="5" name="image6.png"/>
            <a:graphic>
              <a:graphicData uri="http://schemas.openxmlformats.org/drawingml/2006/picture">
                <pic:pic>
                  <pic:nvPicPr>
                    <pic:cNvPr id="0" name="image6.png"/>
                    <pic:cNvPicPr preferRelativeResize="0"/>
                  </pic:nvPicPr>
                  <pic:blipFill>
                    <a:blip r:embed="rId11"/>
                    <a:srcRect b="50418" l="0" r="0" t="0"/>
                    <a:stretch>
                      <a:fillRect/>
                    </a:stretch>
                  </pic:blipFill>
                  <pic:spPr>
                    <a:xfrm>
                      <a:off x="0" y="0"/>
                      <a:ext cx="4762500" cy="2257425"/>
                    </a:xfrm>
                    <a:prstGeom prst="rect"/>
                    <a:ln/>
                  </pic:spPr>
                </pic:pic>
              </a:graphicData>
            </a:graphic>
          </wp:inline>
        </w:drawing>
      </w:r>
      <w:r w:rsidDel="00000000" w:rsidR="00000000" w:rsidRPr="00000000">
        <w:rPr/>
        <w:drawing>
          <wp:inline distB="114300" distT="114300" distL="114300" distR="114300">
            <wp:extent cx="4762500" cy="2314575"/>
            <wp:effectExtent b="0" l="0" r="0" t="0"/>
            <wp:docPr id="2" name="image6.png"/>
            <a:graphic>
              <a:graphicData uri="http://schemas.openxmlformats.org/drawingml/2006/picture">
                <pic:pic>
                  <pic:nvPicPr>
                    <pic:cNvPr id="0" name="image6.png"/>
                    <pic:cNvPicPr preferRelativeResize="0"/>
                  </pic:nvPicPr>
                  <pic:blipFill>
                    <a:blip r:embed="rId11"/>
                    <a:srcRect b="0" l="0" r="0" t="49163"/>
                    <a:stretch>
                      <a:fillRect/>
                    </a:stretch>
                  </pic:blipFill>
                  <pic:spPr>
                    <a:xfrm>
                      <a:off x="0" y="0"/>
                      <a:ext cx="47625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XGBoost</w:t>
      </w:r>
    </w:p>
    <w:p w:rsidR="00000000" w:rsidDel="00000000" w:rsidP="00000000" w:rsidRDefault="00000000" w:rsidRPr="00000000" w14:paraId="00000044">
      <w:pPr>
        <w:rPr/>
      </w:pPr>
      <w:r w:rsidDel="00000000" w:rsidR="00000000" w:rsidRPr="00000000">
        <w:rPr/>
        <w:drawing>
          <wp:inline distB="114300" distT="114300" distL="114300" distR="114300">
            <wp:extent cx="4067175" cy="197167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67175" cy="19716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