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NHIS 2021 Analysis of Health, Education, and Life Satisfaction </w:t>
      </w:r>
    </w:p>
    <w:p w:rsidR="00000000" w:rsidDel="00000000" w:rsidP="00000000" w:rsidRDefault="00000000" w:rsidRPr="00000000" w14:paraId="00000002">
      <w:pPr>
        <w:keepNext w:val="1"/>
        <w:keepLines w:val="1"/>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keepNext w:val="1"/>
        <w:keepLines w:val="1"/>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Health Interview Survey (NHIS) is a large, nationally representative  US survey that collects information on health, demographic characteristics, and quality of life. This project examined an adult subset of the 2021 sample, focusing on variables related to age, sex, education, height, weight, general health, and life satisfaction. The purpose of this analysis is to describe how demographic characteristics relate to health outcomes using multiple analyses.</w:t>
      </w:r>
    </w:p>
    <w:p w:rsidR="00000000" w:rsidDel="00000000" w:rsidP="00000000" w:rsidRDefault="00000000" w:rsidRPr="00000000" w14:paraId="00000004">
      <w:pPr>
        <w:keepNext w:val="1"/>
        <w:keepLines w:val="1"/>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5">
      <w:pPr>
        <w:keepNext w:val="1"/>
        <w:keepLines w:val="1"/>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selected the above variables and verified their coding using the 2021 NHIS codebook. The codebook was also used to remove any rows with missing data through a list-wise deletion. Education was </w:t>
      </w:r>
      <w:r w:rsidDel="00000000" w:rsidR="00000000" w:rsidRPr="00000000">
        <w:rPr>
          <w:rFonts w:ascii="Times New Roman" w:cs="Times New Roman" w:eastAsia="Times New Roman" w:hAnsi="Times New Roman"/>
          <w:sz w:val="24"/>
          <w:szCs w:val="24"/>
          <w:rtl w:val="0"/>
        </w:rPr>
        <w:t xml:space="preserve">recoded</w:t>
      </w:r>
      <w:r w:rsidDel="00000000" w:rsidR="00000000" w:rsidRPr="00000000">
        <w:rPr>
          <w:rFonts w:ascii="Times New Roman" w:cs="Times New Roman" w:eastAsia="Times New Roman" w:hAnsi="Times New Roman"/>
          <w:sz w:val="24"/>
          <w:szCs w:val="24"/>
          <w:rtl w:val="0"/>
        </w:rPr>
        <w:t xml:space="preserve"> with 4 levels according to the codebook’s re-categorization scheme. We conducted univariate analyses for individual variable distributions, bivariate analyses to compare variables across groups, and multivariate analyses for relationships among demographic factors. All analyses were performed in R using tidyverse and psych packages.</w:t>
      </w:r>
    </w:p>
    <w:p w:rsidR="00000000" w:rsidDel="00000000" w:rsidP="00000000" w:rsidRDefault="00000000" w:rsidRPr="00000000" w14:paraId="00000006">
      <w:pPr>
        <w:keepNext w:val="1"/>
        <w:keepLines w:val="1"/>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keepNext w:val="1"/>
        <w:keepLines w:val="1"/>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in this sample appeared evenly distributed, with most individuals being middle-aged. Height and weight were also evenly distributed, showing expected sample variation. For categorical variables a substantial portion of respondents reporting Some College or College Graduate status for education. General health ratings tended to cluster in the Very Good and Excellent categories, while most respondents reported being Satisfied or Very Satisfied with life. </w:t>
      </w:r>
    </w:p>
    <w:p w:rsidR="00000000" w:rsidDel="00000000" w:rsidP="00000000" w:rsidRDefault="00000000" w:rsidRPr="00000000" w14:paraId="00000008">
      <w:pPr>
        <w:keepNext w:val="1"/>
        <w:keepLines w:val="1"/>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of age by sex showed similar age distributions for males and females. Younger individuals were linked with higher education when examining age by education. The relationship between general health and life satisfaction revealed those reporting excellent/very good health often report high life satisfaction, while fair/poor health reported dissatisfaction. </w:t>
      </w:r>
    </w:p>
    <w:p w:rsidR="00000000" w:rsidDel="00000000" w:rsidP="00000000" w:rsidRDefault="00000000" w:rsidRPr="00000000" w14:paraId="00000009">
      <w:pPr>
        <w:keepNext w:val="1"/>
        <w:keepLines w:val="1"/>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multivariate scatterplot of height vs. weight, colored by sex and faceted by education level, revealed a strong positive relationship across all groups: taller individuals generally weighed more, regardless of demographics or education stratification. A correlation matrix including age, height, and weight indicated that height and weight were moderately to strongly positively correlated, while age depicted weaker correlations with body size. </w:t>
      </w:r>
    </w:p>
    <w:p w:rsidR="00000000" w:rsidDel="00000000" w:rsidP="00000000" w:rsidRDefault="00000000" w:rsidRPr="00000000" w14:paraId="0000000A">
      <w:pPr>
        <w:keepNext w:val="1"/>
        <w:keepLines w:val="1"/>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keepNext w:val="1"/>
        <w:keepLines w:val="0"/>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highlight connections between demographic data and individual health. Higher education level was associated with younger age, indicating a generational trend. General health and life satisfaction showed a clear positive relationship, reinforcing the link between perceived health and mental well-being. The height-weight relationship was highly consistent across sex and educational groups, reaffirming expected biological patterns. Limitations include the cross-sectional nature of NHIS, preventing causal conclusions. In addition, using list-wise deletion may have removed respondents systematically different from those with complete data. </w:t>
      </w:r>
    </w:p>
    <w:p w:rsidR="00000000" w:rsidDel="00000000" w:rsidP="00000000" w:rsidRDefault="00000000" w:rsidRPr="00000000" w14:paraId="0000000C">
      <w:pPr>
        <w:keepNext w:val="1"/>
        <w:keepLines w:val="0"/>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keepNext w:val="1"/>
        <w:keepLines w:val="0"/>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2021 NHIS sample indicates clear patterns connecting health status, education, life satisfaction, and physical measures. Individuals with better general health tend to report higher life satisfaction. Height and weight showed strong, predictable correlations regardless of demographic factors. Future work could incorporate variables such as income, chronic conditions, or mental health indicators to further clarify the social determinants of health.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