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2B4A"/>
          <w:sz w:val="40"/>
          <w:szCs w:val="40"/>
        </w:rPr>
        <w:t xml:space="preserve">HTMS — E-Signature &amp; Review Workflow</w:t>
      </w:r>
    </w:p>
    <w:p>
      <w:pPr>
        <w:spacing w:after="40"/>
        <w:jc w:val="center"/>
      </w:pPr>
      <w:r>
        <w:rPr>
          <w:color w:val="2E7D32"/>
          <w:sz w:val="30"/>
          <w:szCs w:val="30"/>
        </w:rPr>
        <w:t xml:space="preserve">Update Summary &amp; Test Guide</w:t>
      </w:r>
    </w:p>
    <w:p>
      <w:pPr>
        <w:pBdr>
          <w:bottom w:val="single" w:color="2E7D32" w:sz="8"/>
        </w:pBdr>
        <w:spacing w:after="300"/>
        <w:jc w:val="center"/>
      </w:pPr>
      <w:r>
        <w:rPr>
          <w:color w:val="666666"/>
          <w:sz w:val="18"/>
          <w:szCs w:val="18"/>
        </w:rPr>
        <w:t xml:space="preserve">Ministry of Energy and Green Transition · Power Directorate · 15 July 2026</w:t>
      </w:r>
    </w:p>
    <w:p>
      <w:pPr>
        <w:spacing w:after="100"/>
      </w:pPr>
      <w:r>
        <w:t xml:space="preserve">This guide covers everything shipped in the e-signature build and the fixes that followed. Work through Section 3 top to bottom — the scenarios build on each other. Anything that does not behave as written under </w:t>
      </w:r>
      <w:r>
        <w:rPr>
          <w:b/>
          <w:bCs/>
        </w:rPr>
        <w:t xml:space="preserve">Expected</w:t>
      </w:r>
      <w:r>
        <w:t xml:space="preserve"> is a bug; note the section number and what you saw.</w:t>
      </w:r>
    </w:p>
    <w:p>
      <w:pPr>
        <w:pStyle w:val="Heading1"/>
        <w:spacing w:after="120" w:before="300"/>
      </w:pPr>
      <w:r>
        <w:rPr>
          <w:color w:val="2E7D32"/>
        </w:rPr>
        <w:t xml:space="preserve">1. Before you test — deployment checklist</w:t>
      </w:r>
    </w:p>
    <w:p>
      <w:pPr>
        <w:spacing w:after="100"/>
      </w:pPr>
      <w:r>
        <w:t xml:space="preserve">All three must be true, or you will be testing ghosts:</w:t>
      </w:r>
    </w:p>
    <w:p>
      <w:pPr>
        <w:pStyle w:val="ListParagraph"/>
        <w:numPr>
          <w:ilvl w:val="0"/>
          <w:numId w:val="2"/>
        </w:numPr>
        <w:spacing w:after="60"/>
      </w:pPr>
      <w:r>
        <w:rPr>
          <w:b/>
          <w:bCs/>
        </w:rPr>
        <w:t xml:space="preserve">Migrations 0017–0021 applied </w:t>
      </w:r>
      <w:r>
        <w:t xml:space="preserve">on the production Supabase project (SQL editor or CLI). The critical late ones: 0019 (user creation fix), 0020 (reviewer scan access), 0021 (signature upload/replace fix).</w:t>
      </w:r>
    </w:p>
    <w:p>
      <w:pPr>
        <w:pStyle w:val="ListParagraph"/>
        <w:numPr>
          <w:ilvl w:val="0"/>
          <w:numId w:val="2"/>
        </w:numPr>
        <w:spacing w:after="60"/>
      </w:pPr>
      <w:r>
        <w:rPr>
          <w:b/>
          <w:bCs/>
        </w:rPr>
        <w:t xml:space="preserve">Latest main deployed </w:t>
      </w:r>
      <w:r>
        <w:t xml:space="preserve">on Netlify (Deploys tab shows the newest commit, status Published), then hard-refresh the browser (Cmd+Shift+R / Ctrl+Shift+R). Quick check: the MFA button in Settings must read “Verify &amp; Activate” — if it says “Get Challenge &amp; Verify”, you are on an old bundle.</w:t>
      </w:r>
    </w:p>
    <w:p>
      <w:pPr>
        <w:pStyle w:val="ListParagraph"/>
        <w:numPr>
          <w:ilvl w:val="0"/>
          <w:numId w:val="2"/>
        </w:numPr>
        <w:spacing w:after="60"/>
      </w:pPr>
      <w:r>
        <w:rPr>
          <w:b/>
          <w:bCs/>
        </w:rPr>
        <w:t xml:space="preserve">Supabase Site URL </w:t>
      </w:r>
      <w:r>
        <w:t xml:space="preserve">set to the production URL (Authentication → URL Configuration) so authenticator entries and email links are not labelled “localhost:3000”.</w:t>
      </w:r>
    </w:p>
    <w:p>
      <w:pPr>
        <w:pStyle w:val="Heading1"/>
        <w:spacing w:after="120" w:before="300"/>
      </w:pPr>
      <w:r>
        <w:rPr>
          <w:color w:val="2E7D32"/>
        </w:rPr>
        <w:t xml:space="preserve">2. What changed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8F5E9" w:val="clear"/>
            <w:tcMar>
              <w:top w:type="dxa" w:w="60"/>
              <w:left w:type="dxa" w:w="100"/>
              <w:bottom w:type="dxa" w:w="60"/>
              <w:right w:type="dxa" w:w="100"/>
            </w:tcMar>
          </w:tcPr>
          <w:p>
            <w:pPr>
              <w:spacing w:after="0"/>
            </w:pPr>
            <w:r>
              <w:rPr>
                <w:b/>
                <w:bCs/>
              </w:rPr>
              <w:t xml:space="preserve">Area</w:t>
            </w:r>
          </w:p>
        </w:tc>
        <w:tc>
          <w:tcPr>
            <w:tcW w:type="dxa" w:w="6240"/>
            <w:shd w:fill="E8F5E9" w:val="clear"/>
            <w:tcMar>
              <w:top w:type="dxa" w:w="60"/>
              <w:left w:type="dxa" w:w="100"/>
              <w:bottom w:type="dxa" w:w="60"/>
              <w:right w:type="dxa" w:w="100"/>
            </w:tcMar>
          </w:tcPr>
          <w:p>
            <w:pPr>
              <w:spacing w:after="0"/>
            </w:pPr>
            <w:r>
              <w:t xml:space="preserve">Change</w:t>
            </w:r>
          </w:p>
        </w:tc>
      </w:tr>
      <w:tr>
        <w:tc>
          <w:tcPr>
            <w:tcW w:type="dxa" w:w="3120"/>
            <w:tcMar>
              <w:top w:type="dxa" w:w="60"/>
              <w:left w:type="dxa" w:w="100"/>
              <w:bottom w:type="dxa" w:w="60"/>
              <w:right w:type="dxa" w:w="100"/>
            </w:tcMar>
          </w:tcPr>
          <w:p>
            <w:pPr>
              <w:spacing w:after="0"/>
            </w:pPr>
            <w:r>
              <w:rPr>
                <w:b/>
                <w:bCs/>
              </w:rPr>
              <w:t xml:space="preserve">E-signatures</w:t>
            </w:r>
          </w:p>
        </w:tc>
        <w:tc>
          <w:tcPr>
            <w:tcW w:type="dxa" w:w="6240"/>
            <w:tcMar>
              <w:top w:type="dxa" w:w="60"/>
              <w:left w:type="dxa" w:w="100"/>
              <w:bottom w:type="dxa" w:w="60"/>
              <w:right w:type="dxa" w:w="100"/>
            </w:tcMar>
          </w:tcPr>
          <w:p>
            <w:pPr>
              <w:spacing w:after="0"/>
            </w:pPr>
            <w:r>
              <w:t xml:space="preserve">Every user uploads a handwritten signature once (Settings → My Signature). Applying it to a document always requires a fresh 6-digit authenticator code (MFA/TOTP).</w:t>
            </w:r>
          </w:p>
        </w:tc>
      </w:tr>
      <w:tr>
        <w:tc>
          <w:tcPr>
            <w:tcW w:type="dxa" w:w="3120"/>
            <w:tcMar>
              <w:top w:type="dxa" w:w="60"/>
              <w:left w:type="dxa" w:w="100"/>
              <w:bottom w:type="dxa" w:w="60"/>
              <w:right w:type="dxa" w:w="100"/>
            </w:tcMar>
          </w:tcPr>
          <w:p>
            <w:pPr>
              <w:spacing w:after="0"/>
            </w:pPr>
            <w:r>
              <w:rPr>
                <w:b/>
                <w:bCs/>
              </w:rPr>
              <w:t xml:space="preserve">New roles</w:t>
            </w:r>
          </w:p>
        </w:tc>
        <w:tc>
          <w:tcPr>
            <w:tcW w:type="dxa" w:w="6240"/>
            <w:tcMar>
              <w:top w:type="dxa" w:w="60"/>
              <w:left w:type="dxa" w:w="100"/>
              <w:bottom w:type="dxa" w:w="60"/>
              <w:right w:type="dxa" w:w="100"/>
            </w:tcMar>
          </w:tcPr>
          <w:p>
            <w:pPr>
              <w:spacing w:after="0"/>
            </w:pPr>
            <w:r>
              <w:t xml:space="preserve">Deputy Director and Director — read-only reviewers. They see a simplified invoice page: no assemble bar, no scan chips, no stage controls.</w:t>
            </w:r>
          </w:p>
        </w:tc>
      </w:tr>
      <w:tr>
        <w:tc>
          <w:tcPr>
            <w:tcW w:type="dxa" w:w="3120"/>
            <w:tcMar>
              <w:top w:type="dxa" w:w="60"/>
              <w:left w:type="dxa" w:w="100"/>
              <w:bottom w:type="dxa" w:w="60"/>
              <w:right w:type="dxa" w:w="100"/>
            </w:tcMar>
          </w:tcPr>
          <w:p>
            <w:pPr>
              <w:spacing w:after="0"/>
            </w:pPr>
            <w:r>
              <w:rPr>
                <w:b/>
                <w:bCs/>
              </w:rPr>
              <w:t xml:space="preserve">Signing slots</w:t>
            </w:r>
          </w:p>
        </w:tc>
        <w:tc>
          <w:tcPr>
            <w:tcW w:type="dxa" w:w="6240"/>
            <w:tcMar>
              <w:top w:type="dxa" w:w="60"/>
              <w:left w:type="dxa" w:w="100"/>
              <w:bottom w:type="dxa" w:w="60"/>
              <w:right w:type="dxa" w:w="100"/>
            </w:tcMar>
          </w:tcPr>
          <w:p>
            <w:pPr>
              <w:spacing w:after="0"/>
            </w:pPr>
            <w:r>
              <w:t xml:space="preserve">Transporter signs their own request (Sign &amp; Submit). Staff signs “Prepared by”. Deputy Director approves = “Checked by”. Director approves = “Approved by” + memo signature. Order is enforced: Prepared → Checked → Approved.</w:t>
            </w:r>
          </w:p>
        </w:tc>
      </w:tr>
      <w:tr>
        <w:tc>
          <w:tcPr>
            <w:tcW w:type="dxa" w:w="3120"/>
            <w:tcMar>
              <w:top w:type="dxa" w:w="60"/>
              <w:left w:type="dxa" w:w="100"/>
              <w:bottom w:type="dxa" w:w="60"/>
              <w:right w:type="dxa" w:w="100"/>
            </w:tcMar>
          </w:tcPr>
          <w:p>
            <w:pPr>
              <w:spacing w:after="0"/>
            </w:pPr>
            <w:r>
              <w:rPr>
                <w:b/>
                <w:bCs/>
              </w:rPr>
              <w:t xml:space="preserve">Reviewer document</w:t>
            </w:r>
          </w:p>
        </w:tc>
        <w:tc>
          <w:tcPr>
            <w:tcW w:type="dxa" w:w="6240"/>
            <w:tcMar>
              <w:top w:type="dxa" w:w="60"/>
              <w:left w:type="dxa" w:w="100"/>
              <w:bottom w:type="dxa" w:w="60"/>
              <w:right w:type="dxa" w:w="100"/>
            </w:tcMar>
          </w:tcPr>
          <w:p>
            <w:pPr>
              <w:spacing w:after="0"/>
            </w:pPr>
            <w:r>
              <w:t xml:space="preserve">One “Payment request documentation” button builds a single merged PDF: letter, invoice, acknowledgement forms, waybills, release letters — in that order. Reviewers only; everyone else downloads documents separately.</w:t>
            </w:r>
          </w:p>
        </w:tc>
      </w:tr>
      <w:tr>
        <w:tc>
          <w:tcPr>
            <w:tcW w:type="dxa" w:w="3120"/>
            <w:tcMar>
              <w:top w:type="dxa" w:w="60"/>
              <w:left w:type="dxa" w:w="100"/>
              <w:bottom w:type="dxa" w:w="60"/>
              <w:right w:type="dxa" w:w="100"/>
            </w:tcMar>
          </w:tcPr>
          <w:p>
            <w:pPr>
              <w:spacing w:after="0"/>
            </w:pPr>
            <w:r>
              <w:rPr>
                <w:b/>
                <w:bCs/>
              </w:rPr>
              <w:t xml:space="preserve">PDF documents</w:t>
            </w:r>
          </w:p>
        </w:tc>
        <w:tc>
          <w:tcPr>
            <w:tcW w:type="dxa" w:w="6240"/>
            <w:tcMar>
              <w:top w:type="dxa" w:w="60"/>
              <w:left w:type="dxa" w:w="100"/>
              <w:bottom w:type="dxa" w:w="60"/>
              <w:right w:type="dxa" w:w="100"/>
            </w:tcMar>
          </w:tcPr>
          <w:p>
            <w:pPr>
              <w:spacing w:after="0"/>
            </w:pPr>
            <w:r>
              <w:t xml:space="preserve">Letters/invoices no longer carry the generated monogram badge (plain letterhead: company name + contacts). Signature images sit on the signature line with the date; “For: &lt;manager&gt;” appears when the signer is not the registered manager. Invoice downloads standalone (no bundled scans).</w:t>
            </w:r>
          </w:p>
        </w:tc>
      </w:tr>
      <w:tr>
        <w:tc>
          <w:tcPr>
            <w:tcW w:type="dxa" w:w="3120"/>
            <w:tcMar>
              <w:top w:type="dxa" w:w="60"/>
              <w:left w:type="dxa" w:w="100"/>
              <w:bottom w:type="dxa" w:w="60"/>
              <w:right w:type="dxa" w:w="100"/>
            </w:tcMar>
          </w:tcPr>
          <w:p>
            <w:pPr>
              <w:spacing w:after="0"/>
            </w:pPr>
            <w:r>
              <w:rPr>
                <w:b/>
                <w:bCs/>
              </w:rPr>
              <w:t xml:space="preserve">User management</w:t>
            </w:r>
          </w:p>
        </w:tc>
        <w:tc>
          <w:tcPr>
            <w:tcW w:type="dxa" w:w="6240"/>
            <w:tcMar>
              <w:top w:type="dxa" w:w="60"/>
              <w:left w:type="dxa" w:w="100"/>
              <w:bottom w:type="dxa" w:w="60"/>
              <w:right w:type="dxa" w:w="100"/>
            </w:tcMar>
          </w:tcPr>
          <w:p>
            <w:pPr>
              <w:spacing w:after="0"/>
            </w:pPr>
            <w:r>
              <w:t xml:space="preserve">Admins can create Deputy Director/Director users, edit any user’s name inline, and reset passwords (key button → one-time temporary password).</w:t>
            </w:r>
          </w:p>
        </w:tc>
      </w:tr>
      <w:tr>
        <w:tc>
          <w:tcPr>
            <w:tcW w:type="dxa" w:w="3120"/>
            <w:tcMar>
              <w:top w:type="dxa" w:w="60"/>
              <w:left w:type="dxa" w:w="100"/>
              <w:bottom w:type="dxa" w:w="60"/>
              <w:right w:type="dxa" w:w="100"/>
            </w:tcMar>
          </w:tcPr>
          <w:p>
            <w:pPr>
              <w:spacing w:after="0"/>
            </w:pPr>
            <w:r>
              <w:rPr>
                <w:b/>
                <w:bCs/>
              </w:rPr>
              <w:t xml:space="preserve">Fuel scraper</w:t>
            </w:r>
          </w:p>
        </w:tc>
        <w:tc>
          <w:tcPr>
            <w:tcW w:type="dxa" w:w="6240"/>
            <w:tcMar>
              <w:top w:type="dxa" w:w="60"/>
              <w:left w:type="dxa" w:w="100"/>
              <w:bottom w:type="dxa" w:w="60"/>
              <w:right w:type="dxa" w:w="100"/>
            </w:tcMar>
          </w:tcPr>
          <w:p>
            <w:pPr>
              <w:spacing w:after="0"/>
            </w:pPr>
            <w:r>
              <w:t xml:space="preserve">GOIL scraper now gets past the site’s “One moment, please…” anti-bot page (cookie + retry).</w:t>
            </w:r>
          </w:p>
        </w:tc>
      </w:tr>
    </w:tbl>
    <w:p>
      <w:pPr>
        <w:pStyle w:val="Heading1"/>
        <w:spacing w:after="120" w:before="300"/>
      </w:pPr>
      <w:r>
        <w:rPr>
          <w:color w:val="2E7D32"/>
        </w:rPr>
        <w:t xml:space="preserve">3. Test scenarios</w:t>
      </w:r>
    </w:p>
    <w:p>
      <w:pPr>
        <w:pStyle w:val="Heading2"/>
        <w:spacing w:after="100" w:before="240"/>
      </w:pPr>
      <w:r>
        <w:rPr>
          <w:color w:val="1A2B4A"/>
        </w:rPr>
        <w:t xml:space="preserve">3.1 One-time setup — every test account</w:t>
      </w:r>
    </w:p>
    <w:p>
      <w:pPr>
        <w:pStyle w:val="ListParagraph"/>
        <w:numPr>
          <w:ilvl w:val="0"/>
          <w:numId w:val="3"/>
        </w:numPr>
        <w:spacing w:after="60"/>
      </w:pPr>
      <w:r>
        <w:t xml:space="preserve">Log in → Settings. Under My Signature, upload a PNG/JPEG signature. Then click Replace and upload it again.</w:t>
      </w:r>
    </w:p>
    <w:p>
      <w:pPr>
        <w:spacing w:after="140"/>
        <w:ind w:left="400"/>
      </w:pPr>
      <w:r>
        <w:rPr>
          <w:b/>
          <w:bCs/>
          <w:color w:val="2E7D32"/>
        </w:rPr>
        <w:t xml:space="preserve">Expected: </w:t>
      </w:r>
      <w:r>
        <w:rPr>
          <w:i/>
          <w:iCs/>
        </w:rPr>
        <w:t xml:space="preserve">Both upload and Replace succeed for every role, including transporters (Replace used to fail with a row-level security error).</w:t>
      </w:r>
    </w:p>
    <w:p>
      <w:pPr>
        <w:pStyle w:val="ListParagraph"/>
        <w:numPr>
          <w:ilvl w:val="0"/>
          <w:numId w:val="3"/>
        </w:numPr>
        <w:spacing w:after="60"/>
      </w:pPr>
      <w:r>
        <w:t xml:space="preserve">Under MFA, click Enroll Authenticator App, scan the QR with Google Authenticator/Authy, enter the 6-digit code, click Verify &amp; Activate.</w:t>
      </w:r>
    </w:p>
    <w:p>
      <w:pPr>
        <w:spacing w:after="140"/>
        <w:ind w:left="400"/>
      </w:pPr>
      <w:r>
        <w:rPr>
          <w:b/>
          <w:bCs/>
          <w:color w:val="2E7D32"/>
        </w:rPr>
        <w:t xml:space="preserve">Expected: </w:t>
      </w:r>
      <w:r>
        <w:rPr>
          <w:i/>
          <w:iCs/>
        </w:rPr>
        <w:t xml:space="preserve">Factor verifies first try. The authenticator entry is labelled “HTMS — Ministry of Energy”, not localhost:3000. Abandoning enrollment halfway and starting again works (no “friendly name already exists” error).</w:t>
      </w:r>
    </w:p>
    <w:p>
      <w:pPr>
        <w:pStyle w:val="Heading2"/>
        <w:spacing w:after="100" w:before="240"/>
      </w:pPr>
      <w:r>
        <w:rPr>
          <w:color w:val="1A2B4A"/>
        </w:rPr>
        <w:t xml:space="preserve">3.2 Admin — user management</w:t>
      </w:r>
    </w:p>
    <w:p>
      <w:pPr>
        <w:pStyle w:val="ListParagraph"/>
        <w:numPr>
          <w:ilvl w:val="0"/>
          <w:numId w:val="4"/>
        </w:numPr>
        <w:spacing w:after="60"/>
      </w:pPr>
      <w:r>
        <w:t xml:space="preserve">Admin → Users → create one Deputy Director and one Director account.</w:t>
      </w:r>
    </w:p>
    <w:p>
      <w:pPr>
        <w:spacing w:after="140"/>
        <w:ind w:left="400"/>
      </w:pPr>
      <w:r>
        <w:rPr>
          <w:b/>
          <w:bCs/>
          <w:color w:val="2E7D32"/>
        </w:rPr>
        <w:t xml:space="preserve">Expected: </w:t>
      </w:r>
      <w:r>
        <w:rPr>
          <w:i/>
          <w:iCs/>
        </w:rPr>
        <w:t xml:space="preserve">Both create successfully with temporary passwords (previously failed with a check-constraint error).</w:t>
      </w:r>
    </w:p>
    <w:p>
      <w:pPr>
        <w:pStyle w:val="ListParagraph"/>
        <w:numPr>
          <w:ilvl w:val="0"/>
          <w:numId w:val="4"/>
        </w:numPr>
        <w:spacing w:after="60"/>
      </w:pPr>
      <w:r>
        <w:t xml:space="preserve">Edit a user’s name in the table (it is now an input field) and Save.</w:t>
      </w:r>
    </w:p>
    <w:p>
      <w:pPr>
        <w:spacing w:after="140"/>
        <w:ind w:left="400"/>
      </w:pPr>
      <w:r>
        <w:rPr>
          <w:b/>
          <w:bCs/>
          <w:color w:val="2E7D32"/>
        </w:rPr>
        <w:t xml:space="preserve">Expected: </w:t>
      </w:r>
      <w:r>
        <w:rPr>
          <w:i/>
          <w:iCs/>
        </w:rPr>
        <w:t xml:space="preserve">Name persists after reload.</w:t>
      </w:r>
    </w:p>
    <w:p>
      <w:pPr>
        <w:pStyle w:val="ListParagraph"/>
        <w:numPr>
          <w:ilvl w:val="0"/>
          <w:numId w:val="4"/>
        </w:numPr>
        <w:spacing w:after="60"/>
      </w:pPr>
      <w:r>
        <w:t xml:space="preserve">Click the key button on a test user’s row and confirm.</w:t>
      </w:r>
    </w:p>
    <w:p>
      <w:pPr>
        <w:spacing w:after="140"/>
        <w:ind w:left="400"/>
      </w:pPr>
      <w:r>
        <w:rPr>
          <w:b/>
          <w:bCs/>
          <w:color w:val="2E7D32"/>
        </w:rPr>
        <w:t xml:space="preserve">Expected: </w:t>
      </w:r>
      <w:r>
        <w:rPr>
          <w:i/>
          <w:iCs/>
        </w:rPr>
        <w:t xml:space="preserve">A green banner shows a one-time temporary password; the user can log in with it. Note: this does not reset their MFA.</w:t>
      </w:r>
    </w:p>
    <w:p>
      <w:pPr>
        <w:pStyle w:val="Heading2"/>
        <w:spacing w:after="100" w:before="240"/>
      </w:pPr>
      <w:r>
        <w:rPr>
          <w:color w:val="1A2B4A"/>
        </w:rPr>
        <w:t xml:space="preserve">3.3 Transporter — sign &amp; submit</w:t>
      </w:r>
    </w:p>
    <w:p>
      <w:pPr>
        <w:pStyle w:val="ListParagraph"/>
        <w:numPr>
          <w:ilvl w:val="0"/>
          <w:numId w:val="5"/>
        </w:numPr>
        <w:spacing w:after="60"/>
      </w:pPr>
      <w:r>
        <w:t xml:space="preserve">As a transporter with NO signature or MFA, open an invoice ready for submission.</w:t>
      </w:r>
    </w:p>
    <w:p>
      <w:pPr>
        <w:spacing w:after="140"/>
        <w:ind w:left="400"/>
      </w:pPr>
      <w:r>
        <w:rPr>
          <w:b/>
          <w:bCs/>
          <w:color w:val="2E7D32"/>
        </w:rPr>
        <w:t xml:space="preserve">Expected: </w:t>
      </w:r>
      <w:r>
        <w:rPr>
          <w:i/>
          <w:iCs/>
        </w:rPr>
        <w:t xml:space="preserve">Sign &amp; Submit is unavailable; a link points to Settings instead.</w:t>
      </w:r>
    </w:p>
    <w:p>
      <w:pPr>
        <w:pStyle w:val="ListParagraph"/>
        <w:numPr>
          <w:ilvl w:val="0"/>
          <w:numId w:val="5"/>
        </w:numPr>
        <w:spacing w:after="60"/>
      </w:pPr>
      <w:r>
        <w:t xml:space="preserve">Complete setup (3.1), then Sign &amp; Submit: enter the authenticator code when prompted.</w:t>
      </w:r>
    </w:p>
    <w:p>
      <w:pPr>
        <w:spacing w:after="140"/>
        <w:ind w:left="400"/>
      </w:pPr>
      <w:r>
        <w:rPr>
          <w:b/>
          <w:bCs/>
          <w:color w:val="2E7D32"/>
        </w:rPr>
        <w:t xml:space="preserve">Expected: </w:t>
      </w:r>
      <w:r>
        <w:rPr>
          <w:i/>
          <w:iCs/>
        </w:rPr>
        <w:t xml:space="preserve">Invoice submits. Wrong code = clear error, nothing signed.</w:t>
      </w:r>
    </w:p>
    <w:p>
      <w:pPr>
        <w:pStyle w:val="ListParagraph"/>
        <w:numPr>
          <w:ilvl w:val="0"/>
          <w:numId w:val="5"/>
        </w:numPr>
        <w:spacing w:after="60"/>
      </w:pPr>
      <w:r>
        <w:t xml:space="preserve">Download the Letter and the Invoice.</w:t>
      </w:r>
    </w:p>
    <w:p>
      <w:pPr>
        <w:spacing w:after="140"/>
        <w:ind w:left="400"/>
      </w:pPr>
      <w:r>
        <w:rPr>
          <w:b/>
          <w:bCs/>
          <w:color w:val="2E7D32"/>
        </w:rPr>
        <w:t xml:space="preserve">Expected: </w:t>
      </w:r>
      <w:r>
        <w:rPr>
          <w:i/>
          <w:iCs/>
        </w:rPr>
        <w:t xml:space="preserve">Each downloads as its own PDF — the invoice has NO waybills/acknowledgements/release letters bundled in. Both show the signature image resting on the signature line with the date at the line’s right end, clear of surrounding text. If the account name differs from the company’s registered manager, the printed name reads “For: &lt;manager name&gt;”. Letterhead is plain — no coloured initials badge.</w:t>
      </w:r>
    </w:p>
    <w:p>
      <w:pPr>
        <w:pStyle w:val="Heading2"/>
        <w:spacing w:after="100" w:before="240"/>
      </w:pPr>
      <w:r>
        <w:rPr>
          <w:color w:val="1A2B4A"/>
        </w:rPr>
        <w:t xml:space="preserve">3.4 Staff (officer/admin) — Prepared by</w:t>
      </w:r>
    </w:p>
    <w:p>
      <w:pPr>
        <w:pStyle w:val="ListParagraph"/>
        <w:numPr>
          <w:ilvl w:val="0"/>
          <w:numId w:val="6"/>
        </w:numPr>
        <w:spacing w:after="60"/>
      </w:pPr>
      <w:r>
        <w:t xml:space="preserve">Open the submitted invoice → click Sign (Prepared by) → enter authenticator code.</w:t>
      </w:r>
    </w:p>
    <w:p>
      <w:pPr>
        <w:spacing w:after="140"/>
        <w:ind w:left="400"/>
      </w:pPr>
      <w:r>
        <w:rPr>
          <w:b/>
          <w:bCs/>
          <w:color w:val="2E7D32"/>
        </w:rPr>
        <w:t xml:space="preserve">Expected: </w:t>
      </w:r>
      <w:r>
        <w:rPr>
          <w:i/>
          <w:iCs/>
        </w:rPr>
        <w:t xml:space="preserve">Signature strip shows Prepared with your name and date.</w:t>
      </w:r>
    </w:p>
    <w:p>
      <w:pPr>
        <w:pStyle w:val="ListParagraph"/>
        <w:numPr>
          <w:ilvl w:val="0"/>
          <w:numId w:val="6"/>
        </w:numPr>
        <w:spacing w:after="60"/>
      </w:pPr>
      <w:r>
        <w:t xml:space="preserve">Download the Signatory page.</w:t>
      </w:r>
    </w:p>
    <w:p>
      <w:pPr>
        <w:spacing w:after="140"/>
        <w:ind w:left="400"/>
      </w:pPr>
      <w:r>
        <w:rPr>
          <w:b/>
          <w:bCs/>
          <w:color w:val="2E7D32"/>
        </w:rPr>
        <w:t xml:space="preserve">Expected: </w:t>
      </w:r>
      <w:r>
        <w:rPr>
          <w:i/>
          <w:iCs/>
        </w:rPr>
        <w:t xml:space="preserve">“Prepared by” row: signature image ON the blank line (not overlapping the label), name and date filled on the same row. Checked/Approved rows still blank underscores.</w:t>
      </w:r>
    </w:p>
    <w:p>
      <w:pPr>
        <w:pStyle w:val="Heading2"/>
        <w:spacing w:after="100" w:before="240"/>
      </w:pPr>
      <w:r>
        <w:rPr>
          <w:color w:val="1A2B4A"/>
        </w:rPr>
        <w:t xml:space="preserve">3.5 Deputy Director — Checked by</w:t>
      </w:r>
    </w:p>
    <w:p>
      <w:pPr>
        <w:pStyle w:val="ListParagraph"/>
        <w:numPr>
          <w:ilvl w:val="0"/>
          <w:numId w:val="7"/>
        </w:numPr>
        <w:spacing w:after="60"/>
      </w:pPr>
      <w:r>
        <w:t xml:space="preserve">Log in as Deputy Director → Payment Requests.</w:t>
      </w:r>
    </w:p>
    <w:p>
      <w:pPr>
        <w:spacing w:after="140"/>
        <w:ind w:left="400"/>
      </w:pPr>
      <w:r>
        <w:rPr>
          <w:b/>
          <w:bCs/>
          <w:color w:val="2E7D32"/>
        </w:rPr>
        <w:t xml:space="preserve">Expected: </w:t>
      </w:r>
      <w:r>
        <w:rPr>
          <w:i/>
          <w:iCs/>
        </w:rPr>
        <w:t xml:space="preserve">Invoice list loads (no “Forbidden for your role”). No assemble bar, no scan chips, no stage buttons — just summary, signature strip, Approve, and Payment request documentation.</w:t>
      </w:r>
    </w:p>
    <w:p>
      <w:pPr>
        <w:pStyle w:val="ListParagraph"/>
        <w:numPr>
          <w:ilvl w:val="0"/>
          <w:numId w:val="7"/>
        </w:numPr>
        <w:spacing w:after="60"/>
      </w:pPr>
      <w:r>
        <w:t xml:space="preserve">On an invoice where Prepared is NOT yet signed, check the Approve button.</w:t>
      </w:r>
    </w:p>
    <w:p>
      <w:pPr>
        <w:spacing w:after="140"/>
        <w:ind w:left="400"/>
      </w:pPr>
      <w:r>
        <w:rPr>
          <w:b/>
          <w:bCs/>
          <w:color w:val="2E7D32"/>
        </w:rPr>
        <w:t xml:space="preserve">Expected: </w:t>
      </w:r>
      <w:r>
        <w:rPr>
          <w:i/>
          <w:iCs/>
        </w:rPr>
        <w:t xml:space="preserve">Disabled, with a tooltip about the required order.</w:t>
      </w:r>
    </w:p>
    <w:p>
      <w:pPr>
        <w:pStyle w:val="ListParagraph"/>
        <w:numPr>
          <w:ilvl w:val="0"/>
          <w:numId w:val="7"/>
        </w:numPr>
        <w:spacing w:after="60"/>
      </w:pPr>
      <w:r>
        <w:t xml:space="preserve">On the invoice from 3.4, click Approve → authenticator code.</w:t>
      </w:r>
    </w:p>
    <w:p>
      <w:pPr>
        <w:spacing w:after="140"/>
        <w:ind w:left="400"/>
      </w:pPr>
      <w:r>
        <w:rPr>
          <w:b/>
          <w:bCs/>
          <w:color w:val="2E7D32"/>
        </w:rPr>
        <w:t xml:space="preserve">Expected: </w:t>
      </w:r>
      <w:r>
        <w:rPr>
          <w:i/>
          <w:iCs/>
        </w:rPr>
        <w:t xml:space="preserve">Checked slot fills with name and date.</w:t>
      </w:r>
    </w:p>
    <w:p>
      <w:pPr>
        <w:pStyle w:val="Heading2"/>
        <w:spacing w:after="100" w:before="240"/>
      </w:pPr>
      <w:r>
        <w:rPr>
          <w:color w:val="1A2B4A"/>
        </w:rPr>
        <w:t xml:space="preserve">3.6 Director — Approved by, memo, merged documentation</w:t>
      </w:r>
    </w:p>
    <w:p>
      <w:pPr>
        <w:pStyle w:val="ListParagraph"/>
        <w:numPr>
          <w:ilvl w:val="0"/>
          <w:numId w:val="8"/>
        </w:numPr>
        <w:spacing w:after="60"/>
      </w:pPr>
      <w:r>
        <w:t xml:space="preserve">Log in as Director → Approve the invoice from 3.5 (code required).</w:t>
      </w:r>
    </w:p>
    <w:p>
      <w:pPr>
        <w:spacing w:after="140"/>
        <w:ind w:left="400"/>
      </w:pPr>
      <w:r>
        <w:rPr>
          <w:b/>
          <w:bCs/>
          <w:color w:val="2E7D32"/>
        </w:rPr>
        <w:t xml:space="preserve">Expected: </w:t>
      </w:r>
      <w:r>
        <w:rPr>
          <w:i/>
          <w:iCs/>
        </w:rPr>
        <w:t xml:space="preserve">Approved slot fills. Approving before Checked exists is blocked.</w:t>
      </w:r>
    </w:p>
    <w:p>
      <w:pPr>
        <w:pStyle w:val="ListParagraph"/>
        <w:numPr>
          <w:ilvl w:val="0"/>
          <w:numId w:val="8"/>
        </w:numPr>
        <w:spacing w:after="60"/>
      </w:pPr>
      <w:r>
        <w:t xml:space="preserve">Click Payment request documentation.</w:t>
      </w:r>
    </w:p>
    <w:p>
      <w:pPr>
        <w:spacing w:after="140"/>
        <w:ind w:left="400"/>
      </w:pPr>
      <w:r>
        <w:rPr>
          <w:b/>
          <w:bCs/>
          <w:color w:val="2E7D32"/>
        </w:rPr>
        <w:t xml:space="preserve">Expected: </w:t>
      </w:r>
      <w:r>
        <w:rPr>
          <w:i/>
          <w:iCs/>
        </w:rPr>
        <w:t xml:space="preserve">One PDF opens in a new tab, pages in order: payment request letter, invoice, acknowledgement forms, waybills, release letters — all scans present (this needs migration 0020; a yellow warning about skipped scans means it has not been run).</w:t>
      </w:r>
    </w:p>
    <w:p>
      <w:pPr>
        <w:pStyle w:val="ListParagraph"/>
        <w:numPr>
          <w:ilvl w:val="0"/>
          <w:numId w:val="8"/>
        </w:numPr>
        <w:spacing w:after="60"/>
      </w:pPr>
      <w:r>
        <w:t xml:space="preserve">As staff, generate the Memo for that invoice.</w:t>
      </w:r>
    </w:p>
    <w:p>
      <w:pPr>
        <w:spacing w:after="140"/>
        <w:ind w:left="400"/>
      </w:pPr>
      <w:r>
        <w:rPr>
          <w:b/>
          <w:bCs/>
          <w:color w:val="2E7D32"/>
        </w:rPr>
        <w:t xml:space="preserve">Expected: </w:t>
      </w:r>
      <w:r>
        <w:rPr>
          <w:i/>
          <w:iCs/>
        </w:rPr>
        <w:t xml:space="preserve">Director’s signature image above the signatory name, date beneath, name defaults to the Director who approved.</w:t>
      </w:r>
    </w:p>
    <w:p>
      <w:pPr>
        <w:pStyle w:val="ListParagraph"/>
        <w:numPr>
          <w:ilvl w:val="0"/>
          <w:numId w:val="8"/>
        </w:numPr>
        <w:spacing w:after="60"/>
      </w:pPr>
      <w:r>
        <w:t xml:space="preserve">Re-download the Signatory page.</w:t>
      </w:r>
    </w:p>
    <w:p>
      <w:pPr>
        <w:spacing w:after="140"/>
        <w:ind w:left="400"/>
      </w:pPr>
      <w:r>
        <w:rPr>
          <w:b/>
          <w:bCs/>
          <w:color w:val="2E7D32"/>
        </w:rPr>
        <w:t xml:space="preserve">Expected: </w:t>
      </w:r>
      <w:r>
        <w:rPr>
          <w:i/>
          <w:iCs/>
        </w:rPr>
        <w:t xml:space="preserve">All three rows show signature, name, and date, each in its designated space.</w:t>
      </w:r>
    </w:p>
    <w:p>
      <w:pPr>
        <w:pStyle w:val="Heading2"/>
        <w:spacing w:after="100" w:before="240"/>
      </w:pPr>
      <w:r>
        <w:rPr>
          <w:color w:val="1A2B4A"/>
        </w:rPr>
        <w:t xml:space="preserve">3.7 Regression sweep</w:t>
      </w:r>
    </w:p>
    <w:p>
      <w:pPr>
        <w:pStyle w:val="ListParagraph"/>
        <w:numPr>
          <w:ilvl w:val="0"/>
          <w:numId w:val="9"/>
        </w:numPr>
        <w:spacing w:after="60"/>
      </w:pPr>
      <w:r>
        <w:t xml:space="preserve">Dashboard, waybill entry, trip calculator, stage advancement, and transporter status page all behave as before.</w:t>
      </w:r>
    </w:p>
    <w:p>
      <w:pPr>
        <w:pStyle w:val="ListParagraph"/>
        <w:numPr>
          <w:ilvl w:val="0"/>
          <w:numId w:val="9"/>
        </w:numPr>
        <w:spacing w:after="60"/>
      </w:pPr>
      <w:r>
        <w:t xml:space="preserve">Existing invoices from before the update still open and their PDFs still generate.</w:t>
      </w:r>
    </w:p>
    <w:p>
      <w:pPr>
        <w:pStyle w:val="ListParagraph"/>
        <w:numPr>
          <w:ilvl w:val="0"/>
          <w:numId w:val="9"/>
        </w:numPr>
        <w:spacing w:after="60"/>
      </w:pPr>
      <w:r>
        <w:t xml:space="preserve">GitHub → Actions: the CI build and the scheduled GOIL scrape run are green; the scrape upserted the 1 July diesel price (15.35).</w:t>
      </w:r>
    </w:p>
    <w:p>
      <w:pPr>
        <w:pStyle w:val="Heading1"/>
        <w:spacing w:after="120" w:before="300"/>
      </w:pPr>
      <w:r>
        <w:rPr>
          <w:color w:val="2E7D32"/>
        </w:rPr>
        <w:t xml:space="preserve">4. Known limitations</w:t>
      </w:r>
    </w:p>
    <w:p>
      <w:pPr>
        <w:pStyle w:val="ListParagraph"/>
        <w:numPr>
          <w:ilvl w:val="0"/>
          <w:numId w:val="2"/>
        </w:numPr>
        <w:spacing w:after="60"/>
      </w:pPr>
      <w:r>
        <w:t xml:space="preserve">Password reset does not clear MFA — a user who also lost their authenticator needs the factor removed in the Supabase dashboard (Authentication → Users).</w:t>
      </w:r>
    </w:p>
    <w:p>
      <w:pPr>
        <w:pStyle w:val="ListParagraph"/>
        <w:numPr>
          <w:ilvl w:val="0"/>
          <w:numId w:val="2"/>
        </w:numPr>
        <w:spacing w:after="60"/>
      </w:pPr>
      <w:r>
        <w:t xml:space="preserve">A signature must be uploaded before any signing action; there is no drawn-on-screen signature capture.</w:t>
      </w:r>
    </w:p>
    <w:p>
      <w:pPr>
        <w:pStyle w:val="ListParagraph"/>
        <w:numPr>
          <w:ilvl w:val="0"/>
          <w:numId w:val="2"/>
        </w:numPr>
        <w:spacing w:after="60"/>
      </w:pPr>
      <w:r>
        <w:t xml:space="preserve">Signing slots are intentionally decoupled from the 11-stage pipeline — Checked/Approved signatures do not advance the stage.</w:t>
      </w:r>
    </w:p>
    <w:p>
      <w:pPr>
        <w:spacing w:before="200"/>
      </w:pPr>
      <w:r>
        <w:t xml:space="preserve">Report anything off to Leslie with the section number, the account/role used, and a screenshot. Happy hunting.</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2026-07-15T11:28:26.464Z</dcterms:created>
  <dcterms:modified xsi:type="dcterms:W3CDTF">2026-07-15T11:28:26.464Z</dcterms:modified>
</cp:coreProperties>
</file>

<file path=docProps/custom.xml><?xml version="1.0" encoding="utf-8"?>
<Properties xmlns="http://schemas.openxmlformats.org/officeDocument/2006/custom-properties" xmlns:vt="http://schemas.openxmlformats.org/officeDocument/2006/docPropsVTypes"/>
</file>