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40"/>
          <w:szCs w:val="40"/>
        </w:rPr>
        <w:t xml:space="preserve">HTMS Haulage Transaction System</w:t>
      </w:r>
    </w:p>
    <w:p>
      <w:pPr>
        <w:spacing w:after="60" w:before="0"/>
        <w:jc w:val="center"/>
      </w:pPr>
      <w:r>
        <w:rPr>
          <w:rFonts w:ascii="Arial" w:cs="Arial" w:eastAsia="Arial" w:hAnsi="Arial"/>
          <w:color w:val="2E75B6"/>
          <w:sz w:val="28"/>
          <w:szCs w:val="28"/>
        </w:rPr>
        <w:t xml:space="preserve">Formula Context Document</w:t>
      </w:r>
    </w:p>
    <w:p>
      <w:pPr>
        <w:spacing w:after="60" w:before="0"/>
        <w:jc w:val="center"/>
      </w:pPr>
      <w:r>
        <w:rPr>
          <w:rFonts w:ascii="Arial" w:cs="Arial" w:eastAsia="Arial" w:hAnsi="Arial"/>
          <w:i/>
          <w:iCs/>
          <w:color w:val="777777"/>
          <w:sz w:val="20"/>
          <w:szCs w:val="20"/>
        </w:rPr>
        <w:t xml:space="preserve">Source file: Haulage Txn Data.xlsx</w:t>
      </w:r>
    </w:p>
    <w:p>
      <w:pPr>
        <w:pBdr>
          <w:bottom w:val="single" w:color="2E75B6" w:sz="8" w:space="6"/>
        </w:pBdr>
        <w:spacing w:after="300" w:before="60"/>
      </w:pPr>
      <w:r>
        <w:t xml:space="preserve"/>
      </w:r>
    </w:p>
    <w:p>
      <w:pPr>
        <w:pStyle w:val="Heading1"/>
        <w:pBdr>
          <w:bottom w:val="single" w:color="2E75B6" w:sz="6" w:space="6"/>
        </w:pBdr>
        <w:spacing w:after="120" w:before="300"/>
      </w:pPr>
      <w:r>
        <w:rPr>
          <w:rFonts w:ascii="Arial" w:cs="Arial" w:eastAsia="Arial" w:hAnsi="Arial"/>
          <w:b/>
          <w:bCs/>
          <w:color w:val="1F4E79"/>
          <w:sz w:val="28"/>
          <w:szCs w:val="28"/>
        </w:rPr>
        <w:t xml:space="preserve">System Overview</w:t>
      </w:r>
    </w:p>
    <w:p>
      <w:pPr>
        <w:spacing w:after="80" w:before="80"/>
      </w:pPr>
      <w:r>
        <w:rPr>
          <w:rFonts w:ascii="Arial" w:cs="Arial" w:eastAsia="Arial" w:hAnsi="Arial"/>
          <w:sz w:val="22"/>
          <w:szCs w:val="22"/>
        </w:rPr>
        <w:t xml:space="preserve">This workbook is a haulage invoice automation system for ECG (Electricity Company of Ghana) contractor logistics. It captures trip data submitted by field officers via KoboToolbox / Google Forms, looks up distances from a reference chart, applies FIDIC-based price escalation, and calculates the amount owed to each transporter for hauling materials and poles to district destinations across Ghana.</w:t>
      </w:r>
    </w:p>
    <w:p>
      <w:pPr>
        <w:spacing w:after="40" w:before="40"/>
      </w:pPr>
      <w:r>
        <w:t xml:space="preserve"/>
      </w:r>
    </w:p>
    <w:p>
      <w:pPr>
        <w:spacing w:after="80" w:before="80"/>
      </w:pPr>
      <w:r>
        <w:rPr>
          <w:rFonts w:ascii="Arial" w:cs="Arial" w:eastAsia="Arial" w:hAnsi="Arial"/>
          <w:b/>
          <w:bCs/>
          <w:sz w:val="22"/>
          <w:szCs w:val="22"/>
        </w:rPr>
        <w:t xml:space="preserve">The full data flow in one sentence:</w:t>
      </w:r>
    </w:p>
    <w:p>
      <w:pPr>
        <w:spacing w:after="40" w:before="40"/>
      </w:pPr>
      <w:r>
        <w:t xml:space="preserve"/>
      </w:r>
    </w:p>
    <w:p>
      <w:pPr>
        <w:spacing w:after="80" w:before="80"/>
        <w:ind w:left="360"/>
      </w:pPr>
      <w:r>
        <w:rPr>
          <w:rFonts w:ascii="Arial" w:cs="Arial" w:eastAsia="Arial" w:hAnsi="Arial"/>
          <w:i/>
          <w:iCs/>
          <w:color w:val="555555"/>
          <w:sz w:val="20"/>
          <w:szCs w:val="20"/>
        </w:rPr>
        <w:t xml:space="preserve">A transporter submits a waybill → form captures trip details → Distance Chart converts (From, To) into km → Key rates, escalated by the FIDIC 198.6% formula, give the adjusted price per unit → the invoice calculator multiplies everything out → the result is what the transporter gets paid.</w:t>
      </w:r>
    </w:p>
    <w:p>
      <w:pPr>
        <w:spacing w:after="40" w:before="40"/>
      </w:pPr>
      <w:r>
        <w:t xml:space="preserve"/>
      </w:r>
    </w:p>
    <w:p>
      <w:pPr>
        <w:pStyle w:val="Heading1"/>
        <w:pBdr>
          <w:bottom w:val="single" w:color="2E75B6" w:sz="6" w:space="6"/>
        </w:pBdr>
        <w:spacing w:after="120" w:before="300"/>
      </w:pPr>
      <w:r>
        <w:rPr>
          <w:rFonts w:ascii="Arial" w:cs="Arial" w:eastAsia="Arial" w:hAnsi="Arial"/>
          <w:b/>
          <w:bCs/>
          <w:color w:val="1F4E79"/>
          <w:sz w:val="28"/>
          <w:szCs w:val="28"/>
        </w:rPr>
        <w:t xml:space="preserve">Sheet 1: Form Responses 1 / haulage — Raw Input</w:t>
      </w:r>
    </w:p>
    <w:p>
      <w:pPr>
        <w:spacing w:after="80" w:before="80"/>
      </w:pPr>
      <w:r>
        <w:rPr>
          <w:rFonts w:ascii="Arial" w:cs="Arial" w:eastAsia="Arial" w:hAnsi="Arial"/>
          <w:sz w:val="22"/>
          <w:szCs w:val="22"/>
        </w:rPr>
        <w:t xml:space="preserve">These are the data source sheets. Field officers submit waybill details either via KoboToolbox (raw API data lands in the haulage sheet) or Google Forms (lands in Form Responses 1). Both feeds contain the same core fields:</w:t>
      </w:r>
    </w:p>
    <w:p>
      <w:pPr>
        <w:spacing w:after="40" w:before="40"/>
      </w:pPr>
      <w:r>
        <w:t xml:space="preserve"/>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Transporter name</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Cargo category: Poles, Material, or Concrete Poles</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Date on waybill and date of processing</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Start location (warehouse): Tema, Kumasi, Takoradi, Ntensere, Nsawam, or Asante-Akim South</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Destination district (one of ~266 districts across Ghana)</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Number of poles, stay blocks, and/or concrete poles</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Truck size: 20ft or 40ft</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Number of trips</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Vehicle registration number</w:t>
      </w:r>
    </w:p>
    <w:p>
      <w:pPr>
        <w:spacing w:after="40" w:before="40"/>
      </w:pPr>
      <w:r>
        <w:t xml:space="preserve"/>
      </w:r>
    </w:p>
    <w:p>
      <w:pPr>
        <w:spacing w:after="80" w:before="80"/>
      </w:pPr>
      <w:r>
        <w:rPr>
          <w:rFonts w:ascii="Arial" w:cs="Arial" w:eastAsia="Arial" w:hAnsi="Arial"/>
          <w:sz w:val="22"/>
          <w:szCs w:val="22"/>
        </w:rPr>
        <w:t xml:space="preserve">The only formula here is =RANDARRAY() in the index column (used to generate a random sort key for deduplication) and =TODAY() used for reference.</w:t>
      </w:r>
    </w:p>
    <w:p>
      <w:pPr>
        <w:spacing w:after="40" w:before="40"/>
      </w:pPr>
      <w:r>
        <w:t xml:space="preserve"/>
      </w:r>
    </w:p>
    <w:p>
      <w:pPr>
        <w:pStyle w:val="Heading1"/>
        <w:pBdr>
          <w:bottom w:val="single" w:color="2E75B6" w:sz="6" w:space="6"/>
        </w:pBdr>
        <w:spacing w:after="120" w:before="300"/>
      </w:pPr>
      <w:r>
        <w:rPr>
          <w:rFonts w:ascii="Arial" w:cs="Arial" w:eastAsia="Arial" w:hAnsi="Arial"/>
          <w:b/>
          <w:bCs/>
          <w:color w:val="1F4E79"/>
          <w:sz w:val="28"/>
          <w:szCs w:val="28"/>
        </w:rPr>
        <w:t xml:space="preserve">Sheet 2: DistanceChart — Distance Lookup Matrix</w:t>
      </w:r>
    </w:p>
    <w:p>
      <w:pPr>
        <w:spacing w:after="80" w:before="80"/>
      </w:pPr>
      <w:r>
        <w:rPr>
          <w:rFonts w:ascii="Arial" w:cs="Arial" w:eastAsia="Arial" w:hAnsi="Arial"/>
          <w:sz w:val="22"/>
          <w:szCs w:val="22"/>
        </w:rPr>
        <w:t xml:space="preserve">A reference matrix of road distances in kilometres. Rows are destination districts (~266 of them), columns are the six possible start locations (Tema, Takoradi, Kumasi, Ntensere, Nsawam, Asante-Akim South).</w:t>
      </w:r>
    </w:p>
    <w:p>
      <w:pPr>
        <w:spacing w:after="40" w:before="40"/>
      </w:pPr>
      <w:r>
        <w:t xml:space="preserve"/>
      </w:r>
    </w:p>
    <w:p>
      <w:pPr>
        <w:spacing w:after="80" w:before="80"/>
      </w:pPr>
      <w:r>
        <w:rPr>
          <w:rFonts w:ascii="Arial" w:cs="Arial" w:eastAsia="Arial" w:hAnsi="Arial"/>
          <w:sz w:val="22"/>
          <w:szCs w:val="22"/>
        </w:rPr>
        <w:t xml:space="preserve">Formulas used:</w:t>
      </w:r>
    </w:p>
    <w:p>
      <w:pPr>
        <w:spacing w:after="40" w:before="40"/>
      </w:pPr>
      <w:r>
        <w:t xml:space="preserve"/>
      </w:r>
    </w:p>
    <w:p>
      <w:pPr>
        <w:spacing w:after="60" w:before="60"/>
        <w:ind w:left="720"/>
      </w:pPr>
      <w:r>
        <w:rPr>
          <w:rFonts w:ascii="Arial" w:cs="Arial" w:eastAsia="Arial" w:hAnsi="Arial"/>
          <w:b/>
          <w:bCs/>
          <w:sz w:val="22"/>
          <w:szCs w:val="22"/>
        </w:rPr>
        <w:t xml:space="preserve">=ROW()-1: </w:t>
      </w:r>
      <w:r>
        <w:rPr>
          <w:rFonts w:ascii="Arial" w:cs="Arial" w:eastAsia="Arial" w:hAnsi="Arial"/>
          <w:sz w:val="22"/>
          <w:szCs w:val="22"/>
        </w:rPr>
        <w:t xml:space="preserve">Auto-numbers each district row as a sequential index (used as a lookup key downstream)</w:t>
      </w:r>
    </w:p>
    <w:p>
      <w:pPr>
        <w:spacing w:after="60" w:before="60"/>
        <w:ind w:left="720"/>
      </w:pPr>
      <w:r>
        <w:rPr>
          <w:rFonts w:ascii="Arial" w:cs="Arial" w:eastAsia="Arial" w:hAnsi="Arial"/>
          <w:b/>
          <w:bCs/>
          <w:sz w:val="22"/>
          <w:szCs w:val="22"/>
        </w:rPr>
        <w:t xml:space="preserve">=G2+25.7: </w:t>
      </w:r>
      <w:r>
        <w:rPr>
          <w:rFonts w:ascii="Arial" w:cs="Arial" w:eastAsia="Arial" w:hAnsi="Arial"/>
          <w:sz w:val="22"/>
          <w:szCs w:val="22"/>
        </w:rPr>
        <w:t xml:space="preserve">Ntensere column — Ntensere distance is always derived as Kumasi distance + 25.7 km. This treats Ntensere as a fixed 25.7 km beyond Kumasi, rather than independently surveyed</w:t>
      </w:r>
    </w:p>
    <w:p>
      <w:pPr>
        <w:spacing w:after="60" w:before="60"/>
        <w:ind w:left="720"/>
      </w:pPr>
      <w:r>
        <w:rPr>
          <w:rFonts w:ascii="Arial" w:cs="Arial" w:eastAsia="Arial" w:hAnsi="Arial"/>
          <w:b/>
          <w:bCs/>
          <w:sz w:val="22"/>
          <w:szCs w:val="22"/>
        </w:rPr>
        <w:t xml:space="preserve">=E18-64: </w:t>
      </w:r>
      <w:r>
        <w:rPr>
          <w:rFonts w:ascii="Arial" w:cs="Arial" w:eastAsia="Arial" w:hAnsi="Arial"/>
          <w:sz w:val="22"/>
          <w:szCs w:val="22"/>
        </w:rPr>
        <w:t xml:space="preserve">One special Nsawam cell — distance from that origin calculated as Tema distance minus 64 km</w:t>
      </w:r>
    </w:p>
    <w:p>
      <w:pPr>
        <w:spacing w:after="40" w:before="40"/>
      </w:pPr>
      <w:r>
        <w:t xml:space="preserve"/>
      </w:r>
    </w:p>
    <w:p>
      <w:pPr>
        <w:spacing w:after="80" w:before="80"/>
      </w:pPr>
      <w:r>
        <w:rPr>
          <w:rFonts w:ascii="Arial" w:cs="Arial" w:eastAsia="Arial" w:hAnsi="Arial"/>
          <w:sz w:val="22"/>
          <w:szCs w:val="22"/>
        </w:rPr>
        <w:t xml:space="preserve">When the invoice calculator needs to know how far a trip was, it does an INDEX-MATCH into this table using the trip's From and To fields.</w:t>
      </w:r>
    </w:p>
    <w:p>
      <w:pPr>
        <w:spacing w:after="40" w:before="40"/>
      </w:pPr>
      <w:r>
        <w:t xml:space="preserve"/>
      </w:r>
    </w:p>
    <w:p>
      <w:pPr>
        <w:pStyle w:val="Heading1"/>
        <w:pBdr>
          <w:bottom w:val="single" w:color="2E75B6" w:sz="6" w:space="6"/>
        </w:pBdr>
        <w:spacing w:after="120" w:before="300"/>
      </w:pPr>
      <w:r>
        <w:rPr>
          <w:rFonts w:ascii="Arial" w:cs="Arial" w:eastAsia="Arial" w:hAnsi="Arial"/>
          <w:b/>
          <w:bCs/>
          <w:color w:val="1F4E79"/>
          <w:sz w:val="28"/>
          <w:szCs w:val="28"/>
        </w:rPr>
        <w:t xml:space="preserve">Sheet 3: Key — Rate Card and Name Lookup Dictionaries</w:t>
      </w:r>
    </w:p>
    <w:p>
      <w:pPr>
        <w:spacing w:after="80" w:before="80"/>
      </w:pPr>
      <w:r>
        <w:rPr>
          <w:rFonts w:ascii="Arial" w:cs="Arial" w:eastAsia="Arial" w:hAnsi="Arial"/>
          <w:sz w:val="22"/>
          <w:szCs w:val="22"/>
        </w:rPr>
        <w:t xml:space="preserve">This sheet serves three purposes:</w:t>
      </w:r>
    </w:p>
    <w:p>
      <w:pPr>
        <w:spacing w:after="40" w:before="40"/>
      </w:pPr>
      <w:r>
        <w:t xml:space="preserve"/>
      </w:r>
    </w:p>
    <w:p>
      <w:pPr>
        <w:pStyle w:val="Heading2"/>
        <w:spacing w:after="80" w:before="200"/>
      </w:pPr>
      <w:r>
        <w:rPr>
          <w:rFonts w:ascii="Arial" w:cs="Arial" w:eastAsia="Arial" w:hAnsi="Arial"/>
          <w:b/>
          <w:bCs/>
          <w:color w:val="2E75B6"/>
          <w:sz w:val="24"/>
          <w:szCs w:val="24"/>
        </w:rPr>
        <w:t xml:space="preserve">3a. Base Unit Rates (original 2018 contract rates)</w:t>
      </w:r>
    </w:p>
    <w:p>
      <w:pPr>
        <w:spacing w:after="80" w:before="80"/>
      </w:pPr>
      <w:r>
        <w:rPr>
          <w:rFonts w:ascii="Arial" w:cs="Arial" w:eastAsia="Arial" w:hAnsi="Arial"/>
          <w:sz w:val="22"/>
          <w:szCs w:val="22"/>
        </w:rPr>
        <w:t xml:space="preserve">These are the pre-escalation rates agreed in the original contract:</w:t>
      </w:r>
    </w:p>
    <w:p>
      <w:pPr>
        <w:spacing w:after="40" w:before="40"/>
      </w:pPr>
      <w:r>
        <w:t xml:space="preserve"/>
      </w:r>
    </w:p>
    <w:p>
      <w:pPr>
        <w:spacing w:after="60" w:before="60"/>
        <w:ind w:left="720"/>
      </w:pPr>
      <w:r>
        <w:rPr>
          <w:rFonts w:ascii="Arial" w:cs="Arial" w:eastAsia="Arial" w:hAnsi="Arial"/>
          <w:b/>
          <w:bCs/>
          <w:sz w:val="22"/>
          <w:szCs w:val="22"/>
        </w:rPr>
        <w:t xml:space="preserve">Materials: </w:t>
      </w:r>
      <w:r>
        <w:rPr>
          <w:rFonts w:ascii="Arial" w:cs="Arial" w:eastAsia="Arial" w:hAnsi="Arial"/>
          <w:sz w:val="22"/>
          <w:szCs w:val="22"/>
        </w:rPr>
        <w:t xml:space="preserve">GHC 0.34 per ton per km</w:t>
      </w:r>
    </w:p>
    <w:p>
      <w:pPr>
        <w:spacing w:after="60" w:before="60"/>
        <w:ind w:left="720"/>
      </w:pPr>
      <w:r>
        <w:rPr>
          <w:rFonts w:ascii="Arial" w:cs="Arial" w:eastAsia="Arial" w:hAnsi="Arial"/>
          <w:b/>
          <w:bCs/>
          <w:sz w:val="22"/>
          <w:szCs w:val="22"/>
        </w:rPr>
        <w:t xml:space="preserve">Poles: </w:t>
      </w:r>
      <w:r>
        <w:rPr>
          <w:rFonts w:ascii="Arial" w:cs="Arial" w:eastAsia="Arial" w:hAnsi="Arial"/>
          <w:sz w:val="22"/>
          <w:szCs w:val="22"/>
        </w:rPr>
        <w:t xml:space="preserve">GHC 0.182163 per pole per km; GHC 1.8783375 off-loading per pole</w:t>
      </w:r>
    </w:p>
    <w:p>
      <w:pPr>
        <w:spacing w:after="60" w:before="60"/>
        <w:ind w:left="720"/>
      </w:pPr>
      <w:r>
        <w:rPr>
          <w:rFonts w:ascii="Arial" w:cs="Arial" w:eastAsia="Arial" w:hAnsi="Arial"/>
          <w:b/>
          <w:bCs/>
          <w:sz w:val="22"/>
          <w:szCs w:val="22"/>
        </w:rPr>
        <w:t xml:space="preserve">Stay blocks: </w:t>
      </w:r>
      <w:r>
        <w:rPr>
          <w:rFonts w:ascii="Arial" w:cs="Arial" w:eastAsia="Arial" w:hAnsi="Arial"/>
          <w:sz w:val="22"/>
          <w:szCs w:val="22"/>
        </w:rPr>
        <w:t xml:space="preserve">GHC 0.018525 per stay block per km; GHC 0.234 off-loading per stay block</w:t>
      </w:r>
    </w:p>
    <w:p>
      <w:pPr>
        <w:spacing w:after="60" w:before="60"/>
        <w:ind w:left="720"/>
      </w:pPr>
      <w:r>
        <w:rPr>
          <w:rFonts w:ascii="Arial" w:cs="Arial" w:eastAsia="Arial" w:hAnsi="Arial"/>
          <w:b/>
          <w:bCs/>
          <w:sz w:val="22"/>
          <w:szCs w:val="22"/>
        </w:rPr>
        <w:t xml:space="preserve">40ft truck (materials): </w:t>
      </w:r>
      <w:r>
        <w:rPr>
          <w:rFonts w:ascii="Arial" w:cs="Arial" w:eastAsia="Arial" w:hAnsi="Arial"/>
          <w:sz w:val="22"/>
          <w:szCs w:val="22"/>
        </w:rPr>
        <w:t xml:space="preserve">GHC 225.42 flat off-loading charge</w:t>
      </w:r>
    </w:p>
    <w:p>
      <w:pPr>
        <w:spacing w:after="60" w:before="60"/>
        <w:ind w:left="720"/>
      </w:pPr>
      <w:r>
        <w:rPr>
          <w:rFonts w:ascii="Arial" w:cs="Arial" w:eastAsia="Arial" w:hAnsi="Arial"/>
          <w:b/>
          <w:bCs/>
          <w:sz w:val="22"/>
          <w:szCs w:val="22"/>
        </w:rPr>
        <w:t xml:space="preserve">20ft truck (materials): </w:t>
      </w:r>
      <w:r>
        <w:rPr>
          <w:rFonts w:ascii="Arial" w:cs="Arial" w:eastAsia="Arial" w:hAnsi="Arial"/>
          <w:sz w:val="22"/>
          <w:szCs w:val="22"/>
        </w:rPr>
        <w:t xml:space="preserve">GHC 112.69 flat off-loading charge</w:t>
      </w:r>
    </w:p>
    <w:p>
      <w:pPr>
        <w:spacing w:after="60" w:before="60"/>
        <w:ind w:left="720"/>
      </w:pPr>
      <w:r>
        <w:rPr>
          <w:rFonts w:ascii="Arial" w:cs="Arial" w:eastAsia="Arial" w:hAnsi="Arial"/>
          <w:b/>
          <w:bCs/>
          <w:sz w:val="22"/>
          <w:szCs w:val="22"/>
        </w:rPr>
        <w:t xml:space="preserve">Concrete poles: </w:t>
      </w:r>
      <w:r>
        <w:rPr>
          <w:rFonts w:ascii="Arial" w:cs="Arial" w:eastAsia="Arial" w:hAnsi="Arial"/>
          <w:sz w:val="22"/>
          <w:szCs w:val="22"/>
        </w:rPr>
        <w:t xml:space="preserve">GHC 0.5464875 per km; GHC 5.6350125 off-loading per pole</w:t>
      </w:r>
    </w:p>
    <w:p>
      <w:pPr>
        <w:spacing w:after="40" w:before="40"/>
      </w:pPr>
      <w:r>
        <w:t xml:space="preserve"/>
      </w:r>
    </w:p>
    <w:p>
      <w:pPr>
        <w:pStyle w:val="Heading2"/>
        <w:spacing w:after="80" w:before="200"/>
      </w:pPr>
      <w:r>
        <w:rPr>
          <w:rFonts w:ascii="Arial" w:cs="Arial" w:eastAsia="Arial" w:hAnsi="Arial"/>
          <w:b/>
          <w:bCs/>
          <w:color w:val="2E75B6"/>
          <w:sz w:val="24"/>
          <w:szCs w:val="24"/>
        </w:rPr>
        <w:t xml:space="preserve">3b. Transporter Name Normalizer</w:t>
      </w:r>
    </w:p>
    <w:p>
      <w:pPr>
        <w:spacing w:after="80" w:before="80"/>
      </w:pPr>
      <w:r>
        <w:rPr>
          <w:rFonts w:ascii="Arial" w:cs="Arial" w:eastAsia="Arial" w:hAnsi="Arial"/>
          <w:sz w:val="22"/>
          <w:szCs w:val="22"/>
        </w:rPr>
        <w:t xml:space="preserve">Transporter names in form submissions have no spaces (e.g. 'CUBOSOLUTIONS'). The Key sheet holds the display names alongside their normalized keys using:</w:t>
      </w:r>
    </w:p>
    <w:p>
      <w:pPr>
        <w:shd w:fill="F2F2F2" w:val="clear"/>
        <w:spacing w:after="100" w:before="100"/>
        <w:ind w:left="720"/>
      </w:pPr>
      <w:r>
        <w:rPr>
          <w:rFonts w:ascii="Courier New" w:cs="Courier New" w:eastAsia="Courier New" w:hAnsi="Courier New"/>
          <w:color w:val="333333"/>
          <w:sz w:val="20"/>
          <w:szCs w:val="20"/>
        </w:rPr>
        <w:t xml:space="preserve">=SUBSTITUTE(I22," ","")   →   "CUBO SOLUTIONS" becomes "CUBOSOLUTIONS"</w:t>
      </w:r>
    </w:p>
    <w:p>
      <w:pPr>
        <w:spacing w:after="80" w:before="80"/>
      </w:pPr>
      <w:r>
        <w:rPr>
          <w:rFonts w:ascii="Arial" w:cs="Arial" w:eastAsia="Arial" w:hAnsi="Arial"/>
          <w:sz w:val="22"/>
          <w:szCs w:val="22"/>
        </w:rPr>
        <w:t xml:space="preserve">This allows clean VLOOKUP matching against form-submitted values.</w:t>
      </w:r>
    </w:p>
    <w:p>
      <w:pPr>
        <w:spacing w:after="40" w:before="40"/>
      </w:pPr>
      <w:r>
        <w:t xml:space="preserve"/>
      </w:r>
    </w:p>
    <w:p>
      <w:pPr>
        <w:pStyle w:val="Heading2"/>
        <w:spacing w:after="80" w:before="200"/>
      </w:pPr>
      <w:r>
        <w:rPr>
          <w:rFonts w:ascii="Arial" w:cs="Arial" w:eastAsia="Arial" w:hAnsi="Arial"/>
          <w:b/>
          <w:bCs/>
          <w:color w:val="2E75B6"/>
          <w:sz w:val="24"/>
          <w:szCs w:val="24"/>
        </w:rPr>
        <w:t xml:space="preserve">3c. District Name Normalizer</w:t>
      </w:r>
    </w:p>
    <w:p>
      <w:pPr>
        <w:spacing w:after="80" w:before="80"/>
      </w:pPr>
      <w:r>
        <w:rPr>
          <w:rFonts w:ascii="Arial" w:cs="Arial" w:eastAsia="Arial" w:hAnsi="Arial"/>
          <w:sz w:val="22"/>
          <w:szCs w:val="22"/>
        </w:rPr>
        <w:t xml:space="preserve">Same pattern for district names — 'Asunafo North' becomes 'AsunafoNorth' — to match the destination codes submitted via the form.</w:t>
      </w:r>
    </w:p>
    <w:p>
      <w:pPr>
        <w:spacing w:after="40" w:before="40"/>
      </w:pPr>
      <w:r>
        <w:t xml:space="preserve"/>
      </w:r>
    </w:p>
    <w:p>
      <w:pPr>
        <w:pStyle w:val="Heading1"/>
        <w:pBdr>
          <w:bottom w:val="single" w:color="2E75B6" w:sz="6" w:space="6"/>
        </w:pBdr>
        <w:spacing w:after="120" w:before="300"/>
      </w:pPr>
      <w:r>
        <w:rPr>
          <w:rFonts w:ascii="Arial" w:cs="Arial" w:eastAsia="Arial" w:hAnsi="Arial"/>
          <w:b/>
          <w:bCs/>
          <w:color w:val="1F4E79"/>
          <w:sz w:val="28"/>
          <w:szCs w:val="28"/>
        </w:rPr>
        <w:t xml:space="preserve">Sheet 4: FORMULA 198.6% — The FIDIC Price Escalation Engine</w:t>
      </w:r>
    </w:p>
    <w:p>
      <w:pPr>
        <w:spacing w:after="80" w:before="80"/>
      </w:pPr>
      <w:r>
        <w:rPr>
          <w:rFonts w:ascii="Arial" w:cs="Arial" w:eastAsia="Arial" w:hAnsi="Arial"/>
          <w:sz w:val="22"/>
          <w:szCs w:val="22"/>
        </w:rPr>
        <w:t xml:space="preserve">This sheet implements the standard FIDIC Price Adjustment Formula to account for inflation between the original contract date (2018) and the payment period (2022).</w:t>
      </w:r>
    </w:p>
    <w:p>
      <w:pPr>
        <w:spacing w:after="40" w:before="40"/>
      </w:pPr>
      <w:r>
        <w:t xml:space="preserve"/>
      </w:r>
    </w:p>
    <w:p>
      <w:pPr>
        <w:spacing w:after="80" w:before="80"/>
      </w:pPr>
      <w:r>
        <w:rPr>
          <w:rFonts w:ascii="Arial" w:cs="Arial" w:eastAsia="Arial" w:hAnsi="Arial"/>
          <w:sz w:val="22"/>
          <w:szCs w:val="22"/>
        </w:rPr>
        <w:t xml:space="preserve">The formula:</w:t>
      </w:r>
    </w:p>
    <w:p>
      <w:pPr>
        <w:shd w:fill="F2F2F2" w:val="clear"/>
        <w:spacing w:after="100" w:before="100"/>
        <w:ind w:left="720"/>
      </w:pPr>
      <w:r>
        <w:rPr>
          <w:rFonts w:ascii="Courier New" w:cs="Courier New" w:eastAsia="Courier New" w:hAnsi="Courier New"/>
          <w:color w:val="333333"/>
          <w:sz w:val="20"/>
          <w:szCs w:val="20"/>
        </w:rPr>
        <w:t xml:space="preserve">Pn = Po × (a + b × Wn/Wo + c × Fn/Fo)</w:t>
      </w:r>
    </w:p>
    <w:p>
      <w:pPr>
        <w:spacing w:after="40" w:before="40"/>
      </w:pPr>
      <w:r>
        <w:t xml:space="preserve"/>
      </w:r>
    </w:p>
    <w:p>
      <w:pPr>
        <w:spacing w:after="80" w:before="80"/>
      </w:pPr>
      <w:r>
        <w:rPr>
          <w:rFonts w:ascii="Arial" w:cs="Arial" w:eastAsia="Arial" w:hAnsi="Arial"/>
          <w:sz w:val="22"/>
          <w:szCs w:val="22"/>
        </w:rPr>
        <w:t xml:space="preserve">Where:</w:t>
      </w:r>
    </w:p>
    <w:p>
      <w:pPr>
        <w:spacing w:after="60" w:before="60"/>
        <w:ind w:left="720"/>
      </w:pPr>
      <w:r>
        <w:rPr>
          <w:rFonts w:ascii="Arial" w:cs="Arial" w:eastAsia="Arial" w:hAnsi="Arial"/>
          <w:b/>
          <w:bCs/>
          <w:sz w:val="22"/>
          <w:szCs w:val="22"/>
        </w:rPr>
        <w:t xml:space="preserve">Po: </w:t>
      </w:r>
      <w:r>
        <w:rPr>
          <w:rFonts w:ascii="Arial" w:cs="Arial" w:eastAsia="Arial" w:hAnsi="Arial"/>
          <w:sz w:val="22"/>
          <w:szCs w:val="22"/>
        </w:rPr>
        <w:t xml:space="preserve">Original (2018) contract price</w:t>
      </w:r>
    </w:p>
    <w:p>
      <w:pPr>
        <w:spacing w:after="60" w:before="60"/>
        <w:ind w:left="720"/>
      </w:pPr>
      <w:r>
        <w:rPr>
          <w:rFonts w:ascii="Arial" w:cs="Arial" w:eastAsia="Arial" w:hAnsi="Arial"/>
          <w:b/>
          <w:bCs/>
          <w:sz w:val="22"/>
          <w:szCs w:val="22"/>
        </w:rPr>
        <w:t xml:space="preserve">Pn: </w:t>
      </w:r>
      <w:r>
        <w:rPr>
          <w:rFonts w:ascii="Arial" w:cs="Arial" w:eastAsia="Arial" w:hAnsi="Arial"/>
          <w:sz w:val="22"/>
          <w:szCs w:val="22"/>
        </w:rPr>
        <w:t xml:space="preserve">New (2022) adjusted price</w:t>
      </w:r>
    </w:p>
    <w:p>
      <w:pPr>
        <w:spacing w:after="60" w:before="60"/>
        <w:ind w:left="720"/>
      </w:pPr>
      <w:r>
        <w:rPr>
          <w:rFonts w:ascii="Arial" w:cs="Arial" w:eastAsia="Arial" w:hAnsi="Arial"/>
          <w:b/>
          <w:bCs/>
          <w:sz w:val="22"/>
          <w:szCs w:val="22"/>
        </w:rPr>
        <w:t xml:space="preserve">a = 0.3: </w:t>
      </w:r>
      <w:r>
        <w:rPr>
          <w:rFonts w:ascii="Arial" w:cs="Arial" w:eastAsia="Arial" w:hAnsi="Arial"/>
          <w:sz w:val="22"/>
          <w:szCs w:val="22"/>
        </w:rPr>
        <w:t xml:space="preserve">Fixed component — 30% of the rate is non-adjustable regardless of inflation</w:t>
      </w:r>
    </w:p>
    <w:p>
      <w:pPr>
        <w:spacing w:after="60" w:before="60"/>
        <w:ind w:left="720"/>
      </w:pPr>
      <w:r>
        <w:rPr>
          <w:rFonts w:ascii="Arial" w:cs="Arial" w:eastAsia="Arial" w:hAnsi="Arial"/>
          <w:b/>
          <w:bCs/>
          <w:sz w:val="22"/>
          <w:szCs w:val="22"/>
        </w:rPr>
        <w:t xml:space="preserve">b = 0.3: </w:t>
      </w:r>
      <w:r>
        <w:rPr>
          <w:rFonts w:ascii="Arial" w:cs="Arial" w:eastAsia="Arial" w:hAnsi="Arial"/>
          <w:sz w:val="22"/>
          <w:szCs w:val="22"/>
        </w:rPr>
        <w:t xml:space="preserve">Labour weight — 30% of the rate moves with changes in minimum wage</w:t>
      </w:r>
    </w:p>
    <w:p>
      <w:pPr>
        <w:spacing w:after="60" w:before="60"/>
        <w:ind w:left="720"/>
      </w:pPr>
      <w:r>
        <w:rPr>
          <w:rFonts w:ascii="Arial" w:cs="Arial" w:eastAsia="Arial" w:hAnsi="Arial"/>
          <w:b/>
          <w:bCs/>
          <w:sz w:val="22"/>
          <w:szCs w:val="22"/>
        </w:rPr>
        <w:t xml:space="preserve">c = 0.4: </w:t>
      </w:r>
      <w:r>
        <w:rPr>
          <w:rFonts w:ascii="Arial" w:cs="Arial" w:eastAsia="Arial" w:hAnsi="Arial"/>
          <w:sz w:val="22"/>
          <w:szCs w:val="22"/>
        </w:rPr>
        <w:t xml:space="preserve">Fuel weight — 40% of the rate moves with changes in fuel price</w:t>
      </w:r>
    </w:p>
    <w:p>
      <w:pPr>
        <w:spacing w:after="60" w:before="60"/>
        <w:ind w:left="720"/>
      </w:pPr>
      <w:r>
        <w:rPr>
          <w:rFonts w:ascii="Arial" w:cs="Arial" w:eastAsia="Arial" w:hAnsi="Arial"/>
          <w:b/>
          <w:bCs/>
          <w:sz w:val="22"/>
          <w:szCs w:val="22"/>
        </w:rPr>
        <w:t xml:space="preserve">Wo = GHC 9.68: </w:t>
      </w:r>
      <w:r>
        <w:rPr>
          <w:rFonts w:ascii="Arial" w:cs="Arial" w:eastAsia="Arial" w:hAnsi="Arial"/>
          <w:sz w:val="22"/>
          <w:szCs w:val="22"/>
        </w:rPr>
        <w:t xml:space="preserve">Old minimum wage baseline (Jan–Dec 2018)</w:t>
      </w:r>
    </w:p>
    <w:p>
      <w:pPr>
        <w:spacing w:after="60" w:before="60"/>
        <w:ind w:left="720"/>
      </w:pPr>
      <w:r>
        <w:rPr>
          <w:rFonts w:ascii="Arial" w:cs="Arial" w:eastAsia="Arial" w:hAnsi="Arial"/>
          <w:b/>
          <w:bCs/>
          <w:sz w:val="22"/>
          <w:szCs w:val="22"/>
        </w:rPr>
        <w:t xml:space="preserve">Wn = GHC 21.77: </w:t>
      </w:r>
      <w:r>
        <w:rPr>
          <w:rFonts w:ascii="Arial" w:cs="Arial" w:eastAsia="Arial" w:hAnsi="Arial"/>
          <w:sz w:val="22"/>
          <w:szCs w:val="22"/>
        </w:rPr>
        <w:t xml:space="preserve">New minimum wage (Jan–Dec 2022)</w:t>
      </w:r>
    </w:p>
    <w:p>
      <w:pPr>
        <w:spacing w:after="60" w:before="60"/>
        <w:ind w:left="720"/>
      </w:pPr>
      <w:r>
        <w:rPr>
          <w:rFonts w:ascii="Arial" w:cs="Arial" w:eastAsia="Arial" w:hAnsi="Arial"/>
          <w:b/>
          <w:bCs/>
          <w:sz w:val="22"/>
          <w:szCs w:val="22"/>
        </w:rPr>
        <w:t xml:space="preserve">Fo = GHC 3.73/litre: </w:t>
      </w:r>
      <w:r>
        <w:rPr>
          <w:rFonts w:ascii="Arial" w:cs="Arial" w:eastAsia="Arial" w:hAnsi="Arial"/>
          <w:sz w:val="22"/>
          <w:szCs w:val="22"/>
        </w:rPr>
        <w:t xml:space="preserve">Old diesel price (July 2018)</w:t>
      </w:r>
    </w:p>
    <w:p>
      <w:pPr>
        <w:spacing w:after="60" w:before="60"/>
        <w:ind w:left="720"/>
      </w:pPr>
      <w:r>
        <w:rPr>
          <w:rFonts w:ascii="Arial" w:cs="Arial" w:eastAsia="Arial" w:hAnsi="Arial"/>
          <w:b/>
          <w:bCs/>
          <w:sz w:val="22"/>
          <w:szCs w:val="22"/>
        </w:rPr>
        <w:t xml:space="preserve">Fn = GHC 15.45/litre: </w:t>
      </w:r>
      <w:r>
        <w:rPr>
          <w:rFonts w:ascii="Arial" w:cs="Arial" w:eastAsia="Arial" w:hAnsi="Arial"/>
          <w:sz w:val="22"/>
          <w:szCs w:val="22"/>
        </w:rPr>
        <w:t xml:space="preserve">New diesel price (Oct 2022)</w:t>
      </w:r>
    </w:p>
    <w:p>
      <w:pPr>
        <w:spacing w:after="40" w:before="40"/>
      </w:pPr>
      <w:r>
        <w:t xml:space="preserve"/>
      </w:r>
    </w:p>
    <w:p>
      <w:pPr>
        <w:spacing w:after="80" w:before="80"/>
      </w:pPr>
      <w:r>
        <w:rPr>
          <w:rFonts w:ascii="Arial" w:cs="Arial" w:eastAsia="Arial" w:hAnsi="Arial"/>
          <w:sz w:val="22"/>
          <w:szCs w:val="22"/>
        </w:rPr>
        <w:t xml:space="preserve">The resulting multiplier (named K4 in the sheet) is approximately 2.986, representing a ~198.6% increase — which is where the sheet name comes from. Columns O and P then apply this same factor to every individual line item from the original contract rate schedule.</w:t>
      </w:r>
    </w:p>
    <w:p>
      <w:pPr>
        <w:spacing w:after="40" w:before="40"/>
      </w:pPr>
      <w:r>
        <w:t xml:space="preserve"/>
      </w:r>
    </w:p>
    <w:p>
      <w:pPr>
        <w:pStyle w:val="Heading1"/>
        <w:pBdr>
          <w:bottom w:val="single" w:color="2E75B6" w:sz="6" w:space="6"/>
        </w:pBdr>
        <w:spacing w:after="120" w:before="300"/>
      </w:pPr>
      <w:r>
        <w:rPr>
          <w:rFonts w:ascii="Arial" w:cs="Arial" w:eastAsia="Arial" w:hAnsi="Arial"/>
          <w:b/>
          <w:bCs/>
          <w:color w:val="1F4E79"/>
          <w:sz w:val="28"/>
          <w:szCs w:val="28"/>
        </w:rPr>
        <w:t xml:space="preserve">Sheet 5: Adjustment Table 198.6% — Escalated Rate Schedule</w:t>
      </w:r>
    </w:p>
    <w:p>
      <w:pPr>
        <w:spacing w:after="80" w:before="80"/>
      </w:pPr>
      <w:r>
        <w:rPr>
          <w:rFonts w:ascii="Arial" w:cs="Arial" w:eastAsia="Arial" w:hAnsi="Arial"/>
          <w:sz w:val="22"/>
          <w:szCs w:val="22"/>
        </w:rPr>
        <w:t xml:space="preserve">This sheet takes every base rate from the Key sheet (column F) and multiplies it by the FIDIC factor from the Formula sheet (column G references ='FORMULA 198.6%'!K4). Column H is the result: the rate to actually invoice.</w:t>
      </w:r>
    </w:p>
    <w:p>
      <w:pPr>
        <w:spacing w:after="40" w:before="40"/>
      </w:pPr>
      <w:r>
        <w:t xml:space="preserve"/>
      </w:r>
    </w:p>
    <w:p>
      <w:pPr>
        <w:shd w:fill="F2F2F2" w:val="clear"/>
        <w:spacing w:after="100" w:before="100"/>
        <w:ind w:left="720"/>
      </w:pPr>
      <w:r>
        <w:rPr>
          <w:rFonts w:ascii="Courier New" w:cs="Courier New" w:eastAsia="Courier New" w:hAnsi="Courier New"/>
          <w:color w:val="333333"/>
          <w:sz w:val="20"/>
          <w:szCs w:val="20"/>
        </w:rPr>
        <w:t xml:space="preserve">H7 = F7 × G7   →   Adjusted rate per ton per km = 0.34 × 2.986 ≈ GHC 1.015</w:t>
      </w:r>
    </w:p>
    <w:p>
      <w:pPr>
        <w:spacing w:after="40" w:before="40"/>
      </w:pPr>
      <w:r>
        <w:t xml:space="preserve"/>
      </w:r>
    </w:p>
    <w:p>
      <w:pPr>
        <w:spacing w:after="80" w:before="80"/>
      </w:pPr>
      <w:r>
        <w:rPr>
          <w:rFonts w:ascii="Arial" w:cs="Arial" w:eastAsia="Arial" w:hAnsi="Arial"/>
          <w:sz w:val="22"/>
          <w:szCs w:val="22"/>
        </w:rPr>
        <w:t xml:space="preserve">All rates in the adjustment table follow this pattern (=F×G). Below is the full adjusted rate schedule: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980"/>
        <w:gridCol w:w="2340"/>
      </w:tblGrid>
      <w:tr>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 Rate (GHC)</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Adjusted Rate @ 198.6% (GHC)</w:t>
            </w:r>
          </w:p>
        </w:tc>
      </w:tr>
      <w:tr>
        <w:tc>
          <w:tcPr>
            <w:tcW w:type="dxa" w:w="50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Haulage per ton per km (materials)</w:t>
            </w:r>
          </w:p>
        </w:tc>
        <w:tc>
          <w:tcPr>
            <w:tcW w:type="dxa" w:w="19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0.34</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~1.01</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Haulage per pole per km</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0.182163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~0.541</w:t>
            </w:r>
          </w:p>
        </w:tc>
      </w:tr>
      <w:tr>
        <w:tc>
          <w:tcPr>
            <w:tcW w:type="dxa" w:w="50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Off-loading per pole</w:t>
            </w:r>
          </w:p>
        </w:tc>
        <w:tc>
          <w:tcPr>
            <w:tcW w:type="dxa" w:w="19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1.8783375</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~5.58</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Haulage per stay block per km</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0.018525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~0.055</w:t>
            </w:r>
          </w:p>
        </w:tc>
      </w:tr>
      <w:tr>
        <w:tc>
          <w:tcPr>
            <w:tcW w:type="dxa" w:w="50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Off-loading per stay block</w:t>
            </w:r>
          </w:p>
        </w:tc>
        <w:tc>
          <w:tcPr>
            <w:tcW w:type="dxa" w:w="19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0.234</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~0.695</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Off-loading flat charge (40ft truck)</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225.42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~670</w:t>
            </w:r>
          </w:p>
        </w:tc>
      </w:tr>
      <w:tr>
        <w:tc>
          <w:tcPr>
            <w:tcW w:type="dxa" w:w="50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Off-loading flat charge (20ft truck)</w:t>
            </w:r>
          </w:p>
        </w:tc>
        <w:tc>
          <w:tcPr>
            <w:tcW w:type="dxa" w:w="19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112.69</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~335</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Port-to-warehouse (40ft truck)</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1,080.625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~3,213</w:t>
            </w:r>
          </w:p>
        </w:tc>
      </w:tr>
      <w:tr>
        <w:tc>
          <w:tcPr>
            <w:tcW w:type="dxa" w:w="50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Port-to-warehouse (20ft truck)</w:t>
            </w:r>
          </w:p>
        </w:tc>
        <w:tc>
          <w:tcPr>
            <w:tcW w:type="dxa" w:w="19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540.3125</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~1,606</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Haulage per concrete pole per km</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0.5464875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~1.625</w:t>
            </w:r>
          </w:p>
        </w:tc>
      </w:tr>
      <w:tr>
        <w:tc>
          <w:tcPr>
            <w:tcW w:type="dxa" w:w="50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Off-loading per concrete pole</w:t>
            </w:r>
          </w:p>
        </w:tc>
        <w:tc>
          <w:tcPr>
            <w:tcW w:type="dxa" w:w="198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5.6350125</w:t>
            </w:r>
          </w:p>
        </w:tc>
        <w:tc>
          <w:tcPr>
            <w:tcW w:type="dxa" w:w="234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~16.76</w:t>
            </w:r>
          </w:p>
        </w:tc>
      </w:tr>
    </w:tbl>
    <w:p>
      <w:pPr>
        <w:spacing w:after="40" w:before="40"/>
      </w:pPr>
      <w:r>
        <w:t xml:space="preserve"/>
      </w:r>
    </w:p>
    <w:p>
      <w:pPr>
        <w:spacing w:after="80" w:before="80"/>
      </w:pPr>
      <w:r>
        <w:rPr>
          <w:rFonts w:ascii="Arial" w:cs="Arial" w:eastAsia="Arial" w:hAnsi="Arial"/>
          <w:i/>
          <w:iCs/>
          <w:sz w:val="22"/>
          <w:szCs w:val="22"/>
        </w:rPr>
        <w:t xml:space="preserve">The ~198.6% escalation factor is applied uniformly to all rate types — haulage, off-loading, and port-to-warehouse charges alike.</w:t>
      </w:r>
    </w:p>
    <w:p>
      <w:pPr>
        <w:spacing w:after="40" w:before="40"/>
      </w:pPr>
      <w:r>
        <w:t xml:space="preserve"/>
      </w:r>
    </w:p>
    <w:p>
      <w:pPr>
        <w:pStyle w:val="Heading1"/>
        <w:pBdr>
          <w:bottom w:val="single" w:color="2E75B6" w:sz="6" w:space="6"/>
        </w:pBdr>
        <w:spacing w:after="120" w:before="300"/>
      </w:pPr>
      <w:r>
        <w:rPr>
          <w:rFonts w:ascii="Arial" w:cs="Arial" w:eastAsia="Arial" w:hAnsi="Arial"/>
          <w:b/>
          <w:bCs/>
          <w:color w:val="1F4E79"/>
          <w:sz w:val="28"/>
          <w:szCs w:val="28"/>
        </w:rPr>
        <w:t xml:space="preserve">Sheet 6: Weekly-Fuel — Fuel Price Time Series</w:t>
      </w:r>
    </w:p>
    <w:p>
      <w:pPr>
        <w:spacing w:after="80" w:before="80"/>
      </w:pPr>
      <w:r>
        <w:rPr>
          <w:rFonts w:ascii="Arial" w:cs="Arial" w:eastAsia="Arial" w:hAnsi="Arial"/>
          <w:sz w:val="22"/>
          <w:szCs w:val="22"/>
        </w:rPr>
        <w:t xml:space="preserve">A week-by-week log of Ghana diesel prices in GHC per litre, starting from October 2020. Each row represents one week:</w:t>
      </w:r>
    </w:p>
    <w:p>
      <w:pPr>
        <w:spacing w:after="40" w:before="40"/>
      </w:pPr>
      <w:r>
        <w:t xml:space="preserve"/>
      </w:r>
    </w:p>
    <w:p>
      <w:pPr>
        <w:spacing w:after="60" w:before="60"/>
        <w:ind w:left="720"/>
      </w:pPr>
      <w:r>
        <w:rPr>
          <w:rFonts w:ascii="Arial" w:cs="Arial" w:eastAsia="Arial" w:hAnsi="Arial"/>
          <w:b/>
          <w:bCs/>
          <w:sz w:val="22"/>
          <w:szCs w:val="22"/>
        </w:rPr>
        <w:t xml:space="preserve">Column B: </w:t>
      </w:r>
      <w:r>
        <w:rPr>
          <w:rFonts w:ascii="Arial" w:cs="Arial" w:eastAsia="Arial" w:hAnsi="Arial"/>
          <w:sz w:val="22"/>
          <w:szCs w:val="22"/>
        </w:rPr>
        <w:t xml:space="preserve">Week start date</w:t>
      </w:r>
    </w:p>
    <w:p>
      <w:pPr>
        <w:spacing w:after="60" w:before="60"/>
        <w:ind w:left="720"/>
      </w:pPr>
      <w:r>
        <w:rPr>
          <w:rFonts w:ascii="Arial" w:cs="Arial" w:eastAsia="Arial" w:hAnsi="Arial"/>
          <w:b/>
          <w:bCs/>
          <w:sz w:val="22"/>
          <w:szCs w:val="22"/>
        </w:rPr>
        <w:t xml:space="preserve">Column C: </w:t>
      </w:r>
      <w:r>
        <w:rPr>
          <w:rFonts w:ascii="Arial" w:cs="Arial" w:eastAsia="Arial" w:hAnsi="Arial"/>
          <w:sz w:val="22"/>
          <w:szCs w:val="22"/>
        </w:rPr>
        <w:t xml:space="preserve">Price in GHC per litre</w:t>
      </w:r>
    </w:p>
    <w:p>
      <w:pPr>
        <w:spacing w:after="60" w:before="60"/>
        <w:ind w:left="720"/>
      </w:pPr>
      <w:r>
        <w:rPr>
          <w:rFonts w:ascii="Arial" w:cs="Arial" w:eastAsia="Arial" w:hAnsi="Arial"/>
          <w:b/>
          <w:bCs/>
          <w:sz w:val="22"/>
          <w:szCs w:val="22"/>
        </w:rPr>
        <w:t xml:space="preserve">Column D: </w:t>
      </w:r>
      <w:r>
        <w:rPr>
          <w:rFonts w:ascii="Arial" w:cs="Arial" w:eastAsia="Arial" w:hAnsi="Arial"/>
          <w:sz w:val="22"/>
          <w:szCs w:val="22"/>
        </w:rPr>
        <w:t xml:space="preserve">=N(B2) — converts the date to a numeric serial for use as a lookup key</w:t>
      </w:r>
    </w:p>
    <w:p>
      <w:pPr>
        <w:spacing w:after="40" w:before="40"/>
      </w:pPr>
      <w:r>
        <w:t xml:space="preserve"/>
      </w:r>
    </w:p>
    <w:p>
      <w:pPr>
        <w:spacing w:after="80" w:before="80"/>
      </w:pPr>
      <w:r>
        <w:rPr>
          <w:rFonts w:ascii="Arial" w:cs="Arial" w:eastAsia="Arial" w:hAnsi="Arial"/>
          <w:sz w:val="22"/>
          <w:szCs w:val="22"/>
        </w:rPr>
        <w:t xml:space="preserve">The N() function is used here purely to turn a date into a number so that VLOOKUP/INDEX-MATCH can locate the correct fuel price for any given waybill date. This feeds into any weekly fuel surcharge adjustment that is applied on top of the FIDIC factor — allowing per-trip rates to reflect the actual pump price at the time of the trip, not just a fixed baseline.</w:t>
      </w:r>
    </w:p>
    <w:p>
      <w:pPr>
        <w:spacing w:after="40" w:before="40"/>
      </w:pPr>
      <w:r>
        <w:t xml:space="preserve"/>
      </w:r>
    </w:p>
    <w:p>
      <w:pPr>
        <w:pStyle w:val="Heading1"/>
        <w:pBdr>
          <w:bottom w:val="single" w:color="2E75B6" w:sz="6" w:space="6"/>
        </w:pBdr>
        <w:spacing w:after="120" w:before="300"/>
      </w:pPr>
      <w:r>
        <w:rPr>
          <w:rFonts w:ascii="Arial" w:cs="Arial" w:eastAsia="Arial" w:hAnsi="Arial"/>
          <w:b/>
          <w:bCs/>
          <w:color w:val="1F4E79"/>
          <w:sz w:val="28"/>
          <w:szCs w:val="28"/>
        </w:rPr>
        <w:t xml:space="preserve">Sheet 7: cleaned / CLEANED(BACKUP) — The Invoice Calculator</w:t>
      </w:r>
    </w:p>
    <w:p>
      <w:pPr>
        <w:spacing w:after="80" w:before="80"/>
      </w:pPr>
      <w:r>
        <w:rPr>
          <w:rFonts w:ascii="Arial" w:cs="Arial" w:eastAsia="Arial" w:hAnsi="Arial"/>
          <w:sz w:val="22"/>
          <w:szCs w:val="22"/>
        </w:rPr>
        <w:t xml:space="preserve">This is where everything comes together. Data is pulled from the form responses sheet via QUERY() (in Google Sheets) or IMPORTRANGE(), then enriched with distances and rates, and the haulage cost is computed for each trip.</w:t>
      </w:r>
    </w:p>
    <w:p>
      <w:pPr>
        <w:spacing w:after="40" w:before="40"/>
      </w:pPr>
      <w:r>
        <w:t xml:space="preserve"/>
      </w:r>
    </w:p>
    <w:p>
      <w:pPr>
        <w:pStyle w:val="Heading2"/>
        <w:spacing w:after="80" w:before="200"/>
      </w:pPr>
      <w:r>
        <w:rPr>
          <w:rFonts w:ascii="Arial" w:cs="Arial" w:eastAsia="Arial" w:hAnsi="Arial"/>
          <w:b/>
          <w:bCs/>
          <w:color w:val="2E75B6"/>
          <w:sz w:val="24"/>
          <w:szCs w:val="24"/>
        </w:rPr>
        <w:t xml:space="preserve">Column structure</w:t>
      </w:r>
    </w:p>
    <w:p>
      <w:pPr>
        <w:spacing w:after="60" w:before="60"/>
        <w:ind w:left="720"/>
      </w:pPr>
      <w:r>
        <w:rPr>
          <w:rFonts w:ascii="Arial" w:cs="Arial" w:eastAsia="Arial" w:hAnsi="Arial"/>
          <w:b/>
          <w:bCs/>
          <w:sz w:val="22"/>
          <w:szCs w:val="22"/>
        </w:rPr>
        <w:t xml:space="preserve">A — UUID: </w:t>
      </w:r>
      <w:r>
        <w:rPr>
          <w:rFonts w:ascii="Arial" w:cs="Arial" w:eastAsia="Arial" w:hAnsi="Arial"/>
          <w:sz w:val="22"/>
          <w:szCs w:val="22"/>
        </w:rPr>
        <w:t xml:space="preserve">Unique trip identifier pulled from the form</w:t>
      </w:r>
    </w:p>
    <w:p>
      <w:pPr>
        <w:spacing w:after="60" w:before="60"/>
        <w:ind w:left="720"/>
      </w:pPr>
      <w:r>
        <w:rPr>
          <w:rFonts w:ascii="Arial" w:cs="Arial" w:eastAsia="Arial" w:hAnsi="Arial"/>
          <w:b/>
          <w:bCs/>
          <w:sz w:val="22"/>
          <w:szCs w:val="22"/>
        </w:rPr>
        <w:t xml:space="preserve">C — Category: </w:t>
      </w:r>
      <w:r>
        <w:rPr>
          <w:rFonts w:ascii="Arial" w:cs="Arial" w:eastAsia="Arial" w:hAnsi="Arial"/>
          <w:sz w:val="22"/>
          <w:szCs w:val="22"/>
        </w:rPr>
        <w:t xml:space="preserve">Poles / Material / Concrete Poles</w:t>
      </w:r>
    </w:p>
    <w:p>
      <w:pPr>
        <w:spacing w:after="60" w:before="60"/>
        <w:ind w:left="720"/>
      </w:pPr>
      <w:r>
        <w:rPr>
          <w:rFonts w:ascii="Arial" w:cs="Arial" w:eastAsia="Arial" w:hAnsi="Arial"/>
          <w:b/>
          <w:bCs/>
          <w:sz w:val="22"/>
          <w:szCs w:val="22"/>
        </w:rPr>
        <w:t xml:space="preserve">D — Date: </w:t>
      </w:r>
      <w:r>
        <w:rPr>
          <w:rFonts w:ascii="Arial" w:cs="Arial" w:eastAsia="Arial" w:hAnsi="Arial"/>
          <w:sz w:val="22"/>
          <w:szCs w:val="22"/>
        </w:rPr>
        <w:t xml:space="preserve">Date on the waybill</w:t>
      </w:r>
    </w:p>
    <w:p>
      <w:pPr>
        <w:spacing w:after="60" w:before="60"/>
        <w:ind w:left="720"/>
      </w:pPr>
      <w:r>
        <w:rPr>
          <w:rFonts w:ascii="Arial" w:cs="Arial" w:eastAsia="Arial" w:hAnsi="Arial"/>
          <w:b/>
          <w:bCs/>
          <w:sz w:val="22"/>
          <w:szCs w:val="22"/>
        </w:rPr>
        <w:t xml:space="preserve">E — Waybill No.: </w:t>
      </w:r>
      <w:r>
        <w:rPr>
          <w:rFonts w:ascii="Arial" w:cs="Arial" w:eastAsia="Arial" w:hAnsi="Arial"/>
          <w:sz w:val="22"/>
          <w:szCs w:val="22"/>
        </w:rPr>
        <w:t xml:space="preserve">Waybill reference</w:t>
      </w:r>
    </w:p>
    <w:p>
      <w:pPr>
        <w:spacing w:after="60" w:before="60"/>
        <w:ind w:left="720"/>
      </w:pPr>
      <w:r>
        <w:rPr>
          <w:rFonts w:ascii="Arial" w:cs="Arial" w:eastAsia="Arial" w:hAnsi="Arial"/>
          <w:b/>
          <w:bCs/>
          <w:sz w:val="22"/>
          <w:szCs w:val="22"/>
        </w:rPr>
        <w:t xml:space="preserve">F — Vehicle No.: </w:t>
      </w:r>
      <w:r>
        <w:rPr>
          <w:rFonts w:ascii="Arial" w:cs="Arial" w:eastAsia="Arial" w:hAnsi="Arial"/>
          <w:sz w:val="22"/>
          <w:szCs w:val="22"/>
        </w:rPr>
        <w:t xml:space="preserve">Truck registration</w:t>
      </w:r>
    </w:p>
    <w:p>
      <w:pPr>
        <w:spacing w:after="60" w:before="60"/>
        <w:ind w:left="720"/>
      </w:pPr>
      <w:r>
        <w:rPr>
          <w:rFonts w:ascii="Arial" w:cs="Arial" w:eastAsia="Arial" w:hAnsi="Arial"/>
          <w:b/>
          <w:bCs/>
          <w:sz w:val="22"/>
          <w:szCs w:val="22"/>
        </w:rPr>
        <w:t xml:space="preserve">G — From: </w:t>
      </w:r>
      <w:r>
        <w:rPr>
          <w:rFonts w:ascii="Arial" w:cs="Arial" w:eastAsia="Arial" w:hAnsi="Arial"/>
          <w:sz w:val="22"/>
          <w:szCs w:val="22"/>
        </w:rPr>
        <w:t xml:space="preserve">Start location (warehouse)</w:t>
      </w:r>
    </w:p>
    <w:p>
      <w:pPr>
        <w:spacing w:after="60" w:before="60"/>
        <w:ind w:left="720"/>
      </w:pPr>
      <w:r>
        <w:rPr>
          <w:rFonts w:ascii="Arial" w:cs="Arial" w:eastAsia="Arial" w:hAnsi="Arial"/>
          <w:b/>
          <w:bCs/>
          <w:sz w:val="22"/>
          <w:szCs w:val="22"/>
        </w:rPr>
        <w:t xml:space="preserve">H — To: </w:t>
      </w:r>
      <w:r>
        <w:rPr>
          <w:rFonts w:ascii="Arial" w:cs="Arial" w:eastAsia="Arial" w:hAnsi="Arial"/>
          <w:sz w:val="22"/>
          <w:szCs w:val="22"/>
        </w:rPr>
        <w:t xml:space="preserve">Destination district</w:t>
      </w:r>
    </w:p>
    <w:p>
      <w:pPr>
        <w:spacing w:after="60" w:before="60"/>
        <w:ind w:left="720"/>
      </w:pPr>
      <w:r>
        <w:rPr>
          <w:rFonts w:ascii="Arial" w:cs="Arial" w:eastAsia="Arial" w:hAnsi="Arial"/>
          <w:b/>
          <w:bCs/>
          <w:sz w:val="22"/>
          <w:szCs w:val="22"/>
        </w:rPr>
        <w:t xml:space="preserve">I — Distance (km): </w:t>
      </w:r>
      <w:r>
        <w:rPr>
          <w:rFonts w:ascii="Arial" w:cs="Arial" w:eastAsia="Arial" w:hAnsi="Arial"/>
          <w:sz w:val="22"/>
          <w:szCs w:val="22"/>
        </w:rPr>
        <w:t xml:space="preserve">Looked up from DistanceChart via INDEX-MATCH on (From, To)</w:t>
      </w:r>
    </w:p>
    <w:p>
      <w:pPr>
        <w:spacing w:after="60" w:before="60"/>
        <w:ind w:left="720"/>
      </w:pPr>
      <w:r>
        <w:rPr>
          <w:rFonts w:ascii="Arial" w:cs="Arial" w:eastAsia="Arial" w:hAnsi="Arial"/>
          <w:b/>
          <w:bCs/>
          <w:sz w:val="22"/>
          <w:szCs w:val="22"/>
        </w:rPr>
        <w:t xml:space="preserve">J — Haulage Charge (Pole/Mats): </w:t>
      </w:r>
      <w:r>
        <w:rPr>
          <w:rFonts w:ascii="Arial" w:cs="Arial" w:eastAsia="Arial" w:hAnsi="Arial"/>
          <w:sz w:val="22"/>
          <w:szCs w:val="22"/>
        </w:rPr>
        <w:t xml:space="preserve">Rate per km, from Adjustment Table</w:t>
      </w:r>
    </w:p>
    <w:p>
      <w:pPr>
        <w:spacing w:after="60" w:before="60"/>
        <w:ind w:left="720"/>
      </w:pPr>
      <w:r>
        <w:rPr>
          <w:rFonts w:ascii="Arial" w:cs="Arial" w:eastAsia="Arial" w:hAnsi="Arial"/>
          <w:b/>
          <w:bCs/>
          <w:sz w:val="22"/>
          <w:szCs w:val="22"/>
        </w:rPr>
        <w:t xml:space="preserve">K — Offloading Charge (Pole/Mats): </w:t>
      </w:r>
      <w:r>
        <w:rPr>
          <w:rFonts w:ascii="Arial" w:cs="Arial" w:eastAsia="Arial" w:hAnsi="Arial"/>
          <w:sz w:val="22"/>
          <w:szCs w:val="22"/>
        </w:rPr>
        <w:t xml:space="preserve">Flat offloading charge, from Adjustment Table</w:t>
      </w:r>
    </w:p>
    <w:p>
      <w:pPr>
        <w:spacing w:after="60" w:before="60"/>
        <w:ind w:left="720"/>
      </w:pPr>
      <w:r>
        <w:rPr>
          <w:rFonts w:ascii="Arial" w:cs="Arial" w:eastAsia="Arial" w:hAnsi="Arial"/>
          <w:b/>
          <w:bCs/>
          <w:sz w:val="22"/>
          <w:szCs w:val="22"/>
        </w:rPr>
        <w:t xml:space="preserve">L — Haulage Charge/stay block: </w:t>
      </w:r>
      <w:r>
        <w:rPr>
          <w:rFonts w:ascii="Arial" w:cs="Arial" w:eastAsia="Arial" w:hAnsi="Arial"/>
          <w:sz w:val="22"/>
          <w:szCs w:val="22"/>
        </w:rPr>
        <w:t xml:space="preserve">Rate per km per stay block</w:t>
      </w:r>
    </w:p>
    <w:p>
      <w:pPr>
        <w:spacing w:after="60" w:before="60"/>
        <w:ind w:left="720"/>
      </w:pPr>
      <w:r>
        <w:rPr>
          <w:rFonts w:ascii="Arial" w:cs="Arial" w:eastAsia="Arial" w:hAnsi="Arial"/>
          <w:b/>
          <w:bCs/>
          <w:sz w:val="22"/>
          <w:szCs w:val="22"/>
        </w:rPr>
        <w:t xml:space="preserve">M — Offloading Charge/stay block: </w:t>
      </w:r>
      <w:r>
        <w:rPr>
          <w:rFonts w:ascii="Arial" w:cs="Arial" w:eastAsia="Arial" w:hAnsi="Arial"/>
          <w:sz w:val="22"/>
          <w:szCs w:val="22"/>
        </w:rPr>
        <w:t xml:space="preserve">Flat charge per stay block</w:t>
      </w:r>
    </w:p>
    <w:p>
      <w:pPr>
        <w:spacing w:after="60" w:before="60"/>
        <w:ind w:left="720"/>
      </w:pPr>
      <w:r>
        <w:rPr>
          <w:rFonts w:ascii="Arial" w:cs="Arial" w:eastAsia="Arial" w:hAnsi="Arial"/>
          <w:b/>
          <w:bCs/>
          <w:sz w:val="22"/>
          <w:szCs w:val="22"/>
        </w:rPr>
        <w:t xml:space="preserve">N — No. of Poles: </w:t>
      </w:r>
      <w:r>
        <w:rPr>
          <w:rFonts w:ascii="Arial" w:cs="Arial" w:eastAsia="Arial" w:hAnsi="Arial"/>
          <w:sz w:val="22"/>
          <w:szCs w:val="22"/>
        </w:rPr>
        <w:t xml:space="preserve">Count from form</w:t>
      </w:r>
    </w:p>
    <w:p>
      <w:pPr>
        <w:spacing w:after="60" w:before="60"/>
        <w:ind w:left="720"/>
      </w:pPr>
      <w:r>
        <w:rPr>
          <w:rFonts w:ascii="Arial" w:cs="Arial" w:eastAsia="Arial" w:hAnsi="Arial"/>
          <w:b/>
          <w:bCs/>
          <w:sz w:val="22"/>
          <w:szCs w:val="22"/>
        </w:rPr>
        <w:t xml:space="preserve">O — Truck Size (footer): </w:t>
      </w:r>
      <w:r>
        <w:rPr>
          <w:rFonts w:ascii="Arial" w:cs="Arial" w:eastAsia="Arial" w:hAnsi="Arial"/>
          <w:sz w:val="22"/>
          <w:szCs w:val="22"/>
        </w:rPr>
        <w:t xml:space="preserve">20 or 40, from form</w:t>
      </w:r>
    </w:p>
    <w:p>
      <w:pPr>
        <w:spacing w:after="60" w:before="60"/>
        <w:ind w:left="720"/>
      </w:pPr>
      <w:r>
        <w:rPr>
          <w:rFonts w:ascii="Arial" w:cs="Arial" w:eastAsia="Arial" w:hAnsi="Arial"/>
          <w:b/>
          <w:bCs/>
          <w:sz w:val="22"/>
          <w:szCs w:val="22"/>
        </w:rPr>
        <w:t xml:space="preserve">P — No. of Trips: </w:t>
      </w:r>
      <w:r>
        <w:rPr>
          <w:rFonts w:ascii="Arial" w:cs="Arial" w:eastAsia="Arial" w:hAnsi="Arial"/>
          <w:sz w:val="22"/>
          <w:szCs w:val="22"/>
        </w:rPr>
        <w:t xml:space="preserve">Trip count from form</w:t>
      </w:r>
    </w:p>
    <w:p>
      <w:pPr>
        <w:spacing w:after="60" w:before="60"/>
        <w:ind w:left="720"/>
      </w:pPr>
      <w:r>
        <w:rPr>
          <w:rFonts w:ascii="Arial" w:cs="Arial" w:eastAsia="Arial" w:hAnsi="Arial"/>
          <w:b/>
          <w:bCs/>
          <w:sz w:val="22"/>
          <w:szCs w:val="22"/>
        </w:rPr>
        <w:t xml:space="preserve">Q — No. Stay Blocks: </w:t>
      </w:r>
      <w:r>
        <w:rPr>
          <w:rFonts w:ascii="Arial" w:cs="Arial" w:eastAsia="Arial" w:hAnsi="Arial"/>
          <w:sz w:val="22"/>
          <w:szCs w:val="22"/>
        </w:rPr>
        <w:t xml:space="preserve">Count from form</w:t>
      </w:r>
    </w:p>
    <w:p>
      <w:pPr>
        <w:spacing w:after="60" w:before="60"/>
        <w:ind w:left="720"/>
      </w:pPr>
      <w:r>
        <w:rPr>
          <w:rFonts w:ascii="Arial" w:cs="Arial" w:eastAsia="Arial" w:hAnsi="Arial"/>
          <w:b/>
          <w:bCs/>
          <w:sz w:val="22"/>
          <w:szCs w:val="22"/>
        </w:rPr>
        <w:t xml:space="preserve">R — Haulage Cost: </w:t>
      </w:r>
      <w:r>
        <w:rPr>
          <w:rFonts w:ascii="Arial" w:cs="Arial" w:eastAsia="Arial" w:hAnsi="Arial"/>
          <w:sz w:val="22"/>
          <w:szCs w:val="22"/>
        </w:rPr>
        <w:t xml:space="preserve">The computed invoice amount — see formula below</w:t>
      </w:r>
    </w:p>
    <w:p>
      <w:pPr>
        <w:spacing w:after="40" w:before="40"/>
      </w:pPr>
      <w:r>
        <w:t xml:space="preserve"/>
      </w:r>
    </w:p>
    <w:p>
      <w:pPr>
        <w:pStyle w:val="Heading2"/>
        <w:spacing w:after="80" w:before="200"/>
      </w:pPr>
      <w:r>
        <w:rPr>
          <w:rFonts w:ascii="Arial" w:cs="Arial" w:eastAsia="Arial" w:hAnsi="Arial"/>
          <w:b/>
          <w:bCs/>
          <w:color w:val="2E75B6"/>
          <w:sz w:val="24"/>
          <w:szCs w:val="24"/>
        </w:rPr>
        <w:t xml:space="preserve">The core invoice formula (Column R)</w:t>
      </w:r>
    </w:p>
    <w:p>
      <w:pPr>
        <w:spacing w:after="80" w:before="80"/>
      </w:pPr>
      <w:r>
        <w:rPr>
          <w:rFonts w:ascii="Arial" w:cs="Arial" w:eastAsia="Arial" w:hAnsi="Arial"/>
          <w:sz w:val="22"/>
          <w:szCs w:val="22"/>
        </w:rPr>
        <w:t xml:space="preserve">Three branches, one per cargo category:</w:t>
      </w:r>
    </w:p>
    <w:p>
      <w:pPr>
        <w:spacing w:after="40" w:before="40"/>
      </w:pPr>
      <w:r>
        <w:t xml:space="preserve"/>
      </w:r>
    </w:p>
    <w:p>
      <w:pPr>
        <w:spacing w:after="80" w:before="80"/>
      </w:pPr>
      <w:r>
        <w:rPr>
          <w:rFonts w:ascii="Arial" w:cs="Arial" w:eastAsia="Arial" w:hAnsi="Arial"/>
          <w:b/>
          <w:bCs/>
          <w:sz w:val="22"/>
          <w:szCs w:val="22"/>
        </w:rPr>
        <w:t xml:space="preserve">For Materials:</w:t>
      </w:r>
    </w:p>
    <w:p>
      <w:pPr>
        <w:shd w:fill="F2F2F2" w:val="clear"/>
        <w:spacing w:after="100" w:before="100"/>
        <w:ind w:left="720"/>
      </w:pPr>
      <w:r>
        <w:rPr>
          <w:rFonts w:ascii="Courier New" w:cs="Courier New" w:eastAsia="Courier New" w:hAnsi="Courier New"/>
          <w:color w:val="333333"/>
          <w:sz w:val="20"/>
          <w:szCs w:val="20"/>
        </w:rPr>
        <w:t xml:space="preserve">Haulage Cost = (Distance × HaulageRate × TruckSize_tonnes + OffloadingCharge) × NumberOfTrips</w:t>
      </w:r>
    </w:p>
    <w:p>
      <w:pPr>
        <w:spacing w:after="40" w:before="40"/>
      </w:pPr>
      <w:r>
        <w:t xml:space="preserve"/>
      </w:r>
    </w:p>
    <w:p>
      <w:pPr>
        <w:spacing w:after="80" w:before="80"/>
      </w:pPr>
      <w:r>
        <w:rPr>
          <w:rFonts w:ascii="Arial" w:cs="Arial" w:eastAsia="Arial" w:hAnsi="Arial"/>
          <w:b/>
          <w:bCs/>
          <w:sz w:val="22"/>
          <w:szCs w:val="22"/>
        </w:rPr>
        <w:t xml:space="preserve">For Poles:</w:t>
      </w:r>
    </w:p>
    <w:p>
      <w:pPr>
        <w:shd w:fill="F2F2F2" w:val="clear"/>
        <w:spacing w:after="100" w:before="100"/>
        <w:ind w:left="720"/>
      </w:pPr>
      <w:r>
        <w:rPr>
          <w:rFonts w:ascii="Courier New" w:cs="Courier New" w:eastAsia="Courier New" w:hAnsi="Courier New"/>
          <w:color w:val="333333"/>
          <w:sz w:val="20"/>
          <w:szCs w:val="20"/>
        </w:rPr>
        <w:t xml:space="preserve">Haulage Cost = (HaulageRate × Distance + OffloadingCharge) × NumberOfPoles</w:t>
      </w:r>
    </w:p>
    <w:p>
      <w:pPr>
        <w:shd w:fill="F2F2F2" w:val="clear"/>
        <w:spacing w:after="100" w:before="100"/>
        <w:ind w:left="720"/>
      </w:pPr>
      <w:r>
        <w:rPr>
          <w:rFonts w:ascii="Courier New" w:cs="Courier New" w:eastAsia="Courier New" w:hAnsi="Courier New"/>
          <w:color w:val="333333"/>
          <w:sz w:val="20"/>
          <w:szCs w:val="20"/>
        </w:rPr>
        <w:t xml:space="preserve">             + (StayBlockRate × Distance + StayBlockOffloadCharge) × NumberOfStayBlocks</w:t>
      </w:r>
    </w:p>
    <w:p>
      <w:pPr>
        <w:spacing w:after="40" w:before="40"/>
      </w:pPr>
      <w:r>
        <w:t xml:space="preserve"/>
      </w:r>
    </w:p>
    <w:p>
      <w:pPr>
        <w:spacing w:after="80" w:before="80"/>
      </w:pPr>
      <w:r>
        <w:rPr>
          <w:rFonts w:ascii="Arial" w:cs="Arial" w:eastAsia="Arial" w:hAnsi="Arial"/>
          <w:b/>
          <w:bCs/>
          <w:sz w:val="22"/>
          <w:szCs w:val="22"/>
        </w:rPr>
        <w:t xml:space="preserve">For Concrete Poles:</w:t>
      </w:r>
    </w:p>
    <w:p>
      <w:pPr>
        <w:shd w:fill="F2F2F2" w:val="clear"/>
        <w:spacing w:after="100" w:before="100"/>
        <w:ind w:left="720"/>
      </w:pPr>
      <w:r>
        <w:rPr>
          <w:rFonts w:ascii="Courier New" w:cs="Courier New" w:eastAsia="Courier New" w:hAnsi="Courier New"/>
          <w:color w:val="333333"/>
          <w:sz w:val="20"/>
          <w:szCs w:val="20"/>
        </w:rPr>
        <w:t xml:space="preserve">Haulage Cost = same formula as Poles (different rates)</w:t>
      </w:r>
    </w:p>
    <w:p>
      <w:pPr>
        <w:spacing w:after="40" w:before="40"/>
      </w:pPr>
      <w:r>
        <w:t xml:space="preserve"/>
      </w:r>
    </w:p>
    <w:p>
      <w:pPr>
        <w:spacing w:after="80" w:before="80"/>
      </w:pPr>
      <w:r>
        <w:rPr>
          <w:rFonts w:ascii="Arial" w:cs="Arial" w:eastAsia="Arial" w:hAnsi="Arial"/>
          <w:sz w:val="22"/>
          <w:szCs w:val="22"/>
        </w:rPr>
        <w:t xml:space="preserve">The full formula in Excel notation (from R2):</w:t>
      </w:r>
    </w:p>
    <w:p>
      <w:pPr>
        <w:shd w:fill="F2F2F2" w:val="clear"/>
        <w:spacing w:after="100" w:before="100"/>
        <w:ind w:left="720"/>
      </w:pPr>
      <w:r>
        <w:rPr>
          <w:rFonts w:ascii="Courier New" w:cs="Courier New" w:eastAsia="Courier New" w:hAnsi="Courier New"/>
          <w:color w:val="333333"/>
          <w:sz w:val="20"/>
          <w:szCs w:val="20"/>
        </w:rPr>
        <w:t xml:space="preserve">=IFERROR(IF(category="Material", (I*J*O+K)*P,</w:t>
      </w:r>
    </w:p>
    <w:p>
      <w:pPr>
        <w:shd w:fill="F2F2F2" w:val="clear"/>
        <w:spacing w:after="100" w:before="100"/>
        <w:ind w:left="720"/>
      </w:pPr>
      <w:r>
        <w:rPr>
          <w:rFonts w:ascii="Courier New" w:cs="Courier New" w:eastAsia="Courier New" w:hAnsi="Courier New"/>
          <w:color w:val="333333"/>
          <w:sz w:val="20"/>
          <w:szCs w:val="20"/>
        </w:rPr>
        <w:t xml:space="preserve">  IF(category="Poles", (J*I+K)*N+(L*I+M)*Q,</w:t>
      </w:r>
    </w:p>
    <w:p>
      <w:pPr>
        <w:shd w:fill="F2F2F2" w:val="clear"/>
        <w:spacing w:after="100" w:before="100"/>
        <w:ind w:left="720"/>
      </w:pPr>
      <w:r>
        <w:rPr>
          <w:rFonts w:ascii="Courier New" w:cs="Courier New" w:eastAsia="Courier New" w:hAnsi="Courier New"/>
          <w:color w:val="333333"/>
          <w:sz w:val="20"/>
          <w:szCs w:val="20"/>
        </w:rPr>
        <w:t xml:space="preserve">    IF(category="Concrete Poles", (J*I+K)*N+(L*I+M)*Q, ""))), "")</w:t>
      </w:r>
    </w:p>
    <w:p>
      <w:pPr>
        <w:spacing w:after="40" w:before="40"/>
      </w:pPr>
      <w:r>
        <w:t xml:space="preserve"/>
      </w:r>
    </w:p>
    <w:p>
      <w:pPr>
        <w:spacing w:after="80" w:before="80"/>
      </w:pPr>
      <w:r>
        <w:rPr>
          <w:rFonts w:ascii="Arial" w:cs="Arial" w:eastAsia="Arial" w:hAnsi="Arial"/>
          <w:sz w:val="22"/>
          <w:szCs w:val="22"/>
        </w:rPr>
        <w:t xml:space="preserve">Everything is wrapped in IFERROR(..., "") so missing lookups return blank rather than an error.</w:t>
      </w:r>
    </w:p>
    <w:p>
      <w:pPr>
        <w:spacing w:after="40" w:before="40"/>
      </w:pPr>
      <w:r>
        <w:t xml:space="preserve"/>
      </w:r>
    </w:p>
    <w:p>
      <w:pPr>
        <w:pStyle w:val="Heading1"/>
        <w:pBdr>
          <w:bottom w:val="single" w:color="2E75B6" w:sz="6" w:space="6"/>
        </w:pBdr>
        <w:spacing w:after="120" w:before="300"/>
      </w:pPr>
      <w:r>
        <w:rPr>
          <w:rFonts w:ascii="Arial" w:cs="Arial" w:eastAsia="Arial" w:hAnsi="Arial"/>
          <w:b/>
          <w:bCs/>
          <w:color w:val="1F4E79"/>
          <w:sz w:val="28"/>
          <w:szCs w:val="28"/>
        </w:rPr>
        <w:t xml:space="preserve">How It All Connects</w:t>
      </w:r>
    </w:p>
    <w:p>
      <w:pPr>
        <w:spacing w:after="80" w:before="80"/>
      </w:pPr>
      <w:r>
        <w:rPr>
          <w:rFonts w:ascii="Arial" w:cs="Arial" w:eastAsia="Arial" w:hAnsi="Arial"/>
          <w:sz w:val="22"/>
          <w:szCs w:val="22"/>
        </w:rPr>
        <w:t xml:space="preserve">The sheets form a linear pipeline:</w:t>
      </w:r>
    </w:p>
    <w:p>
      <w:pPr>
        <w:spacing w:after="40" w:before="40"/>
      </w:pPr>
      <w:r>
        <w:t xml:space="preserve"/>
      </w:r>
    </w:p>
    <w:p>
      <w:pPr>
        <w:spacing w:after="80" w:before="80"/>
        <w:ind w:left="360"/>
      </w:pPr>
      <w:r>
        <w:rPr>
          <w:rFonts w:ascii="Arial" w:cs="Arial" w:eastAsia="Arial" w:hAnsi="Arial"/>
          <w:b/>
          <w:bCs/>
          <w:color w:val="2E75B6"/>
          <w:sz w:val="22"/>
          <w:szCs w:val="22"/>
        </w:rPr>
        <w:t xml:space="preserve">Form Responses / haulage</w:t>
      </w:r>
      <w:r>
        <w:rPr>
          <w:rFonts w:ascii="Arial" w:cs="Arial" w:eastAsia="Arial" w:hAnsi="Arial"/>
          <w:sz w:val="22"/>
          <w:szCs w:val="22"/>
        </w:rPr>
        <w:t xml:space="preserve">  →  Raw trip data input</w:t>
      </w:r>
    </w:p>
    <w:p>
      <w:pPr>
        <w:spacing w:after="60" w:before="60"/>
        <w:ind w:left="360"/>
      </w:pPr>
      <w:r>
        <w:rPr>
          <w:rFonts w:ascii="Arial" w:cs="Arial" w:eastAsia="Arial" w:hAnsi="Arial"/>
          <w:b/>
          <w:bCs/>
          <w:color w:val="2E75B6"/>
          <w:sz w:val="22"/>
          <w:szCs w:val="22"/>
        </w:rPr>
        <w:t xml:space="preserve">DistanceChart</w:t>
      </w:r>
      <w:r>
        <w:rPr>
          <w:rFonts w:ascii="Arial" w:cs="Arial" w:eastAsia="Arial" w:hAnsi="Arial"/>
          <w:sz w:val="22"/>
          <w:szCs w:val="22"/>
        </w:rPr>
        <w:t xml:space="preserve">  →  Converts (From, To) to km</w:t>
      </w:r>
    </w:p>
    <w:p>
      <w:pPr>
        <w:spacing w:after="60" w:before="60"/>
        <w:ind w:left="360"/>
      </w:pPr>
      <w:r>
        <w:rPr>
          <w:rFonts w:ascii="Arial" w:cs="Arial" w:eastAsia="Arial" w:hAnsi="Arial"/>
          <w:b/>
          <w:bCs/>
          <w:color w:val="2E75B6"/>
          <w:sz w:val="22"/>
          <w:szCs w:val="22"/>
        </w:rPr>
        <w:t xml:space="preserve">Key</w:t>
      </w:r>
      <w:r>
        <w:rPr>
          <w:rFonts w:ascii="Arial" w:cs="Arial" w:eastAsia="Arial" w:hAnsi="Arial"/>
          <w:sz w:val="22"/>
          <w:szCs w:val="22"/>
        </w:rPr>
        <w:t xml:space="preserve">  →  Holds 2018 contract base rates and name normalizers</w:t>
      </w:r>
    </w:p>
    <w:p>
      <w:pPr>
        <w:spacing w:after="60" w:before="60"/>
        <w:ind w:left="360"/>
      </w:pPr>
      <w:r>
        <w:rPr>
          <w:rFonts w:ascii="Arial" w:cs="Arial" w:eastAsia="Arial" w:hAnsi="Arial"/>
          <w:b/>
          <w:bCs/>
          <w:color w:val="2E75B6"/>
          <w:sz w:val="22"/>
          <w:szCs w:val="22"/>
        </w:rPr>
        <w:t xml:space="preserve">FORMULA 198.6%</w:t>
      </w:r>
      <w:r>
        <w:rPr>
          <w:rFonts w:ascii="Arial" w:cs="Arial" w:eastAsia="Arial" w:hAnsi="Arial"/>
          <w:sz w:val="22"/>
          <w:szCs w:val="22"/>
        </w:rPr>
        <w:t xml:space="preserve">  →  Calculates the FIDIC inflation multiplier (~2.986×)</w:t>
      </w:r>
    </w:p>
    <w:p>
      <w:pPr>
        <w:spacing w:after="60" w:before="60"/>
        <w:ind w:left="360"/>
      </w:pPr>
      <w:r>
        <w:rPr>
          <w:rFonts w:ascii="Arial" w:cs="Arial" w:eastAsia="Arial" w:hAnsi="Arial"/>
          <w:b/>
          <w:bCs/>
          <w:color w:val="2E75B6"/>
          <w:sz w:val="22"/>
          <w:szCs w:val="22"/>
        </w:rPr>
        <w:t xml:space="preserve">Adjustment Table 198.6%</w:t>
      </w:r>
      <w:r>
        <w:rPr>
          <w:rFonts w:ascii="Arial" w:cs="Arial" w:eastAsia="Arial" w:hAnsi="Arial"/>
          <w:sz w:val="22"/>
          <w:szCs w:val="22"/>
        </w:rPr>
        <w:t xml:space="preserve">  →  Applies the multiplier to produce the current rate schedule</w:t>
      </w:r>
    </w:p>
    <w:p>
      <w:pPr>
        <w:spacing w:after="60" w:before="60"/>
        <w:ind w:left="360"/>
      </w:pPr>
      <w:r>
        <w:rPr>
          <w:rFonts w:ascii="Arial" w:cs="Arial" w:eastAsia="Arial" w:hAnsi="Arial"/>
          <w:b/>
          <w:bCs/>
          <w:color w:val="2E75B6"/>
          <w:sz w:val="22"/>
          <w:szCs w:val="22"/>
        </w:rPr>
        <w:t xml:space="preserve">Weekly-Fuel</w:t>
      </w:r>
      <w:r>
        <w:rPr>
          <w:rFonts w:ascii="Arial" w:cs="Arial" w:eastAsia="Arial" w:hAnsi="Arial"/>
          <w:sz w:val="22"/>
          <w:szCs w:val="22"/>
        </w:rPr>
        <w:t xml:space="preserve">  →  Provides per-week fuel prices for trip-level surcharge lookups</w:t>
      </w:r>
    </w:p>
    <w:p>
      <w:pPr>
        <w:spacing w:after="80" w:before="60"/>
        <w:ind w:left="360"/>
      </w:pPr>
      <w:r>
        <w:rPr>
          <w:rFonts w:ascii="Arial" w:cs="Arial" w:eastAsia="Arial" w:hAnsi="Arial"/>
          <w:b/>
          <w:bCs/>
          <w:color w:val="2E75B6"/>
          <w:sz w:val="22"/>
          <w:szCs w:val="22"/>
        </w:rPr>
        <w:t xml:space="preserve">cleaned / CLEANED(BACKUP)</w:t>
      </w:r>
      <w:r>
        <w:rPr>
          <w:rFonts w:ascii="Arial" w:cs="Arial" w:eastAsia="Arial" w:hAnsi="Arial"/>
          <w:sz w:val="22"/>
          <w:szCs w:val="22"/>
        </w:rPr>
        <w:t xml:space="preserve">  →  Combines all of the above to compute the final invoice amount (Column R)</w:t>
      </w:r>
    </w:p>
    <w:p>
      <w:pPr>
        <w:spacing w:after="40" w:before="40"/>
      </w:pPr>
      <w:r>
        <w:t xml:space="preserve"/>
      </w:r>
    </w:p>
    <w:p>
      <w:pPr>
        <w:spacing w:after="80" w:before="80"/>
      </w:pPr>
      <w:r>
        <w:rPr>
          <w:rFonts w:ascii="Arial" w:cs="Arial" w:eastAsia="Arial" w:hAnsi="Arial"/>
          <w:sz w:val="22"/>
          <w:szCs w:val="22"/>
        </w:rPr>
        <w:t xml:space="preserve">The 198.6% figure is not fixed — if the wage or fuel inputs in FORMULA 198.6% are updated, the multiplier recalculates and cascades automatically through the Adjustment Table into every invoice row.</w:t>
      </w:r>
    </w:p>
    <w:p>
      <w:pPr>
        <w:spacing w:after="40" w:before="4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Confidential | Generated </w:t>
    </w:r>
    <w:r>
      <w:rPr>
        <w:rFonts w:ascii="Arial" w:cs="Arial" w:eastAsia="Arial" w:hAnsi="Arial"/>
        <w:color w:val="777777"/>
        <w:sz w:val="18"/>
        <w:szCs w:val="18"/>
      </w:rPr>
      <w:t xml:space="preserve">17 June 2026</w:t>
    </w:r>
    <w:r>
      <w:rPr>
        <w:rFonts w:ascii="Arial" w:cs="Arial" w:eastAsia="Arial" w:hAnsi="Arial"/>
        <w:color w:val="777777"/>
        <w:sz w:val="18"/>
        <w:szCs w:val="18"/>
      </w:rPr>
      <w:t xml:space="preserve">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8"/>
        <w:szCs w:val="18"/>
      </w:rPr>
      <w:t xml:space="preserve">HTMS Haulage Transaction System — Formula Context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2026-06-17T12:28:10.222Z</dcterms:created>
  <dcterms:modified xsi:type="dcterms:W3CDTF">2026-06-17T12:28:10.222Z</dcterms:modified>
</cp:coreProperties>
</file>

<file path=docProps/custom.xml><?xml version="1.0" encoding="utf-8"?>
<Properties xmlns="http://schemas.openxmlformats.org/officeDocument/2006/custom-properties" xmlns:vt="http://schemas.openxmlformats.org/officeDocument/2006/docPropsVTypes"/>
</file>