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ptos" w:hAnsi="Aptos"/>
          <w:b/>
          <w:color w:val="1F4E79"/>
          <w:sz w:val="44"/>
        </w:rPr>
        <w:t>MOEN IMS Phase 2 Data Validation Plan</w:t>
      </w:r>
    </w:p>
    <w:p>
      <w:pPr>
        <w:spacing w:before="0" w:after="200" w:line="259" w:lineRule="auto"/>
      </w:pPr>
      <w:r>
        <w:rPr>
          <w:rFonts w:ascii="Aptos" w:hAnsi="Aptos"/>
          <w:b w:val="0"/>
          <w:color w:val="6B7280"/>
          <w:sz w:val="23"/>
        </w:rPr>
        <w:t>Phase 2: validate imported and live data, then standardize usage so the team can settle on the system.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Document type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Operational remediation plan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Audience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Developers, data owners, storekeepers, schedule officers, and management accounts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Use case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Run fixes in phases while manual workflows continue in parallel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Primary risk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Hidden workflow side effects, query growth, and production/local drift</w:t>
            </w:r>
          </w:p>
        </w:tc>
      </w:tr>
    </w:tbl>
    <w:p/>
    <w:p>
      <w:pPr>
        <w:pStyle w:val="Heading1"/>
      </w:pPr>
      <w:r>
        <w:t>Purpose</w:t>
      </w:r>
    </w:p>
    <w:p>
      <w:pPr>
        <w:spacing w:before="0" w:after="80" w:line="259" w:lineRule="auto"/>
      </w:pPr>
      <w:r>
        <w:t xml:space="preserve">This phase begins after the core workflow is stable. </w:t>
      </w:r>
      <w:r>
        <w:t>The focus is to clean the data, enforce consistency, and make sure what is stored in the system actually matches the business reality.</w:t>
      </w:r>
    </w:p>
    <w:p>
      <w:pPr>
        <w:pStyle w:val="Heading1"/>
      </w:pPr>
      <w:r>
        <w:t>Data Validation Scope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Validate material names, codes, categories, and units against a master list.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Check transport records, receipts, and archived consignments for duplicates or missing links.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Confirm release letters, BOQ entries, and order statuses line up with real business documents.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Remove or quarantine records that cannot be matched to a valid source document.</w:t>
      </w:r>
    </w:p>
    <w:p>
      <w:pPr>
        <w:pStyle w:val="Heading1"/>
      </w:pPr>
      <w:r>
        <w:t>Phase 2 Validation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547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302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Action if invalid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Materials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Every material must have a real name, code, unit, and category.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Normalize it before the system becomes the source of truth.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Transport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Every delivered consignment must link to a transport record and site receipt.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Repair missing relations or quarantine the record.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Receipts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Photos, PDFs, and acknowledgements must be attached to the right receipt.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Re-upload or relink the file in storage.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Orders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Statuses must follow the approved workflow sequence only.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Correct the status and log the change.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Archive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Delivered items should move out of live views and into archive views.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Archive the record and keep it read-only.</w:t>
            </w:r>
          </w:p>
        </w:tc>
      </w:tr>
    </w:tbl>
    <w:p>
      <w:pPr>
        <w:pStyle w:val="Heading1"/>
      </w:pPr>
      <w:r>
        <w:t>Stabilization Outcome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Once validation is complete, the team should stop making structural changes and use the system as the standard workflow.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At that point, only controlled maintenance, bug fixes, and minor enhancements should continue.</w:t>
      </w:r>
    </w:p>
    <w:p>
      <w:pPr>
        <w:spacing w:before="0" w:after="60" w:line="259" w:lineRule="auto"/>
        <w:ind w:left="259" w:hanging="230"/>
      </w:pPr>
      <w:r>
        <w:rPr>
          <w:rFonts w:ascii="Aptos" w:hAnsi="Aptos"/>
          <w:b w:val="0"/>
          <w:color w:val="1F2937"/>
          <w:sz w:val="21"/>
        </w:rPr>
        <w:t>- The aim is to make the app boring in the best way: predictable, trusted, and safe to use every day.</w:t>
      </w:r>
    </w:p>
    <w:p>
      <w:pPr>
        <w:pStyle w:val="Heading1"/>
      </w:pPr>
      <w:r>
        <w:t>Go-Live Gate</w:t>
      </w:r>
    </w:p>
    <w:p>
      <w:pPr>
        <w:pStyle w:val="Heading1"/>
      </w:pPr>
      <w:r>
        <w:t>Do not fully lock in the system until these are true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792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Done</w:t>
            </w:r>
          </w:p>
        </w:tc>
        <w:tc>
          <w:tcPr>
            <w:tcW w:type="dxa" w:w="9576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 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All critical data entities validate against agreed rules.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 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No production data is being overwritten by local testing.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 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The archive, transport, and receipts flows all behave consistently.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[ ]</w:t>
            </w:r>
          </w:p>
        </w:tc>
        <w:tc>
          <w:tcPr>
            <w:tcW w:type="dxa" w:w="9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The team agrees the system is ready to become the main operational path.</w:t>
            </w:r>
          </w:p>
        </w:tc>
      </w:tr>
    </w:tbl>
    <w:sectPr w:rsidR="00FC693F" w:rsidRPr="0006063C" w:rsidSect="00034616">
      <w:pgSz w:w="12240" w:h="15840"/>
      <w:pgMar w:top="1080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B779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