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12" w:space="6"/>
        </w:pBdr>
        <w:spacing w:after="0" w:before="1600"/>
      </w:pPr>
      <w:r>
        <w:rPr>
          <w:b/>
          <w:bCs/>
          <w:color w:val="2E75B6"/>
          <w:sz w:val="22"/>
          <w:szCs w:val="22"/>
        </w:rPr>
        <w:t xml:space="preserve">MOEN INTEGRATED ENERGY PROJECT SYSTEM</w:t>
      </w:r>
    </w:p>
    <w:p>
      <w:pPr>
        <w:spacing w:after="120" w:before="240"/>
      </w:pPr>
      <w:r>
        <w:rPr>
          <w:b/>
          <w:bCs/>
          <w:color w:val="1F3864"/>
          <w:sz w:val="48"/>
          <w:szCs w:val="48"/>
        </w:rPr>
        <w:t xml:space="preserve">Current System Workflow, Email Alerts</w:t>
      </w:r>
    </w:p>
    <w:p>
      <w:pPr>
        <w:spacing w:after="300"/>
      </w:pPr>
      <w:r>
        <w:rPr>
          <w:b/>
          <w:bCs/>
          <w:color w:val="1F3864"/>
          <w:sz w:val="48"/>
          <w:szCs w:val="48"/>
        </w:rPr>
        <w:t xml:space="preserve">&amp; Document Automation</w:t>
      </w:r>
    </w:p>
    <w:p>
      <w:pPr>
        <w:spacing w:after="600"/>
      </w:pPr>
      <w:r>
        <w:rPr>
          <w:i/>
          <w:iCs/>
          <w:color w:val="5A5A5A"/>
          <w:sz w:val="26"/>
          <w:szCs w:val="26"/>
        </w:rPr>
        <w:t xml:space="preserve">A technical brief on the request-to-BoQ-deduction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1F3864" w:val="clear"/>
            <w:tcMar>
              <w:top w:type="dxa" w:w="90"/>
              <w:left w:type="dxa" w:w="130"/>
              <w:bottom w:type="dxa" w:w="90"/>
              <w:right w:type="dxa" w:w="120"/>
            </w:tcMar>
          </w:tcPr>
          <w:p>
            <w:r>
              <w:rPr>
                <w:b/>
                <w:bCs/>
                <w:color w:val="FFFFFF"/>
                <w:sz w:val="20"/>
                <w:szCs w:val="20"/>
              </w:rPr>
              <w:t xml:space="preserve">Document</w:t>
            </w:r>
          </w:p>
        </w:tc>
        <w:tc>
          <w:tcPr>
            <w:tcW w:type="dxa" w:w="6760"/>
            <w:shd w:fill="FFFFFF" w:val="clear"/>
            <w:tcMar>
              <w:top w:type="dxa" w:w="90"/>
              <w:left w:type="dxa" w:w="130"/>
              <w:bottom w:type="dxa" w:w="90"/>
              <w:right w:type="dxa" w:w="120"/>
            </w:tcMar>
          </w:tcPr>
          <w:p>
            <w:r>
              <w:rPr>
                <w:sz w:val="20"/>
                <w:szCs w:val="20"/>
              </w:rPr>
              <w:t xml:space="preserve">Technical brief</w:t>
            </w:r>
          </w:p>
        </w:tc>
      </w:tr>
      <w:tr>
        <w:tc>
          <w:tcPr>
            <w:tcW w:type="dxa" w:w="2600"/>
            <w:shd w:fill="1F3864" w:val="clear"/>
            <w:tcMar>
              <w:top w:type="dxa" w:w="90"/>
              <w:left w:type="dxa" w:w="130"/>
              <w:bottom w:type="dxa" w:w="90"/>
              <w:right w:type="dxa" w:w="120"/>
            </w:tcMar>
          </w:tcPr>
          <w:p>
            <w:r>
              <w:rPr>
                <w:b/>
                <w:bCs/>
                <w:color w:val="FFFFFF"/>
                <w:sz w:val="20"/>
                <w:szCs w:val="20"/>
              </w:rPr>
              <w:t xml:space="preserve">System</w:t>
            </w:r>
          </w:p>
        </w:tc>
        <w:tc>
          <w:tcPr>
            <w:tcW w:type="dxa" w:w="6760"/>
            <w:shd w:fill="EEF2F8" w:val="clear"/>
            <w:tcMar>
              <w:top w:type="dxa" w:w="90"/>
              <w:left w:type="dxa" w:w="130"/>
              <w:bottom w:type="dxa" w:w="90"/>
              <w:right w:type="dxa" w:w="120"/>
            </w:tcMar>
          </w:tcPr>
          <w:p>
            <w:r>
              <w:rPr>
                <w:sz w:val="20"/>
                <w:szCs w:val="20"/>
              </w:rPr>
              <w:t xml:space="preserve">MOEN-IMS — Integrated Energy Project System (IEPS)</w:t>
            </w:r>
          </w:p>
        </w:tc>
      </w:tr>
      <w:tr>
        <w:tc>
          <w:tcPr>
            <w:tcW w:type="dxa" w:w="2600"/>
            <w:shd w:fill="1F3864" w:val="clear"/>
            <w:tcMar>
              <w:top w:type="dxa" w:w="90"/>
              <w:left w:type="dxa" w:w="130"/>
              <w:bottom w:type="dxa" w:w="90"/>
              <w:right w:type="dxa" w:w="120"/>
            </w:tcMar>
          </w:tcPr>
          <w:p>
            <w:r>
              <w:rPr>
                <w:b/>
                <w:bCs/>
                <w:color w:val="FFFFFF"/>
                <w:sz w:val="20"/>
                <w:szCs w:val="20"/>
              </w:rPr>
              <w:t xml:space="preserve">Scope</w:t>
            </w:r>
          </w:p>
        </w:tc>
        <w:tc>
          <w:tcPr>
            <w:tcW w:type="dxa" w:w="6760"/>
            <w:shd w:fill="FFFFFF" w:val="clear"/>
            <w:tcMar>
              <w:top w:type="dxa" w:w="90"/>
              <w:left w:type="dxa" w:w="130"/>
              <w:bottom w:type="dxa" w:w="90"/>
              <w:right w:type="dxa" w:w="120"/>
            </w:tcMar>
          </w:tcPr>
          <w:p>
            <w:r>
              <w:rPr>
                <w:sz w:val="20"/>
                <w:szCs w:val="20"/>
              </w:rPr>
              <w:t xml:space="preserve">End-to-end workflow, from material request to Bill of Quantity deduction</w:t>
            </w:r>
          </w:p>
        </w:tc>
      </w:tr>
      <w:tr>
        <w:tc>
          <w:tcPr>
            <w:tcW w:type="dxa" w:w="2600"/>
            <w:shd w:fill="1F3864" w:val="clear"/>
            <w:tcMar>
              <w:top w:type="dxa" w:w="90"/>
              <w:left w:type="dxa" w:w="130"/>
              <w:bottom w:type="dxa" w:w="90"/>
              <w:right w:type="dxa" w:w="120"/>
            </w:tcMar>
          </w:tcPr>
          <w:p>
            <w:r>
              <w:rPr>
                <w:b/>
                <w:bCs/>
                <w:color w:val="FFFFFF"/>
                <w:sz w:val="20"/>
                <w:szCs w:val="20"/>
              </w:rPr>
              <w:t xml:space="preserve">Audience</w:t>
            </w:r>
          </w:p>
        </w:tc>
        <w:tc>
          <w:tcPr>
            <w:tcW w:type="dxa" w:w="6760"/>
            <w:shd w:fill="EEF2F8" w:val="clear"/>
            <w:tcMar>
              <w:top w:type="dxa" w:w="90"/>
              <w:left w:type="dxa" w:w="130"/>
              <w:bottom w:type="dxa" w:w="90"/>
              <w:right w:type="dxa" w:w="120"/>
            </w:tcMar>
          </w:tcPr>
          <w:p>
            <w:r>
              <w:rPr>
                <w:sz w:val="20"/>
                <w:szCs w:val="20"/>
              </w:rPr>
              <w:t xml:space="preserve">Project management and technical stakeholders</w:t>
            </w:r>
          </w:p>
        </w:tc>
      </w:tr>
      <w:tr>
        <w:tc>
          <w:tcPr>
            <w:tcW w:type="dxa" w:w="2600"/>
            <w:shd w:fill="1F3864" w:val="clear"/>
            <w:tcMar>
              <w:top w:type="dxa" w:w="90"/>
              <w:left w:type="dxa" w:w="130"/>
              <w:bottom w:type="dxa" w:w="90"/>
              <w:right w:type="dxa" w:w="120"/>
            </w:tcMar>
          </w:tcPr>
          <w:p>
            <w:r>
              <w:rPr>
                <w:b/>
                <w:bCs/>
                <w:color w:val="FFFFFF"/>
                <w:sz w:val="20"/>
                <w:szCs w:val="20"/>
              </w:rPr>
              <w:t xml:space="preserve">Prepared by</w:t>
            </w:r>
          </w:p>
        </w:tc>
        <w:tc>
          <w:tcPr>
            <w:tcW w:type="dxa" w:w="6760"/>
            <w:shd w:fill="FFFFFF" w:val="clear"/>
            <w:tcMar>
              <w:top w:type="dxa" w:w="90"/>
              <w:left w:type="dxa" w:w="130"/>
              <w:bottom w:type="dxa" w:w="90"/>
              <w:right w:type="dxa" w:w="120"/>
            </w:tcMar>
          </w:tcPr>
          <w:p>
            <w:r>
              <w:rPr>
                <w:sz w:val="20"/>
                <w:szCs w:val="20"/>
              </w:rPr>
              <w:t xml:space="preserve">Leslie Nii Adjei</w:t>
            </w:r>
          </w:p>
        </w:tc>
      </w:tr>
      <w:tr>
        <w:tc>
          <w:tcPr>
            <w:tcW w:type="dxa" w:w="2600"/>
            <w:shd w:fill="1F3864" w:val="clear"/>
            <w:tcMar>
              <w:top w:type="dxa" w:w="90"/>
              <w:left w:type="dxa" w:w="130"/>
              <w:bottom w:type="dxa" w:w="90"/>
              <w:right w:type="dxa" w:w="120"/>
            </w:tcMar>
          </w:tcPr>
          <w:p>
            <w:r>
              <w:rPr>
                <w:b/>
                <w:bCs/>
                <w:color w:val="FFFFFF"/>
                <w:sz w:val="20"/>
                <w:szCs w:val="20"/>
              </w:rPr>
              <w:t xml:space="preserve">Date</w:t>
            </w:r>
          </w:p>
        </w:tc>
        <w:tc>
          <w:tcPr>
            <w:tcW w:type="dxa" w:w="6760"/>
            <w:shd w:fill="EEF2F8" w:val="clear"/>
            <w:tcMar>
              <w:top w:type="dxa" w:w="90"/>
              <w:left w:type="dxa" w:w="130"/>
              <w:bottom w:type="dxa" w:w="90"/>
              <w:right w:type="dxa" w:w="120"/>
            </w:tcMar>
          </w:tcPr>
          <w:p>
            <w:r>
              <w:rPr>
                <w:sz w:val="20"/>
                <w:szCs w:val="20"/>
              </w:rPr>
              <w:t xml:space="preserve">24 May 2026</w:t>
            </w:r>
          </w:p>
        </w:tc>
      </w:tr>
      <w:tr>
        <w:tc>
          <w:tcPr>
            <w:tcW w:type="dxa" w:w="2600"/>
            <w:shd w:fill="1F3864" w:val="clear"/>
            <w:tcMar>
              <w:top w:type="dxa" w:w="90"/>
              <w:left w:type="dxa" w:w="130"/>
              <w:bottom w:type="dxa" w:w="90"/>
              <w:right w:type="dxa" w:w="120"/>
            </w:tcMar>
          </w:tcPr>
          <w:p>
            <w:r>
              <w:rPr>
                <w:b/>
                <w:bCs/>
                <w:color w:val="FFFFFF"/>
                <w:sz w:val="20"/>
                <w:szCs w:val="20"/>
              </w:rPr>
              <w:t xml:space="preserve">Version</w:t>
            </w:r>
          </w:p>
        </w:tc>
        <w:tc>
          <w:tcPr>
            <w:tcW w:type="dxa" w:w="6760"/>
            <w:shd w:fill="FFFFFF" w:val="clear"/>
            <w:tcMar>
              <w:top w:type="dxa" w:w="90"/>
              <w:left w:type="dxa" w:w="130"/>
              <w:bottom w:type="dxa" w:w="90"/>
              <w:right w:type="dxa" w:w="120"/>
            </w:tcMar>
          </w:tcPr>
          <w:p>
            <w:r>
              <w:rPr>
                <w:sz w:val="20"/>
                <w:szCs w:val="20"/>
              </w:rPr>
              <w:t xml:space="preserve">1.0  —  reflects the current (May 2026) build</w:t>
            </w:r>
          </w:p>
        </w:tc>
      </w:tr>
    </w:tbl>
    <w:p>
      <w:r>
        <w:br w:type="page"/>
      </w:r>
    </w:p>
    <w:p>
      <w:pPr>
        <w:spacing w:after="160"/>
      </w:pPr>
      <w:r>
        <w:rPr>
          <w:b/>
          <w:bCs/>
          <w:color w:val="1F3864"/>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40" w:line="300"/>
      </w:pPr>
      <w:r>
        <w:rPr>
          <w:sz w:val="22"/>
          <w:szCs w:val="22"/>
        </w:rPr>
        <w:t xml:space="preserve">This brief sets out how the MOEN Integrated Energy Project System (MOEN-IMS) currently moves materials from an initial request through to the point where the issued quantity is posted against a project's Bill of Quantity (BoQ). It is written for a mixed audience of project managers and technical staff.</w:t>
      </w:r>
    </w:p>
    <w:p>
      <w:pPr>
        <w:spacing w:after="140" w:line="300"/>
      </w:pPr>
      <w:r>
        <w:rPr>
          <w:sz w:val="22"/>
          <w:szCs w:val="22"/>
        </w:rPr>
        <w:t xml:space="preserve">It covers three things: the </w:t>
      </w:r>
      <w:r>
        <w:rPr>
          <w:b/>
          <w:bCs/>
          <w:sz w:val="22"/>
          <w:szCs w:val="22"/>
        </w:rPr>
        <w:t xml:space="preserve">current request-to-BoQ-deduction workflow</w:t>
      </w:r>
      <w:r>
        <w:rPr>
          <w:sz w:val="22"/>
          <w:szCs w:val="22"/>
        </w:rPr>
        <w:t xml:space="preserve">; the </w:t>
      </w:r>
      <w:r>
        <w:rPr>
          <w:b/>
          <w:bCs/>
          <w:sz w:val="22"/>
          <w:szCs w:val="22"/>
        </w:rPr>
        <w:t xml:space="preserve">email alert that now accompanies every step</w:t>
      </w:r>
      <w:r>
        <w:rPr>
          <w:sz w:val="22"/>
          <w:szCs w:val="22"/>
        </w:rPr>
        <w:t xml:space="preserve"> of that workflow; and the new </w:t>
      </w:r>
      <w:r>
        <w:rPr>
          <w:b/>
          <w:bCs/>
          <w:sz w:val="22"/>
          <w:szCs w:val="22"/>
        </w:rPr>
        <w:t xml:space="preserve">document-automation capability</w:t>
      </w:r>
      <w:r>
        <w:rPr>
          <w:sz w:val="22"/>
          <w:szCs w:val="22"/>
        </w:rPr>
        <w:t xml:space="preserve"> that generates approval memos and release letters automatically.</w:t>
      </w:r>
    </w:p>
    <w:p>
      <w:pPr>
        <w:spacing w:after="240" w:line="300"/>
      </w:pPr>
      <w:r>
        <w:rPr>
          <w:sz w:val="22"/>
          <w:szCs w:val="22"/>
        </w:rPr>
        <w:t xml:space="preserve">Two changes define the current build. Previously, approval memos and release letters were typed by hand for every release, and staff were notified only inside the application. The system now generates those documents in a single action and pushes an email notification at each handover, so no step depends on someone remembering to check a screen.</w:t>
      </w:r>
    </w:p>
    <w:p>
      <w:pPr>
        <w:pStyle w:val="Heading1"/>
      </w:pPr>
      <w:r>
        <w:t xml:space="preserve">2.  Workflow at a glance</w:t>
      </w:r>
    </w:p>
    <w:p>
      <w:pPr>
        <w:spacing w:after="140" w:line="300"/>
      </w:pPr>
      <w:r>
        <w:rPr>
          <w:sz w:val="22"/>
          <w:szCs w:val="22"/>
        </w:rPr>
        <w:t xml:space="preserve">The table below summarises the nine stages a material release passes through. Each stage is described in detail in Section 3.</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560"/>
        <w:gridCol w:w="2550"/>
        <w:gridCol w:w="2450"/>
        <w:gridCol w:w="3800"/>
      </w:tblGrid>
      <w:tr>
        <w:trPr>
          <w:tblHeader/>
        </w:trPr>
        <w:tc>
          <w:tcPr>
            <w:tcW w:type="dxa" w:w="560"/>
            <w:shd w:fill="1F3864" w:val="clear"/>
            <w:tcMar>
              <w:top w:type="dxa" w:w="90"/>
              <w:left w:type="dxa" w:w="120"/>
              <w:bottom w:type="dxa" w:w="90"/>
              <w:right w:type="dxa" w:w="120"/>
            </w:tcMar>
            <w:vAlign w:val="center"/>
          </w:tcPr>
          <w:p>
            <w:r>
              <w:rPr>
                <w:b/>
                <w:bCs/>
                <w:color w:val="FFFFFF"/>
                <w:sz w:val="20"/>
                <w:szCs w:val="20"/>
              </w:rPr>
              <w:t xml:space="preserve">#</w:t>
            </w:r>
          </w:p>
        </w:tc>
        <w:tc>
          <w:tcPr>
            <w:tcW w:type="dxa" w:w="2550"/>
            <w:shd w:fill="1F3864" w:val="clear"/>
            <w:tcMar>
              <w:top w:type="dxa" w:w="90"/>
              <w:left w:type="dxa" w:w="120"/>
              <w:bottom w:type="dxa" w:w="90"/>
              <w:right w:type="dxa" w:w="120"/>
            </w:tcMar>
            <w:vAlign w:val="center"/>
          </w:tcPr>
          <w:p>
            <w:r>
              <w:rPr>
                <w:b/>
                <w:bCs/>
                <w:color w:val="FFFFFF"/>
                <w:sz w:val="20"/>
                <w:szCs w:val="20"/>
              </w:rPr>
              <w:t xml:space="preserve">Stage</w:t>
            </w:r>
          </w:p>
        </w:tc>
        <w:tc>
          <w:tcPr>
            <w:tcW w:type="dxa" w:w="2450"/>
            <w:shd w:fill="1F3864" w:val="clear"/>
            <w:tcMar>
              <w:top w:type="dxa" w:w="90"/>
              <w:left w:type="dxa" w:w="120"/>
              <w:bottom w:type="dxa" w:w="90"/>
              <w:right w:type="dxa" w:w="120"/>
            </w:tcMar>
            <w:vAlign w:val="center"/>
          </w:tcPr>
          <w:p>
            <w:r>
              <w:rPr>
                <w:b/>
                <w:bCs/>
                <w:color w:val="FFFFFF"/>
                <w:sz w:val="20"/>
                <w:szCs w:val="20"/>
              </w:rPr>
              <w:t xml:space="preserve">Owner</w:t>
            </w:r>
          </w:p>
        </w:tc>
        <w:tc>
          <w:tcPr>
            <w:tcW w:type="dxa" w:w="3800"/>
            <w:shd w:fill="1F3864" w:val="clear"/>
            <w:tcMar>
              <w:top w:type="dxa" w:w="90"/>
              <w:left w:type="dxa" w:w="120"/>
              <w:bottom w:type="dxa" w:w="90"/>
              <w:right w:type="dxa" w:w="120"/>
            </w:tcMar>
            <w:vAlign w:val="center"/>
          </w:tcPr>
          <w:p>
            <w:r>
              <w:rPr>
                <w:b/>
                <w:bCs/>
                <w:color w:val="FFFFFF"/>
                <w:sz w:val="20"/>
                <w:szCs w:val="20"/>
              </w:rPr>
              <w:t xml:space="preserve">Outcome</w:t>
            </w:r>
          </w:p>
        </w:tc>
      </w:tr>
      <w:tr>
        <w:tc>
          <w:tcPr>
            <w:tcW w:type="dxa" w:w="560"/>
            <w:shd w:fill="FFFFFF" w:val="clear"/>
            <w:tcMar>
              <w:top w:type="dxa" w:w="80"/>
              <w:left w:type="dxa" w:w="120"/>
              <w:bottom w:type="dxa" w:w="80"/>
              <w:right w:type="dxa" w:w="120"/>
            </w:tcMar>
            <w:vAlign w:val="center"/>
          </w:tcPr>
          <w:p>
            <w:r>
              <w:rPr>
                <w:b w:val="false"/>
                <w:bCs w:val="false"/>
                <w:sz w:val="19"/>
                <w:szCs w:val="19"/>
              </w:rPr>
              <w:t xml:space="preserve">1</w:t>
            </w:r>
          </w:p>
        </w:tc>
        <w:tc>
          <w:tcPr>
            <w:tcW w:type="dxa" w:w="2550"/>
            <w:shd w:fill="FFFFFF" w:val="clear"/>
            <w:tcMar>
              <w:top w:type="dxa" w:w="80"/>
              <w:left w:type="dxa" w:w="120"/>
              <w:bottom w:type="dxa" w:w="80"/>
              <w:right w:type="dxa" w:w="120"/>
            </w:tcMar>
            <w:vAlign w:val="center"/>
          </w:tcPr>
          <w:p>
            <w:r>
              <w:rPr>
                <w:b w:val="false"/>
                <w:bCs w:val="false"/>
                <w:sz w:val="19"/>
                <w:szCs w:val="19"/>
              </w:rPr>
              <w:t xml:space="preserve">Material request raised</w:t>
            </w:r>
          </w:p>
        </w:tc>
        <w:tc>
          <w:tcPr>
            <w:tcW w:type="dxa" w:w="2450"/>
            <w:shd w:fill="FFFFFF" w:val="clear"/>
            <w:tcMar>
              <w:top w:type="dxa" w:w="80"/>
              <w:left w:type="dxa" w:w="120"/>
              <w:bottom w:type="dxa" w:w="80"/>
              <w:right w:type="dxa" w:w="120"/>
            </w:tcMar>
            <w:vAlign w:val="center"/>
          </w:tcPr>
          <w:p>
            <w:r>
              <w:rPr>
                <w:b w:val="false"/>
                <w:bCs w:val="false"/>
                <w:sz w:val="19"/>
                <w:szCs w:val="19"/>
              </w:rPr>
              <w:t xml:space="preserve">Schedule Officer</w:t>
            </w:r>
          </w:p>
        </w:tc>
        <w:tc>
          <w:tcPr>
            <w:tcW w:type="dxa" w:w="3800"/>
            <w:shd w:fill="FFFFFF" w:val="clear"/>
            <w:tcMar>
              <w:top w:type="dxa" w:w="80"/>
              <w:left w:type="dxa" w:w="120"/>
              <w:bottom w:type="dxa" w:w="80"/>
              <w:right w:type="dxa" w:w="120"/>
            </w:tcMar>
            <w:vAlign w:val="center"/>
          </w:tcPr>
          <w:p>
            <w:r>
              <w:rPr>
                <w:b w:val="false"/>
                <w:bCs w:val="false"/>
                <w:sz w:val="19"/>
                <w:szCs w:val="19"/>
              </w:rPr>
              <w:t xml:space="preserve">Request logged; warehouse stock soft-reserved</w:t>
            </w:r>
          </w:p>
        </w:tc>
      </w:tr>
      <w:tr>
        <w:tc>
          <w:tcPr>
            <w:tcW w:type="dxa" w:w="560"/>
            <w:shd w:fill="EEF2F8" w:val="clear"/>
            <w:tcMar>
              <w:top w:type="dxa" w:w="80"/>
              <w:left w:type="dxa" w:w="120"/>
              <w:bottom w:type="dxa" w:w="80"/>
              <w:right w:type="dxa" w:w="120"/>
            </w:tcMar>
            <w:vAlign w:val="center"/>
          </w:tcPr>
          <w:p>
            <w:r>
              <w:rPr>
                <w:b w:val="false"/>
                <w:bCs w:val="false"/>
                <w:sz w:val="19"/>
                <w:szCs w:val="19"/>
              </w:rPr>
              <w:t xml:space="preserve">2</w:t>
            </w:r>
          </w:p>
        </w:tc>
        <w:tc>
          <w:tcPr>
            <w:tcW w:type="dxa" w:w="2550"/>
            <w:shd w:fill="EEF2F8" w:val="clear"/>
            <w:tcMar>
              <w:top w:type="dxa" w:w="80"/>
              <w:left w:type="dxa" w:w="120"/>
              <w:bottom w:type="dxa" w:w="80"/>
              <w:right w:type="dxa" w:w="120"/>
            </w:tcMar>
            <w:vAlign w:val="center"/>
          </w:tcPr>
          <w:p>
            <w:r>
              <w:rPr>
                <w:b w:val="false"/>
                <w:bCs w:val="false"/>
                <w:sz w:val="19"/>
                <w:szCs w:val="19"/>
              </w:rPr>
              <w:t xml:space="preserve">Approval documents generated</w:t>
            </w:r>
          </w:p>
        </w:tc>
        <w:tc>
          <w:tcPr>
            <w:tcW w:type="dxa" w:w="2450"/>
            <w:shd w:fill="EEF2F8" w:val="clear"/>
            <w:tcMar>
              <w:top w:type="dxa" w:w="80"/>
              <w:left w:type="dxa" w:w="120"/>
              <w:bottom w:type="dxa" w:w="80"/>
              <w:right w:type="dxa" w:w="120"/>
            </w:tcMar>
            <w:vAlign w:val="center"/>
          </w:tcPr>
          <w:p>
            <w:r>
              <w:rPr>
                <w:b w:val="false"/>
                <w:bCs w:val="false"/>
                <w:sz w:val="19"/>
                <w:szCs w:val="19"/>
              </w:rPr>
              <w:t xml:space="preserve">Schedule Officer / Management</w:t>
            </w:r>
          </w:p>
        </w:tc>
        <w:tc>
          <w:tcPr>
            <w:tcW w:type="dxa" w:w="3800"/>
            <w:shd w:fill="EEF2F8" w:val="clear"/>
            <w:tcMar>
              <w:top w:type="dxa" w:w="80"/>
              <w:left w:type="dxa" w:w="120"/>
              <w:bottom w:type="dxa" w:w="80"/>
              <w:right w:type="dxa" w:w="120"/>
            </w:tcMar>
            <w:vAlign w:val="center"/>
          </w:tcPr>
          <w:p>
            <w:r>
              <w:rPr>
                <w:b w:val="false"/>
                <w:bCs w:val="false"/>
                <w:sz w:val="19"/>
                <w:szCs w:val="19"/>
              </w:rPr>
              <w:t xml:space="preserve">Approval memo and release letter PDFs created</w:t>
            </w:r>
          </w:p>
        </w:tc>
      </w:tr>
      <w:tr>
        <w:tc>
          <w:tcPr>
            <w:tcW w:type="dxa" w:w="560"/>
            <w:shd w:fill="FFFFFF" w:val="clear"/>
            <w:tcMar>
              <w:top w:type="dxa" w:w="80"/>
              <w:left w:type="dxa" w:w="120"/>
              <w:bottom w:type="dxa" w:w="80"/>
              <w:right w:type="dxa" w:w="120"/>
            </w:tcMar>
            <w:vAlign w:val="center"/>
          </w:tcPr>
          <w:p>
            <w:r>
              <w:rPr>
                <w:b w:val="false"/>
                <w:bCs w:val="false"/>
                <w:sz w:val="19"/>
                <w:szCs w:val="19"/>
              </w:rPr>
              <w:t xml:space="preserve">3</w:t>
            </w:r>
          </w:p>
        </w:tc>
        <w:tc>
          <w:tcPr>
            <w:tcW w:type="dxa" w:w="2550"/>
            <w:shd w:fill="FFFFFF" w:val="clear"/>
            <w:tcMar>
              <w:top w:type="dxa" w:w="80"/>
              <w:left w:type="dxa" w:w="120"/>
              <w:bottom w:type="dxa" w:w="80"/>
              <w:right w:type="dxa" w:w="120"/>
            </w:tcMar>
            <w:vAlign w:val="center"/>
          </w:tcPr>
          <w:p>
            <w:r>
              <w:rPr>
                <w:b w:val="false"/>
                <w:bCs w:val="false"/>
                <w:sz w:val="19"/>
                <w:szCs w:val="19"/>
              </w:rPr>
              <w:t xml:space="preserve">Signature and signed-scan upload</w:t>
            </w:r>
          </w:p>
        </w:tc>
        <w:tc>
          <w:tcPr>
            <w:tcW w:type="dxa" w:w="2450"/>
            <w:shd w:fill="FFFFFF" w:val="clear"/>
            <w:tcMar>
              <w:top w:type="dxa" w:w="80"/>
              <w:left w:type="dxa" w:w="120"/>
              <w:bottom w:type="dxa" w:w="80"/>
              <w:right w:type="dxa" w:w="120"/>
            </w:tcMar>
            <w:vAlign w:val="center"/>
          </w:tcPr>
          <w:p>
            <w:r>
              <w:rPr>
                <w:b w:val="false"/>
                <w:bCs w:val="false"/>
                <w:sz w:val="19"/>
                <w:szCs w:val="19"/>
              </w:rPr>
              <w:t xml:space="preserve">Leadership / Officers</w:t>
            </w:r>
          </w:p>
        </w:tc>
        <w:tc>
          <w:tcPr>
            <w:tcW w:type="dxa" w:w="3800"/>
            <w:shd w:fill="FFFFFF" w:val="clear"/>
            <w:tcMar>
              <w:top w:type="dxa" w:w="80"/>
              <w:left w:type="dxa" w:w="120"/>
              <w:bottom w:type="dxa" w:w="80"/>
              <w:right w:type="dxa" w:w="120"/>
            </w:tcMar>
            <w:vAlign w:val="center"/>
          </w:tcPr>
          <w:p>
            <w:r>
              <w:rPr>
                <w:b w:val="false"/>
                <w:bCs w:val="false"/>
                <w:sz w:val="19"/>
                <w:szCs w:val="19"/>
              </w:rPr>
              <w:t xml:space="preserve">Signed documents scanned and verified by QR</w:t>
            </w:r>
          </w:p>
        </w:tc>
      </w:tr>
      <w:tr>
        <w:tc>
          <w:tcPr>
            <w:tcW w:type="dxa" w:w="560"/>
            <w:shd w:fill="EEF2F8" w:val="clear"/>
            <w:tcMar>
              <w:top w:type="dxa" w:w="80"/>
              <w:left w:type="dxa" w:w="120"/>
              <w:bottom w:type="dxa" w:w="80"/>
              <w:right w:type="dxa" w:w="120"/>
            </w:tcMar>
            <w:vAlign w:val="center"/>
          </w:tcPr>
          <w:p>
            <w:r>
              <w:rPr>
                <w:b w:val="false"/>
                <w:bCs w:val="false"/>
                <w:sz w:val="19"/>
                <w:szCs w:val="19"/>
              </w:rPr>
              <w:t xml:space="preserve">4</w:t>
            </w:r>
          </w:p>
        </w:tc>
        <w:tc>
          <w:tcPr>
            <w:tcW w:type="dxa" w:w="2550"/>
            <w:shd w:fill="EEF2F8" w:val="clear"/>
            <w:tcMar>
              <w:top w:type="dxa" w:w="80"/>
              <w:left w:type="dxa" w:w="120"/>
              <w:bottom w:type="dxa" w:w="80"/>
              <w:right w:type="dxa" w:w="120"/>
            </w:tcMar>
            <w:vAlign w:val="center"/>
          </w:tcPr>
          <w:p>
            <w:r>
              <w:rPr>
                <w:b w:val="false"/>
                <w:bCs w:val="false"/>
                <w:sz w:val="19"/>
                <w:szCs w:val="19"/>
              </w:rPr>
              <w:t xml:space="preserve">Request processed by the store</w:t>
            </w:r>
          </w:p>
        </w:tc>
        <w:tc>
          <w:tcPr>
            <w:tcW w:type="dxa" w:w="2450"/>
            <w:shd w:fill="EEF2F8" w:val="clear"/>
            <w:tcMar>
              <w:top w:type="dxa" w:w="80"/>
              <w:left w:type="dxa" w:w="120"/>
              <w:bottom w:type="dxa" w:w="80"/>
              <w:right w:type="dxa" w:w="120"/>
            </w:tcMar>
            <w:vAlign w:val="center"/>
          </w:tcPr>
          <w:p>
            <w:r>
              <w:rPr>
                <w:b w:val="false"/>
                <w:bCs w:val="false"/>
                <w:sz w:val="19"/>
                <w:szCs w:val="19"/>
              </w:rPr>
              <w:t xml:space="preserve">Storekeeper</w:t>
            </w:r>
          </w:p>
        </w:tc>
        <w:tc>
          <w:tcPr>
            <w:tcW w:type="dxa" w:w="3800"/>
            <w:shd w:fill="EEF2F8" w:val="clear"/>
            <w:tcMar>
              <w:top w:type="dxa" w:w="80"/>
              <w:left w:type="dxa" w:w="120"/>
              <w:bottom w:type="dxa" w:w="80"/>
              <w:right w:type="dxa" w:w="120"/>
            </w:tcMar>
            <w:vAlign w:val="center"/>
          </w:tcPr>
          <w:p>
            <w:r>
              <w:rPr>
                <w:b w:val="false"/>
                <w:bCs w:val="false"/>
                <w:sz w:val="19"/>
                <w:szCs w:val="19"/>
              </w:rPr>
              <w:t xml:space="preserve">Quantities verified; processed amount recorded</w:t>
            </w:r>
          </w:p>
        </w:tc>
      </w:tr>
      <w:tr>
        <w:tc>
          <w:tcPr>
            <w:tcW w:type="dxa" w:w="560"/>
            <w:shd w:fill="FFFFFF" w:val="clear"/>
            <w:tcMar>
              <w:top w:type="dxa" w:w="80"/>
              <w:left w:type="dxa" w:w="120"/>
              <w:bottom w:type="dxa" w:w="80"/>
              <w:right w:type="dxa" w:w="120"/>
            </w:tcMar>
            <w:vAlign w:val="center"/>
          </w:tcPr>
          <w:p>
            <w:r>
              <w:rPr>
                <w:b w:val="false"/>
                <w:bCs w:val="false"/>
                <w:sz w:val="19"/>
                <w:szCs w:val="19"/>
              </w:rPr>
              <w:t xml:space="preserve">5</w:t>
            </w:r>
          </w:p>
        </w:tc>
        <w:tc>
          <w:tcPr>
            <w:tcW w:type="dxa" w:w="2550"/>
            <w:shd w:fill="FFFFFF" w:val="clear"/>
            <w:tcMar>
              <w:top w:type="dxa" w:w="80"/>
              <w:left w:type="dxa" w:w="120"/>
              <w:bottom w:type="dxa" w:w="80"/>
              <w:right w:type="dxa" w:w="120"/>
            </w:tcMar>
            <w:vAlign w:val="center"/>
          </w:tcPr>
          <w:p>
            <w:r>
              <w:rPr>
                <w:b w:val="false"/>
                <w:bCs w:val="false"/>
                <w:sz w:val="19"/>
                <w:szCs w:val="19"/>
              </w:rPr>
              <w:t xml:space="preserve">Order completed — materials issued</w:t>
            </w:r>
          </w:p>
        </w:tc>
        <w:tc>
          <w:tcPr>
            <w:tcW w:type="dxa" w:w="2450"/>
            <w:shd w:fill="FFFFFF" w:val="clear"/>
            <w:tcMar>
              <w:top w:type="dxa" w:w="80"/>
              <w:left w:type="dxa" w:w="120"/>
              <w:bottom w:type="dxa" w:w="80"/>
              <w:right w:type="dxa" w:w="120"/>
            </w:tcMar>
            <w:vAlign w:val="center"/>
          </w:tcPr>
          <w:p>
            <w:r>
              <w:rPr>
                <w:b w:val="false"/>
                <w:bCs w:val="false"/>
                <w:sz w:val="19"/>
                <w:szCs w:val="19"/>
              </w:rPr>
              <w:t xml:space="preserve">Storekeeper</w:t>
            </w:r>
          </w:p>
        </w:tc>
        <w:tc>
          <w:tcPr>
            <w:tcW w:type="dxa" w:w="3800"/>
            <w:shd w:fill="FFFFFF" w:val="clear"/>
            <w:tcMar>
              <w:top w:type="dxa" w:w="80"/>
              <w:left w:type="dxa" w:w="120"/>
              <w:bottom w:type="dxa" w:w="80"/>
              <w:right w:type="dxa" w:w="120"/>
            </w:tcMar>
            <w:vAlign w:val="center"/>
          </w:tcPr>
          <w:p>
            <w:r>
              <w:rPr>
                <w:b w:val="false"/>
                <w:bCs w:val="false"/>
                <w:sz w:val="19"/>
                <w:szCs w:val="19"/>
              </w:rPr>
              <w:t xml:space="preserve">Warehouse stock deducted for the issued quantity</w:t>
            </w:r>
          </w:p>
        </w:tc>
      </w:tr>
      <w:tr>
        <w:tc>
          <w:tcPr>
            <w:tcW w:type="dxa" w:w="560"/>
            <w:shd w:fill="EEF2F8" w:val="clear"/>
            <w:tcMar>
              <w:top w:type="dxa" w:w="80"/>
              <w:left w:type="dxa" w:w="120"/>
              <w:bottom w:type="dxa" w:w="80"/>
              <w:right w:type="dxa" w:w="120"/>
            </w:tcMar>
            <w:vAlign w:val="center"/>
          </w:tcPr>
          <w:p>
            <w:r>
              <w:rPr>
                <w:b w:val="false"/>
                <w:bCs w:val="false"/>
                <w:sz w:val="19"/>
                <w:szCs w:val="19"/>
              </w:rPr>
              <w:t xml:space="preserve">6</w:t>
            </w:r>
          </w:p>
        </w:tc>
        <w:tc>
          <w:tcPr>
            <w:tcW w:type="dxa" w:w="2550"/>
            <w:shd w:fill="EEF2F8" w:val="clear"/>
            <w:tcMar>
              <w:top w:type="dxa" w:w="80"/>
              <w:left w:type="dxa" w:w="120"/>
              <w:bottom w:type="dxa" w:w="80"/>
              <w:right w:type="dxa" w:w="120"/>
            </w:tcMar>
            <w:vAlign w:val="center"/>
          </w:tcPr>
          <w:p>
            <w:r>
              <w:rPr>
                <w:b w:val="false"/>
                <w:bCs w:val="false"/>
                <w:sz w:val="19"/>
                <w:szCs w:val="19"/>
              </w:rPr>
              <w:t xml:space="preserve">Transport assigned</w:t>
            </w:r>
          </w:p>
        </w:tc>
        <w:tc>
          <w:tcPr>
            <w:tcW w:type="dxa" w:w="2450"/>
            <w:shd w:fill="EEF2F8" w:val="clear"/>
            <w:tcMar>
              <w:top w:type="dxa" w:w="80"/>
              <w:left w:type="dxa" w:w="120"/>
              <w:bottom w:type="dxa" w:w="80"/>
              <w:right w:type="dxa" w:w="120"/>
            </w:tcMar>
            <w:vAlign w:val="center"/>
          </w:tcPr>
          <w:p>
            <w:r>
              <w:rPr>
                <w:b w:val="false"/>
                <w:bCs w:val="false"/>
                <w:sz w:val="19"/>
                <w:szCs w:val="19"/>
              </w:rPr>
              <w:t xml:space="preserve">Transport Officer</w:t>
            </w:r>
          </w:p>
        </w:tc>
        <w:tc>
          <w:tcPr>
            <w:tcW w:type="dxa" w:w="3800"/>
            <w:shd w:fill="EEF2F8" w:val="clear"/>
            <w:tcMar>
              <w:top w:type="dxa" w:w="80"/>
              <w:left w:type="dxa" w:w="120"/>
              <w:bottom w:type="dxa" w:w="80"/>
              <w:right w:type="dxa" w:w="120"/>
            </w:tcMar>
            <w:vAlign w:val="center"/>
          </w:tcPr>
          <w:p>
            <w:r>
              <w:rPr>
                <w:b w:val="false"/>
                <w:bCs w:val="false"/>
                <w:sz w:val="19"/>
                <w:szCs w:val="19"/>
              </w:rPr>
              <w:t xml:space="preserve">Carrier, vehicle and driver attached to the order</w:t>
            </w:r>
          </w:p>
        </w:tc>
      </w:tr>
      <w:tr>
        <w:tc>
          <w:tcPr>
            <w:tcW w:type="dxa" w:w="560"/>
            <w:shd w:fill="FFFFFF" w:val="clear"/>
            <w:tcMar>
              <w:top w:type="dxa" w:w="80"/>
              <w:left w:type="dxa" w:w="120"/>
              <w:bottom w:type="dxa" w:w="80"/>
              <w:right w:type="dxa" w:w="120"/>
            </w:tcMar>
            <w:vAlign w:val="center"/>
          </w:tcPr>
          <w:p>
            <w:r>
              <w:rPr>
                <w:b w:val="false"/>
                <w:bCs w:val="false"/>
                <w:sz w:val="19"/>
                <w:szCs w:val="19"/>
              </w:rPr>
              <w:t xml:space="preserve">7</w:t>
            </w:r>
          </w:p>
        </w:tc>
        <w:tc>
          <w:tcPr>
            <w:tcW w:type="dxa" w:w="2550"/>
            <w:shd w:fill="FFFFFF" w:val="clear"/>
            <w:tcMar>
              <w:top w:type="dxa" w:w="80"/>
              <w:left w:type="dxa" w:w="120"/>
              <w:bottom w:type="dxa" w:w="80"/>
              <w:right w:type="dxa" w:w="120"/>
            </w:tcMar>
            <w:vAlign w:val="center"/>
          </w:tcPr>
          <w:p>
            <w:r>
              <w:rPr>
                <w:b w:val="false"/>
                <w:bCs w:val="false"/>
                <w:sz w:val="19"/>
                <w:szCs w:val="19"/>
              </w:rPr>
              <w:t xml:space="preserve">Delivery to site</w:t>
            </w:r>
          </w:p>
        </w:tc>
        <w:tc>
          <w:tcPr>
            <w:tcW w:type="dxa" w:w="2450"/>
            <w:shd w:fill="FFFFFF" w:val="clear"/>
            <w:tcMar>
              <w:top w:type="dxa" w:w="80"/>
              <w:left w:type="dxa" w:w="120"/>
              <w:bottom w:type="dxa" w:w="80"/>
              <w:right w:type="dxa" w:w="120"/>
            </w:tcMar>
            <w:vAlign w:val="center"/>
          </w:tcPr>
          <w:p>
            <w:r>
              <w:rPr>
                <w:b w:val="false"/>
                <w:bCs w:val="false"/>
                <w:sz w:val="19"/>
                <w:szCs w:val="19"/>
              </w:rPr>
              <w:t xml:space="preserve">Transporter</w:t>
            </w:r>
          </w:p>
        </w:tc>
        <w:tc>
          <w:tcPr>
            <w:tcW w:type="dxa" w:w="3800"/>
            <w:shd w:fill="FFFFFF" w:val="clear"/>
            <w:tcMar>
              <w:top w:type="dxa" w:w="80"/>
              <w:left w:type="dxa" w:w="120"/>
              <w:bottom w:type="dxa" w:w="80"/>
              <w:right w:type="dxa" w:w="120"/>
            </w:tcMar>
            <w:vAlign w:val="center"/>
          </w:tcPr>
          <w:p>
            <w:r>
              <w:rPr>
                <w:b w:val="false"/>
                <w:bCs w:val="false"/>
                <w:sz w:val="19"/>
                <w:szCs w:val="19"/>
              </w:rPr>
              <w:t xml:space="preserve">Materials moved; status tracked to Delivered</w:t>
            </w:r>
          </w:p>
        </w:tc>
      </w:tr>
      <w:tr>
        <w:tc>
          <w:tcPr>
            <w:tcW w:type="dxa" w:w="560"/>
            <w:shd w:fill="EEF2F8" w:val="clear"/>
            <w:tcMar>
              <w:top w:type="dxa" w:w="80"/>
              <w:left w:type="dxa" w:w="120"/>
              <w:bottom w:type="dxa" w:w="80"/>
              <w:right w:type="dxa" w:w="120"/>
            </w:tcMar>
            <w:vAlign w:val="center"/>
          </w:tcPr>
          <w:p>
            <w:r>
              <w:rPr>
                <w:b w:val="false"/>
                <w:bCs w:val="false"/>
                <w:sz w:val="19"/>
                <w:szCs w:val="19"/>
              </w:rPr>
              <w:t xml:space="preserve">8</w:t>
            </w:r>
          </w:p>
        </w:tc>
        <w:tc>
          <w:tcPr>
            <w:tcW w:type="dxa" w:w="2550"/>
            <w:shd w:fill="EEF2F8" w:val="clear"/>
            <w:tcMar>
              <w:top w:type="dxa" w:w="80"/>
              <w:left w:type="dxa" w:w="120"/>
              <w:bottom w:type="dxa" w:w="80"/>
              <w:right w:type="dxa" w:w="120"/>
            </w:tcMar>
            <w:vAlign w:val="center"/>
          </w:tcPr>
          <w:p>
            <w:r>
              <w:rPr>
                <w:b w:val="false"/>
                <w:bCs w:val="false"/>
                <w:sz w:val="19"/>
                <w:szCs w:val="19"/>
              </w:rPr>
              <w:t xml:space="preserve">Site receipt logged</w:t>
            </w:r>
          </w:p>
        </w:tc>
        <w:tc>
          <w:tcPr>
            <w:tcW w:type="dxa" w:w="2450"/>
            <w:shd w:fill="EEF2F8" w:val="clear"/>
            <w:tcMar>
              <w:top w:type="dxa" w:w="80"/>
              <w:left w:type="dxa" w:w="120"/>
              <w:bottom w:type="dxa" w:w="80"/>
              <w:right w:type="dxa" w:w="120"/>
            </w:tcMar>
            <w:vAlign w:val="center"/>
          </w:tcPr>
          <w:p>
            <w:r>
              <w:rPr>
                <w:b w:val="false"/>
                <w:bCs w:val="false"/>
                <w:sz w:val="19"/>
                <w:szCs w:val="19"/>
              </w:rPr>
              <w:t xml:space="preserve">Consultant</w:t>
            </w:r>
          </w:p>
        </w:tc>
        <w:tc>
          <w:tcPr>
            <w:tcW w:type="dxa" w:w="3800"/>
            <w:shd w:fill="EEF2F8" w:val="clear"/>
            <w:tcMar>
              <w:top w:type="dxa" w:w="80"/>
              <w:left w:type="dxa" w:w="120"/>
              <w:bottom w:type="dxa" w:w="80"/>
              <w:right w:type="dxa" w:w="120"/>
            </w:tcMar>
            <w:vAlign w:val="center"/>
          </w:tcPr>
          <w:p>
            <w:r>
              <w:rPr>
                <w:b w:val="false"/>
                <w:bCs w:val="false"/>
                <w:sz w:val="19"/>
                <w:szCs w:val="19"/>
              </w:rPr>
              <w:t xml:space="preserve">Delivery confirmed with waybill, photos and condition</w:t>
            </w:r>
          </w:p>
        </w:tc>
      </w:tr>
      <w:tr>
        <w:tc>
          <w:tcPr>
            <w:tcW w:type="dxa" w:w="560"/>
            <w:shd w:fill="FFFFFF" w:val="clear"/>
            <w:tcMar>
              <w:top w:type="dxa" w:w="80"/>
              <w:left w:type="dxa" w:w="120"/>
              <w:bottom w:type="dxa" w:w="80"/>
              <w:right w:type="dxa" w:w="120"/>
            </w:tcMar>
            <w:vAlign w:val="center"/>
          </w:tcPr>
          <w:p>
            <w:r>
              <w:rPr>
                <w:b w:val="false"/>
                <w:bCs w:val="false"/>
                <w:sz w:val="19"/>
                <w:szCs w:val="19"/>
              </w:rPr>
              <w:t xml:space="preserve">9</w:t>
            </w:r>
          </w:p>
        </w:tc>
        <w:tc>
          <w:tcPr>
            <w:tcW w:type="dxa" w:w="2550"/>
            <w:shd w:fill="FFFFFF" w:val="clear"/>
            <w:tcMar>
              <w:top w:type="dxa" w:w="80"/>
              <w:left w:type="dxa" w:w="120"/>
              <w:bottom w:type="dxa" w:w="80"/>
              <w:right w:type="dxa" w:w="120"/>
            </w:tcMar>
            <w:vAlign w:val="center"/>
          </w:tcPr>
          <w:p>
            <w:r>
              <w:rPr>
                <w:b w:val="false"/>
                <w:bCs w:val="false"/>
                <w:sz w:val="19"/>
                <w:szCs w:val="19"/>
              </w:rPr>
              <w:t xml:space="preserve">BoQ deduction</w:t>
            </w:r>
          </w:p>
        </w:tc>
        <w:tc>
          <w:tcPr>
            <w:tcW w:type="dxa" w:w="2450"/>
            <w:shd w:fill="FFFFFF" w:val="clear"/>
            <w:tcMar>
              <w:top w:type="dxa" w:w="80"/>
              <w:left w:type="dxa" w:w="120"/>
              <w:bottom w:type="dxa" w:w="80"/>
              <w:right w:type="dxa" w:w="120"/>
            </w:tcMar>
            <w:vAlign w:val="center"/>
          </w:tcPr>
          <w:p>
            <w:r>
              <w:rPr>
                <w:b w:val="false"/>
                <w:bCs w:val="false"/>
                <w:sz w:val="19"/>
                <w:szCs w:val="19"/>
              </w:rPr>
              <w:t xml:space="preserve">System</w:t>
            </w:r>
          </w:p>
        </w:tc>
        <w:tc>
          <w:tcPr>
            <w:tcW w:type="dxa" w:w="3800"/>
            <w:shd w:fill="FFFFFF" w:val="clear"/>
            <w:tcMar>
              <w:top w:type="dxa" w:w="80"/>
              <w:left w:type="dxa" w:w="120"/>
              <w:bottom w:type="dxa" w:w="80"/>
              <w:right w:type="dxa" w:w="120"/>
            </w:tcMar>
            <w:vAlign w:val="center"/>
          </w:tcPr>
          <w:p>
            <w:r>
              <w:rPr>
                <w:b w:val="false"/>
                <w:bCs w:val="false"/>
                <w:sz w:val="19"/>
                <w:szCs w:val="19"/>
              </w:rPr>
              <w:t xml:space="preserve">Received quantity posted against the project BoQ</w:t>
            </w:r>
          </w:p>
        </w:tc>
      </w:tr>
    </w:tbl>
    <w:p>
      <w:pPr>
        <w:spacing w:after="240"/>
      </w:pPr>
    </w:p>
    <w:p>
      <w:pPr>
        <w:pStyle w:val="Heading1"/>
        <w:pageBreakBefore/>
      </w:pPr>
      <w:r>
        <w:t xml:space="preserve">3.  The workflow in detail</w:t>
      </w:r>
    </w:p>
    <w:p>
      <w:pPr>
        <w:spacing w:after="200" w:line="300"/>
      </w:pPr>
      <w:r>
        <w:rPr>
          <w:sz w:val="22"/>
          <w:szCs w:val="22"/>
        </w:rPr>
        <w:t xml:space="preserve">Each stage below names the responsible actor, the status the record carries afterwards, and the email alert the system raises.</w:t>
      </w:r>
    </w:p>
    <w:p>
      <w:pPr>
        <w:pStyle w:val="Heading2"/>
      </w:pPr>
      <w:r>
        <w:t xml:space="preserve">Step 1 — Material request raised</w:t>
      </w:r>
    </w:p>
    <w:p>
      <w:pPr>
        <w:spacing w:after="140" w:line="300"/>
      </w:pPr>
      <w:r>
        <w:rPr>
          <w:sz w:val="22"/>
          <w:szCs w:val="22"/>
        </w:rPr>
        <w:t xml:space="preserve">A Schedule Officer opens the material request form and selects the items required for a project, together with the project's region, district, community, consultant or contractor, package number and a priority level. On submission the system generates a unique request code (in the form REQ-YYYYMMDD-…) and immediately places a soft hold — a reserved quantity — on the relevant warehouse stock, so the same materials cannot be promised to two requests at once. The request enters the workflow with a Pending status.</w:t>
      </w:r>
    </w:p>
    <w:p>
      <w:pPr>
        <w:pBdr>
          <w:left w:val="single" w:color="2E75B6" w:sz="18" w:space="8"/>
        </w:pBdr>
        <w:spacing w:after="200" w:before="40" w:line="280"/>
        <w:ind w:left="160"/>
      </w:pPr>
      <w:r>
        <w:rPr>
          <w:b/>
          <w:bCs/>
          <w:color w:val="1F3864"/>
          <w:sz w:val="19"/>
          <w:szCs w:val="19"/>
        </w:rPr>
        <w:t xml:space="preserve">Actor:  </w:t>
      </w:r>
      <w:r>
        <w:rPr>
          <w:sz w:val="19"/>
          <w:szCs w:val="19"/>
        </w:rPr>
        <w:t xml:space="preserve">Schedule Officer      </w:t>
      </w:r>
      <w:r>
        <w:rPr>
          <w:b/>
          <w:bCs/>
          <w:color w:val="1F3864"/>
          <w:sz w:val="19"/>
          <w:szCs w:val="19"/>
        </w:rPr>
        <w:t xml:space="preserve">Resulting status:  </w:t>
      </w:r>
      <w:r>
        <w:rPr>
          <w:sz w:val="19"/>
          <w:szCs w:val="19"/>
        </w:rPr>
        <w:t xml:space="preserve">Pending      </w:t>
      </w:r>
      <w:r>
        <w:rPr>
          <w:b/>
          <w:bCs/>
          <w:color w:val="1F3864"/>
          <w:sz w:val="19"/>
          <w:szCs w:val="19"/>
        </w:rPr>
        <w:t xml:space="preserve">Email alert:  </w:t>
      </w:r>
      <w:r>
        <w:rPr>
          <w:sz w:val="19"/>
          <w:szCs w:val="19"/>
        </w:rPr>
        <w:t xml:space="preserve">Store Officers and Management notified of the new release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1F5" w:val="clear"/>
            <w:tcMar>
              <w:top w:type="dxa" w:w="360"/>
              <w:left w:type="dxa" w:w="200"/>
              <w:bottom w:type="dxa" w:w="360"/>
              <w:right w:type="dxa" w:w="200"/>
            </w:tcMar>
            <w:vAlign w:val="center"/>
          </w:tcPr>
          <w:p>
            <w:pPr>
              <w:spacing w:after="60"/>
              <w:jc w:val="center"/>
            </w:pPr>
            <w:r>
              <w:rPr>
                <w:b/>
                <w:bCs/>
                <w:color w:val="2E75B6"/>
                <w:sz w:val="20"/>
                <w:szCs w:val="20"/>
              </w:rPr>
              <w:t xml:space="preserve">[ SCREENSHOT TO BE INSERTED ]</w:t>
            </w:r>
          </w:p>
          <w:p>
            <w:pPr>
              <w:jc w:val="center"/>
            </w:pPr>
            <w:r>
              <w:rPr>
                <w:i/>
                <w:iCs/>
                <w:color w:val="5A5A5A"/>
                <w:sz w:val="20"/>
                <w:szCs w:val="20"/>
              </w:rPr>
              <w:t xml:space="preserve">The material request form, where a release request is raised against a project.</w:t>
            </w:r>
          </w:p>
        </w:tc>
      </w:tr>
    </w:tbl>
    <w:p>
      <w:pPr>
        <w:spacing w:after="220" w:before="60"/>
        <w:jc w:val="center"/>
      </w:pPr>
      <w:r>
        <w:rPr>
          <w:b/>
          <w:bCs/>
          <w:color w:val="1F3864"/>
          <w:sz w:val="18"/>
          <w:szCs w:val="18"/>
        </w:rPr>
        <w:t xml:space="preserve">Figure 1. </w:t>
      </w:r>
      <w:r>
        <w:rPr>
          <w:i/>
          <w:iCs/>
          <w:color w:val="5A5A5A"/>
          <w:sz w:val="18"/>
          <w:szCs w:val="18"/>
        </w:rPr>
        <w:t xml:space="preserve">The material request form, where a release request is raised against a project.</w:t>
      </w:r>
    </w:p>
    <w:p>
      <w:pPr>
        <w:pStyle w:val="Heading2"/>
      </w:pPr>
      <w:r>
        <w:t xml:space="preserve">Step 2 — Approval documents generated</w:t>
      </w:r>
    </w:p>
    <w:p>
      <w:pPr>
        <w:spacing w:after="140" w:line="300"/>
      </w:pPr>
      <w:r>
        <w:rPr>
          <w:sz w:val="22"/>
          <w:szCs w:val="22"/>
        </w:rPr>
        <w:t xml:space="preserve">From the release record, a Schedule Officer or Management user selects Generate memo &amp; letter. In a single action the system allocates a release code in the form RE-YYYY-NNNN and produces two PDF documents — an approval memo and a release letter. These were previously typed by hand; they are now generated from data already held in the system. The feature is described in full in Section 5.</w:t>
      </w:r>
    </w:p>
    <w:p>
      <w:pPr>
        <w:pBdr>
          <w:left w:val="single" w:color="2E75B6" w:sz="18" w:space="8"/>
        </w:pBdr>
        <w:spacing w:after="200" w:before="40" w:line="280"/>
        <w:ind w:left="160"/>
      </w:pPr>
      <w:r>
        <w:rPr>
          <w:b/>
          <w:bCs/>
          <w:color w:val="1F3864"/>
          <w:sz w:val="19"/>
          <w:szCs w:val="19"/>
        </w:rPr>
        <w:t xml:space="preserve">Actor:  </w:t>
      </w:r>
      <w:r>
        <w:rPr>
          <w:sz w:val="19"/>
          <w:szCs w:val="19"/>
        </w:rPr>
        <w:t xml:space="preserve">Schedule Officer / Management      </w:t>
      </w:r>
      <w:r>
        <w:rPr>
          <w:b/>
          <w:bCs/>
          <w:color w:val="1F3864"/>
          <w:sz w:val="19"/>
          <w:szCs w:val="19"/>
        </w:rPr>
        <w:t xml:space="preserve">Resulting status:  </w:t>
      </w:r>
      <w:r>
        <w:rPr>
          <w:sz w:val="19"/>
          <w:szCs w:val="19"/>
        </w:rPr>
        <w:t xml:space="preserve">Memo generated      </w:t>
      </w:r>
      <w:r>
        <w:rPr>
          <w:b/>
          <w:bCs/>
          <w:color w:val="1F3864"/>
          <w:sz w:val="19"/>
          <w:szCs w:val="19"/>
        </w:rPr>
        <w:t xml:space="preserve">Email alert:  </w:t>
      </w:r>
      <w:r>
        <w:rPr>
          <w:sz w:val="19"/>
          <w:szCs w:val="19"/>
        </w:rPr>
        <w:t xml:space="preserve">In-app status update; documents available for download.</w:t>
      </w:r>
    </w:p>
    <w:p>
      <w:pPr>
        <w:pStyle w:val="Heading2"/>
      </w:pPr>
      <w:r>
        <w:t xml:space="preserve">Step 3 — Signature and signed-scan upload</w:t>
      </w:r>
    </w:p>
    <w:p>
      <w:pPr>
        <w:spacing w:after="140" w:line="300"/>
      </w:pPr>
      <w:r>
        <w:rPr>
          <w:sz w:val="22"/>
          <w:szCs w:val="22"/>
        </w:rPr>
        <w:t xml:space="preserve">The generated documents are printed and signed by the relevant authority. The signed copy is scanned and uploaded back into the system, which reads the QR code printed on the document and confirms that it matches the expected release code. A second officer — who must be different from the person who uploaded the scan — confirms it, satisfying a two-person review rule. The release then advances to an approved state.</w:t>
      </w:r>
    </w:p>
    <w:p>
      <w:pPr>
        <w:pBdr>
          <w:left w:val="single" w:color="2E75B6" w:sz="18" w:space="8"/>
        </w:pBdr>
        <w:spacing w:after="200" w:before="40" w:line="280"/>
        <w:ind w:left="160"/>
      </w:pPr>
      <w:r>
        <w:rPr>
          <w:b/>
          <w:bCs/>
          <w:color w:val="1F3864"/>
          <w:sz w:val="19"/>
          <w:szCs w:val="19"/>
        </w:rPr>
        <w:t xml:space="preserve">Actor:  </w:t>
      </w:r>
      <w:r>
        <w:rPr>
          <w:sz w:val="19"/>
          <w:szCs w:val="19"/>
        </w:rPr>
        <w:t xml:space="preserve">Leadership and two reviewing Officers      </w:t>
      </w:r>
      <w:r>
        <w:rPr>
          <w:b/>
          <w:bCs/>
          <w:color w:val="1F3864"/>
          <w:sz w:val="19"/>
          <w:szCs w:val="19"/>
        </w:rPr>
        <w:t xml:space="preserve">Resulting status:  </w:t>
      </w:r>
      <w:r>
        <w:rPr>
          <w:sz w:val="19"/>
          <w:szCs w:val="19"/>
        </w:rPr>
        <w:t xml:space="preserve">Awaiting scan → Approved      </w:t>
      </w:r>
      <w:r>
        <w:rPr>
          <w:b/>
          <w:bCs/>
          <w:color w:val="1F3864"/>
          <w:sz w:val="19"/>
          <w:szCs w:val="19"/>
        </w:rPr>
        <w:t xml:space="preserve">Email alert:  </w:t>
      </w:r>
      <w:r>
        <w:rPr>
          <w:sz w:val="19"/>
          <w:szCs w:val="19"/>
        </w:rPr>
        <w:t xml:space="preserve">Workflow status advances; audit-log entry written for each transition.</w:t>
      </w:r>
    </w:p>
    <w:p>
      <w:pPr>
        <w:pStyle w:val="Heading2"/>
      </w:pPr>
      <w:r>
        <w:t xml:space="preserve">Step 4 — Request processed by the store</w:t>
      </w:r>
    </w:p>
    <w:p>
      <w:pPr>
        <w:spacing w:after="140" w:line="300"/>
      </w:pPr>
      <w:r>
        <w:rPr>
          <w:sz w:val="22"/>
          <w:szCs w:val="22"/>
        </w:rPr>
        <w:t xml:space="preserve">With an authorised release in place, a Storekeeper reviews the request, verifies that the stock is available, and enters the quantity actually processed. The request may be processed in full or in part — a partial release keeps the order open so the remaining quantity can be fulfilled later. The order moves into a Processing (In Progress) status.</w:t>
      </w:r>
    </w:p>
    <w:p>
      <w:pPr>
        <w:pBdr>
          <w:left w:val="single" w:color="2E75B6" w:sz="18" w:space="8"/>
        </w:pBdr>
        <w:spacing w:after="200" w:before="40" w:line="280"/>
        <w:ind w:left="160"/>
      </w:pPr>
      <w:r>
        <w:rPr>
          <w:b/>
          <w:bCs/>
          <w:color w:val="1F3864"/>
          <w:sz w:val="19"/>
          <w:szCs w:val="19"/>
        </w:rPr>
        <w:t xml:space="preserve">Actor:  </w:t>
      </w:r>
      <w:r>
        <w:rPr>
          <w:sz w:val="19"/>
          <w:szCs w:val="19"/>
        </w:rPr>
        <w:t xml:space="preserve">Storekeeper      </w:t>
      </w:r>
      <w:r>
        <w:rPr>
          <w:b/>
          <w:bCs/>
          <w:color w:val="1F3864"/>
          <w:sz w:val="19"/>
          <w:szCs w:val="19"/>
        </w:rPr>
        <w:t xml:space="preserve">Resulting status:  </w:t>
      </w:r>
      <w:r>
        <w:rPr>
          <w:sz w:val="19"/>
          <w:szCs w:val="19"/>
        </w:rPr>
        <w:t xml:space="preserve">In Progress / Partially Fulfilled      </w:t>
      </w:r>
      <w:r>
        <w:rPr>
          <w:b/>
          <w:bCs/>
          <w:color w:val="1F3864"/>
          <w:sz w:val="19"/>
          <w:szCs w:val="19"/>
        </w:rPr>
        <w:t xml:space="preserve">Email alert:  </w:t>
      </w:r>
      <w:r>
        <w:rPr>
          <w:sz w:val="19"/>
          <w:szCs w:val="19"/>
        </w:rPr>
        <w:t xml:space="preserve">The original requester and Management are notified that the request is being processed.</w:t>
      </w:r>
    </w:p>
    <w:p>
      <w:pPr>
        <w:pStyle w:val="Heading2"/>
      </w:pPr>
      <w:r>
        <w:t xml:space="preserve">Step 5 — Order completed and stock deducted</w:t>
      </w:r>
    </w:p>
    <w:p>
      <w:pPr>
        <w:spacing w:after="140" w:line="300"/>
      </w:pPr>
      <w:r>
        <w:rPr>
          <w:sz w:val="22"/>
          <w:szCs w:val="22"/>
        </w:rPr>
        <w:t xml:space="preserve">When the materials physically leave the store, the Storekeeper marks the order Completed. At that moment the system deducts the issued quantity from the warehouse inventory, converting the earlier soft hold into a real stock movement. The system also creates a placeholder transport record in an “Awaiting Transporter” state, so the delivery cannot be forgotten.</w:t>
      </w:r>
    </w:p>
    <w:p>
      <w:pPr>
        <w:pBdr>
          <w:left w:val="single" w:color="2E75B6" w:sz="18" w:space="8"/>
        </w:pBdr>
        <w:spacing w:after="200" w:before="40" w:line="280"/>
        <w:ind w:left="160"/>
      </w:pPr>
      <w:r>
        <w:rPr>
          <w:b/>
          <w:bCs/>
          <w:color w:val="1F3864"/>
          <w:sz w:val="19"/>
          <w:szCs w:val="19"/>
        </w:rPr>
        <w:t xml:space="preserve">Actor:  </w:t>
      </w:r>
      <w:r>
        <w:rPr>
          <w:sz w:val="19"/>
          <w:szCs w:val="19"/>
        </w:rPr>
        <w:t xml:space="preserve">Storekeeper      </w:t>
      </w:r>
      <w:r>
        <w:rPr>
          <w:b/>
          <w:bCs/>
          <w:color w:val="1F3864"/>
          <w:sz w:val="19"/>
          <w:szCs w:val="19"/>
        </w:rPr>
        <w:t xml:space="preserve">Resulting status:  </w:t>
      </w:r>
      <w:r>
        <w:rPr>
          <w:sz w:val="19"/>
          <w:szCs w:val="19"/>
        </w:rPr>
        <w:t xml:space="preserve">Completed      </w:t>
      </w:r>
      <w:r>
        <w:rPr>
          <w:b/>
          <w:bCs/>
          <w:color w:val="1F3864"/>
          <w:sz w:val="19"/>
          <w:szCs w:val="19"/>
        </w:rPr>
        <w:t xml:space="preserve">Email alert:  </w:t>
      </w:r>
      <w:r>
        <w:rPr>
          <w:sz w:val="19"/>
          <w:szCs w:val="19"/>
        </w:rPr>
        <w:t xml:space="preserve">The requester and Management are notified that the order is complete.</w:t>
      </w:r>
    </w:p>
    <w:p>
      <w:pPr>
        <w:pStyle w:val="Heading2"/>
      </w:pPr>
      <w:r>
        <w:t xml:space="preserve">Step 6 — Transport assigned</w:t>
      </w:r>
    </w:p>
    <w:p>
      <w:pPr>
        <w:spacing w:after="140" w:line="300"/>
      </w:pPr>
      <w:r>
        <w:rPr>
          <w:sz w:val="22"/>
          <w:szCs w:val="22"/>
        </w:rPr>
        <w:t xml:space="preserve">A Transport Officer assigns a transporter, a vehicle and a driver to the completed order, and records the quantity being moved. Large orders can be split across more than one transporter, with each consignment tracked separately.</w:t>
      </w:r>
    </w:p>
    <w:p>
      <w:pPr>
        <w:pBdr>
          <w:left w:val="single" w:color="2E75B6" w:sz="18" w:space="8"/>
        </w:pBdr>
        <w:spacing w:after="200" w:before="40" w:line="280"/>
        <w:ind w:left="160"/>
      </w:pPr>
      <w:r>
        <w:rPr>
          <w:b/>
          <w:bCs/>
          <w:color w:val="1F3864"/>
          <w:sz w:val="19"/>
          <w:szCs w:val="19"/>
        </w:rPr>
        <w:t xml:space="preserve">Actor:  </w:t>
      </w:r>
      <w:r>
        <w:rPr>
          <w:sz w:val="19"/>
          <w:szCs w:val="19"/>
        </w:rPr>
        <w:t xml:space="preserve">Transport Officer      </w:t>
      </w:r>
      <w:r>
        <w:rPr>
          <w:b/>
          <w:bCs/>
          <w:color w:val="1F3864"/>
          <w:sz w:val="19"/>
          <w:szCs w:val="19"/>
        </w:rPr>
        <w:t xml:space="preserve">Resulting status:  </w:t>
      </w:r>
      <w:r>
        <w:rPr>
          <w:sz w:val="19"/>
          <w:szCs w:val="19"/>
        </w:rPr>
        <w:t xml:space="preserve">Scheduled      </w:t>
      </w:r>
      <w:r>
        <w:rPr>
          <w:b/>
          <w:bCs/>
          <w:color w:val="1F3864"/>
          <w:sz w:val="19"/>
          <w:szCs w:val="19"/>
        </w:rPr>
        <w:t xml:space="preserve">Email alert:  </w:t>
      </w:r>
      <w:r>
        <w:rPr>
          <w:sz w:val="19"/>
          <w:szCs w:val="19"/>
        </w:rPr>
        <w:t xml:space="preserve">Management is notified that a transport has been assigned.</w:t>
      </w:r>
    </w:p>
    <w:p>
      <w:pPr>
        <w:pStyle w:val="Heading2"/>
      </w:pPr>
      <w:r>
        <w:t xml:space="preserve">Step 7 — Delivery to site</w:t>
      </w:r>
    </w:p>
    <w:p>
      <w:pPr>
        <w:spacing w:after="140" w:line="300"/>
      </w:pPr>
      <w:r>
        <w:rPr>
          <w:sz w:val="22"/>
          <w:szCs w:val="22"/>
        </w:rPr>
        <w:t xml:space="preserve">The transporter updates the consignment as it moves — first to In Transit, then to Delivered on arrival at the project site. Each change is visible in the system in real time.</w:t>
      </w:r>
    </w:p>
    <w:p>
      <w:pPr>
        <w:pBdr>
          <w:left w:val="single" w:color="2E75B6" w:sz="18" w:space="8"/>
        </w:pBdr>
        <w:spacing w:after="200" w:before="40" w:line="280"/>
        <w:ind w:left="160"/>
      </w:pPr>
      <w:r>
        <w:rPr>
          <w:b/>
          <w:bCs/>
          <w:color w:val="1F3864"/>
          <w:sz w:val="19"/>
          <w:szCs w:val="19"/>
        </w:rPr>
        <w:t xml:space="preserve">Actor:  </w:t>
      </w:r>
      <w:r>
        <w:rPr>
          <w:sz w:val="19"/>
          <w:szCs w:val="19"/>
        </w:rPr>
        <w:t xml:space="preserve">Transporter      </w:t>
      </w:r>
      <w:r>
        <w:rPr>
          <w:b/>
          <w:bCs/>
          <w:color w:val="1F3864"/>
          <w:sz w:val="19"/>
          <w:szCs w:val="19"/>
        </w:rPr>
        <w:t xml:space="preserve">Resulting status:  </w:t>
      </w:r>
      <w:r>
        <w:rPr>
          <w:sz w:val="19"/>
          <w:szCs w:val="19"/>
        </w:rPr>
        <w:t xml:space="preserve">In Transit → Delivered      </w:t>
      </w:r>
      <w:r>
        <w:rPr>
          <w:b/>
          <w:bCs/>
          <w:color w:val="1F3864"/>
          <w:sz w:val="19"/>
          <w:szCs w:val="19"/>
        </w:rPr>
        <w:t xml:space="preserve">Email alert:  </w:t>
      </w:r>
      <w:r>
        <w:rPr>
          <w:sz w:val="19"/>
          <w:szCs w:val="19"/>
        </w:rPr>
        <w:t xml:space="preserve">The receiving group is notified at each status change.</w:t>
      </w:r>
    </w:p>
    <w:p>
      <w:pPr>
        <w:pStyle w:val="Heading2"/>
      </w:pPr>
      <w:r>
        <w:t xml:space="preserve">Step 8 — Site receipt logged</w:t>
      </w:r>
    </w:p>
    <w:p>
      <w:pPr>
        <w:spacing w:after="140" w:line="300"/>
      </w:pPr>
      <w:r>
        <w:rPr>
          <w:sz w:val="22"/>
          <w:szCs w:val="22"/>
        </w:rPr>
        <w:t xml:space="preserve">On site, a Consultant logs a site receipt: they confirm the quantity received, upload the waybill and acknowledgement sheet, attach site photographs, and record the condition of the materials (Good, Damaged or Incomplete). This is the point at which a delivery becomes verified evidence rather than an expectation.</w:t>
      </w:r>
    </w:p>
    <w:p>
      <w:pPr>
        <w:pBdr>
          <w:left w:val="single" w:color="2E75B6" w:sz="18" w:space="8"/>
        </w:pBdr>
        <w:spacing w:after="200" w:before="40" w:line="280"/>
        <w:ind w:left="160"/>
      </w:pPr>
      <w:r>
        <w:rPr>
          <w:b/>
          <w:bCs/>
          <w:color w:val="1F3864"/>
          <w:sz w:val="19"/>
          <w:szCs w:val="19"/>
        </w:rPr>
        <w:t xml:space="preserve">Actor:  </w:t>
      </w:r>
      <w:r>
        <w:rPr>
          <w:sz w:val="19"/>
          <w:szCs w:val="19"/>
        </w:rPr>
        <w:t xml:space="preserve">Consultant      </w:t>
      </w:r>
      <w:r>
        <w:rPr>
          <w:b/>
          <w:bCs/>
          <w:color w:val="1F3864"/>
          <w:sz w:val="19"/>
          <w:szCs w:val="19"/>
        </w:rPr>
        <w:t xml:space="preserve">Resulting status:  </w:t>
      </w:r>
      <w:r>
        <w:rPr>
          <w:sz w:val="19"/>
          <w:szCs w:val="19"/>
        </w:rPr>
        <w:t xml:space="preserve">Receipt logged      </w:t>
      </w:r>
      <w:r>
        <w:rPr>
          <w:b/>
          <w:bCs/>
          <w:color w:val="1F3864"/>
          <w:sz w:val="19"/>
          <w:szCs w:val="19"/>
        </w:rPr>
        <w:t xml:space="preserve">Email alert:  </w:t>
      </w:r>
      <w:r>
        <w:rPr>
          <w:sz w:val="19"/>
          <w:szCs w:val="19"/>
        </w:rPr>
        <w:t xml:space="preserve">Management and Store Officers are notified that materials were received on site.</w:t>
      </w:r>
    </w:p>
    <w:p>
      <w:pPr>
        <w:pStyle w:val="Heading2"/>
      </w:pPr>
      <w:r>
        <w:t xml:space="preserve">Step 9 — BoQ deduction</w:t>
      </w:r>
    </w:p>
    <w:p>
      <w:pPr>
        <w:spacing w:after="140" w:line="300"/>
      </w:pPr>
      <w:r>
        <w:rPr>
          <w:sz w:val="22"/>
          <w:szCs w:val="22"/>
        </w:rPr>
        <w:t xml:space="preserve">On the confirmed site receipt, the system posts the received quantity against the project's Bill of Quantity. The BoQ's received quantity increases and the contract balance — contract quantity minus received quantity — decreases accordingly. This deduction is the end of the request-to-BoQ-deduction chain: a request that began as a line on a form is now reflected in the project's contractual position.</w:t>
      </w:r>
    </w:p>
    <w:p>
      <w:pPr>
        <w:spacing w:after="140" w:line="300"/>
      </w:pPr>
      <w:r>
        <w:rPr>
          <w:sz w:val="22"/>
          <w:szCs w:val="22"/>
        </w:rPr>
        <w:t xml:space="preserve">If the received quantity pushes the BoQ line beyond its contracted amount, the system flags an over-issuance and opens a justification workflow, in which project staff record a category and reason and Management reviews the outcome.</w:t>
      </w:r>
    </w:p>
    <w:p>
      <w:pPr>
        <w:pBdr>
          <w:left w:val="single" w:color="2E75B6" w:sz="18" w:space="8"/>
        </w:pBdr>
        <w:spacing w:after="200" w:before="40" w:line="280"/>
        <w:ind w:left="160"/>
      </w:pPr>
      <w:r>
        <w:rPr>
          <w:b/>
          <w:bCs/>
          <w:color w:val="1F3864"/>
          <w:sz w:val="19"/>
          <w:szCs w:val="19"/>
        </w:rPr>
        <w:t xml:space="preserve">Actor:  </w:t>
      </w:r>
      <w:r>
        <w:rPr>
          <w:sz w:val="19"/>
          <w:szCs w:val="19"/>
        </w:rPr>
        <w:t xml:space="preserve">System (automatic)      </w:t>
      </w:r>
      <w:r>
        <w:rPr>
          <w:b/>
          <w:bCs/>
          <w:color w:val="1F3864"/>
          <w:sz w:val="19"/>
          <w:szCs w:val="19"/>
        </w:rPr>
        <w:t xml:space="preserve">Resulting status:  </w:t>
      </w:r>
      <w:r>
        <w:rPr>
          <w:sz w:val="19"/>
          <w:szCs w:val="19"/>
        </w:rPr>
        <w:t xml:space="preserve">BoQ updated      </w:t>
      </w:r>
      <w:r>
        <w:rPr>
          <w:b/>
          <w:bCs/>
          <w:color w:val="1F3864"/>
          <w:sz w:val="19"/>
          <w:szCs w:val="19"/>
        </w:rPr>
        <w:t xml:space="preserve">Email alert:  </w:t>
      </w:r>
      <w:r>
        <w:rPr>
          <w:sz w:val="19"/>
          <w:szCs w:val="19"/>
        </w:rPr>
        <w:t xml:space="preserve">Management is notified of new BoQ entries and of any over-issuance justification submitted.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1F5" w:val="clear"/>
            <w:tcMar>
              <w:top w:type="dxa" w:w="360"/>
              <w:left w:type="dxa" w:w="200"/>
              <w:bottom w:type="dxa" w:w="360"/>
              <w:right w:type="dxa" w:w="200"/>
            </w:tcMar>
            <w:vAlign w:val="center"/>
          </w:tcPr>
          <w:p>
            <w:pPr>
              <w:spacing w:after="60"/>
              <w:jc w:val="center"/>
            </w:pPr>
            <w:r>
              <w:rPr>
                <w:b/>
                <w:bCs/>
                <w:color w:val="2E75B6"/>
                <w:sz w:val="20"/>
                <w:szCs w:val="20"/>
              </w:rPr>
              <w:t xml:space="preserve">[ SCREENSHOT TO BE INSERTED ]</w:t>
            </w:r>
          </w:p>
          <w:p>
            <w:pPr>
              <w:jc w:val="center"/>
            </w:pPr>
            <w:r>
              <w:rPr>
                <w:i/>
                <w:iCs/>
                <w:color w:val="5A5A5A"/>
                <w:sz w:val="20"/>
                <w:szCs w:val="20"/>
              </w:rPr>
              <w:t xml:space="preserve">The Bill of Quantity view, showing contract quantity, received quantity and the running balance.</w:t>
            </w:r>
          </w:p>
        </w:tc>
      </w:tr>
    </w:tbl>
    <w:p>
      <w:pPr>
        <w:spacing w:after="220" w:before="60"/>
        <w:jc w:val="center"/>
      </w:pPr>
      <w:r>
        <w:rPr>
          <w:b/>
          <w:bCs/>
          <w:color w:val="1F3864"/>
          <w:sz w:val="18"/>
          <w:szCs w:val="18"/>
        </w:rPr>
        <w:t xml:space="preserve">Figure 2. </w:t>
      </w:r>
      <w:r>
        <w:rPr>
          <w:i/>
          <w:iCs/>
          <w:color w:val="5A5A5A"/>
          <w:sz w:val="18"/>
          <w:szCs w:val="18"/>
        </w:rPr>
        <w:t xml:space="preserve">The Bill of Quantity view, showing contract quantity, received quantity and the running balance.</w:t>
      </w:r>
    </w:p>
    <w:p>
      <w:pPr>
        <w:pStyle w:val="Heading1"/>
        <w:pageBreakBefore/>
      </w:pPr>
      <w:r>
        <w:t xml:space="preserve">4.  An email alert at every step</w:t>
      </w:r>
    </w:p>
    <w:p>
      <w:pPr>
        <w:spacing w:after="140" w:line="300"/>
      </w:pPr>
      <w:r>
        <w:rPr>
          <w:sz w:val="22"/>
          <w:szCs w:val="22"/>
        </w:rPr>
        <w:t xml:space="preserve">Every state change in the workflow now raises an email alert in addition to the in-app notification. Alerts are delivered through Microsoft 365 using the Microsoft Graph API, so they arrive in the recipients' normal Outlook inboxes — no separate login or portal check is required.</w:t>
      </w:r>
    </w:p>
    <w:p>
      <w:pPr>
        <w:pStyle w:val="Heading2"/>
      </w:pPr>
      <w:r>
        <w:t xml:space="preserve">How an alert is raised</w:t>
      </w:r>
    </w:p>
    <w:p>
      <w:pPr>
        <w:spacing w:after="140" w:line="300"/>
      </w:pPr>
      <w:r>
        <w:rPr>
          <w:sz w:val="22"/>
          <w:szCs w:val="22"/>
        </w:rPr>
        <w:t xml:space="preserve">When a record is created or its status changes, the system reacts automatically: it builds a notification, resolves the recipient role (for example “Store Officers” or “Management”) into a set of email addresses, composes an HTML message, and sends it through a staff account that holds valid Microsoft 365 credentials.</w:t>
      </w:r>
    </w:p>
    <w:p>
      <w:pPr>
        <w:spacing w:after="140" w:line="300"/>
      </w:pPr>
      <w:r>
        <w:rPr>
          <w:b/>
          <w:bCs/>
          <w:sz w:val="22"/>
          <w:szCs w:val="22"/>
        </w:rPr>
        <w:t xml:space="preserve">Delivery is fault-tolerant by design. </w:t>
      </w:r>
      <w:r>
        <w:rPr>
          <w:sz w:val="22"/>
          <w:szCs w:val="22"/>
        </w:rPr>
        <w:t xml:space="preserve">If no valid sender account is available, if the recipient list is empty, or if the Microsoft Graph call fails, the failure is recorded in the system log and the workflow simply continues. A notification problem can never block, delay or crash a material transaction.</w:t>
      </w:r>
    </w:p>
    <w:p>
      <w:pPr>
        <w:pStyle w:val="Heading2"/>
      </w:pPr>
      <w:r>
        <w:t xml:space="preserve">Notification coverage</w:t>
      </w:r>
    </w:p>
    <w:p>
      <w:pPr>
        <w:spacing w:after="140" w:line="300"/>
      </w:pPr>
      <w:r>
        <w:rPr>
          <w:sz w:val="22"/>
          <w:szCs w:val="22"/>
        </w:rPr>
        <w:t xml:space="preserve">The table below lists every workflow event that currently raises an alert, and who receives it. Each event delivers both an in-app notification and a Microsoft 365 email.</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3500"/>
        <w:gridCol w:w="3360"/>
        <w:gridCol w:w="2500"/>
      </w:tblGrid>
      <w:tr>
        <w:trPr>
          <w:tblHeader/>
        </w:trPr>
        <w:tc>
          <w:tcPr>
            <w:tcW w:type="dxa" w:w="3500"/>
            <w:shd w:fill="1F3864" w:val="clear"/>
            <w:tcMar>
              <w:top w:type="dxa" w:w="90"/>
              <w:left w:type="dxa" w:w="120"/>
              <w:bottom w:type="dxa" w:w="90"/>
              <w:right w:type="dxa" w:w="120"/>
            </w:tcMar>
            <w:vAlign w:val="center"/>
          </w:tcPr>
          <w:p>
            <w:r>
              <w:rPr>
                <w:b/>
                <w:bCs/>
                <w:color w:val="FFFFFF"/>
                <w:sz w:val="20"/>
                <w:szCs w:val="20"/>
              </w:rPr>
              <w:t xml:space="preserve">Workflow event</w:t>
            </w:r>
          </w:p>
        </w:tc>
        <w:tc>
          <w:tcPr>
            <w:tcW w:type="dxa" w:w="3360"/>
            <w:shd w:fill="1F3864" w:val="clear"/>
            <w:tcMar>
              <w:top w:type="dxa" w:w="90"/>
              <w:left w:type="dxa" w:w="120"/>
              <w:bottom w:type="dxa" w:w="90"/>
              <w:right w:type="dxa" w:w="120"/>
            </w:tcMar>
            <w:vAlign w:val="center"/>
          </w:tcPr>
          <w:p>
            <w:r>
              <w:rPr>
                <w:b/>
                <w:bCs/>
                <w:color w:val="FFFFFF"/>
                <w:sz w:val="20"/>
                <w:szCs w:val="20"/>
              </w:rPr>
              <w:t xml:space="preserve">Recipients</w:t>
            </w:r>
          </w:p>
        </w:tc>
        <w:tc>
          <w:tcPr>
            <w:tcW w:type="dxa" w:w="2500"/>
            <w:shd w:fill="1F3864" w:val="clear"/>
            <w:tcMar>
              <w:top w:type="dxa" w:w="90"/>
              <w:left w:type="dxa" w:w="120"/>
              <w:bottom w:type="dxa" w:w="90"/>
              <w:right w:type="dxa" w:w="120"/>
            </w:tcMar>
            <w:vAlign w:val="center"/>
          </w:tcPr>
          <w:p>
            <w:r>
              <w:rPr>
                <w:b/>
                <w:bCs/>
                <w:color w:val="FFFFFF"/>
                <w:sz w:val="20"/>
                <w:szCs w:val="20"/>
              </w:rPr>
              <w:t xml:space="preserve">Channel</w:t>
            </w:r>
          </w:p>
        </w:tc>
      </w:tr>
      <w:tr>
        <w:tc>
          <w:tcPr>
            <w:tcW w:type="dxa" w:w="3500"/>
            <w:shd w:fill="FFFFFF" w:val="clear"/>
            <w:tcMar>
              <w:top w:type="dxa" w:w="80"/>
              <w:left w:type="dxa" w:w="120"/>
              <w:bottom w:type="dxa" w:w="80"/>
              <w:right w:type="dxa" w:w="120"/>
            </w:tcMar>
            <w:vAlign w:val="center"/>
          </w:tcPr>
          <w:p>
            <w:r>
              <w:rPr>
                <w:b w:val="false"/>
                <w:bCs w:val="false"/>
                <w:sz w:val="19"/>
                <w:szCs w:val="19"/>
              </w:rPr>
              <w:t xml:space="preserve">New release request created</w:t>
            </w:r>
          </w:p>
        </w:tc>
        <w:tc>
          <w:tcPr>
            <w:tcW w:type="dxa" w:w="3360"/>
            <w:shd w:fill="FFFFFF" w:val="clear"/>
            <w:tcMar>
              <w:top w:type="dxa" w:w="80"/>
              <w:left w:type="dxa" w:w="120"/>
              <w:bottom w:type="dxa" w:w="80"/>
              <w:right w:type="dxa" w:w="120"/>
            </w:tcMar>
            <w:vAlign w:val="center"/>
          </w:tcPr>
          <w:p>
            <w:r>
              <w:rPr>
                <w:b w:val="false"/>
                <w:bCs w:val="false"/>
                <w:sz w:val="19"/>
                <w:szCs w:val="19"/>
              </w:rPr>
              <w:t xml:space="preserve">Store Officers, Management</w:t>
            </w:r>
          </w:p>
        </w:tc>
        <w:tc>
          <w:tcPr>
            <w:tcW w:type="dxa" w:w="2500"/>
            <w:shd w:fill="FFFFFF" w:val="clear"/>
            <w:tcMar>
              <w:top w:type="dxa" w:w="80"/>
              <w:left w:type="dxa" w:w="120"/>
              <w:bottom w:type="dxa" w:w="80"/>
              <w:right w:type="dxa" w:w="120"/>
            </w:tcMar>
            <w:vAlign w:val="center"/>
          </w:tcPr>
          <w:p>
            <w:r>
              <w:rPr>
                <w:b w:val="false"/>
                <w:bCs w:val="false"/>
                <w:sz w:val="19"/>
                <w:szCs w:val="19"/>
              </w:rPr>
              <w:t xml:space="preserve">In-app + email</w:t>
            </w:r>
          </w:p>
        </w:tc>
      </w:tr>
      <w:tr>
        <w:tc>
          <w:tcPr>
            <w:tcW w:type="dxa" w:w="3500"/>
            <w:shd w:fill="EEF2F8" w:val="clear"/>
            <w:tcMar>
              <w:top w:type="dxa" w:w="80"/>
              <w:left w:type="dxa" w:w="120"/>
              <w:bottom w:type="dxa" w:w="80"/>
              <w:right w:type="dxa" w:w="120"/>
            </w:tcMar>
            <w:vAlign w:val="center"/>
          </w:tcPr>
          <w:p>
            <w:r>
              <w:rPr>
                <w:b w:val="false"/>
                <w:bCs w:val="false"/>
                <w:sz w:val="19"/>
                <w:szCs w:val="19"/>
              </w:rPr>
              <w:t xml:space="preserve">Order moves to Processing</w:t>
            </w:r>
          </w:p>
        </w:tc>
        <w:tc>
          <w:tcPr>
            <w:tcW w:type="dxa" w:w="3360"/>
            <w:shd w:fill="EEF2F8" w:val="clear"/>
            <w:tcMar>
              <w:top w:type="dxa" w:w="80"/>
              <w:left w:type="dxa" w:w="120"/>
              <w:bottom w:type="dxa" w:w="80"/>
              <w:right w:type="dxa" w:w="120"/>
            </w:tcMar>
            <w:vAlign w:val="center"/>
          </w:tcPr>
          <w:p>
            <w:r>
              <w:rPr>
                <w:b w:val="false"/>
                <w:bCs w:val="false"/>
                <w:sz w:val="19"/>
                <w:szCs w:val="19"/>
              </w:rPr>
              <w:t xml:space="preserve">Original requester, Management</w:t>
            </w:r>
          </w:p>
        </w:tc>
        <w:tc>
          <w:tcPr>
            <w:tcW w:type="dxa" w:w="2500"/>
            <w:shd w:fill="EEF2F8" w:val="clear"/>
            <w:tcMar>
              <w:top w:type="dxa" w:w="80"/>
              <w:left w:type="dxa" w:w="120"/>
              <w:bottom w:type="dxa" w:w="80"/>
              <w:right w:type="dxa" w:w="120"/>
            </w:tcMar>
            <w:vAlign w:val="center"/>
          </w:tcPr>
          <w:p>
            <w:r>
              <w:rPr>
                <w:b w:val="false"/>
                <w:bCs w:val="false"/>
                <w:sz w:val="19"/>
                <w:szCs w:val="19"/>
              </w:rPr>
              <w:t xml:space="preserve">In-app + email</w:t>
            </w:r>
          </w:p>
        </w:tc>
      </w:tr>
      <w:tr>
        <w:tc>
          <w:tcPr>
            <w:tcW w:type="dxa" w:w="3500"/>
            <w:shd w:fill="FFFFFF" w:val="clear"/>
            <w:tcMar>
              <w:top w:type="dxa" w:w="80"/>
              <w:left w:type="dxa" w:w="120"/>
              <w:bottom w:type="dxa" w:w="80"/>
              <w:right w:type="dxa" w:w="120"/>
            </w:tcMar>
            <w:vAlign w:val="center"/>
          </w:tcPr>
          <w:p>
            <w:r>
              <w:rPr>
                <w:b w:val="false"/>
                <w:bCs w:val="false"/>
                <w:sz w:val="19"/>
                <w:szCs w:val="19"/>
              </w:rPr>
              <w:t xml:space="preserve">Order marked Completed</w:t>
            </w:r>
          </w:p>
        </w:tc>
        <w:tc>
          <w:tcPr>
            <w:tcW w:type="dxa" w:w="3360"/>
            <w:shd w:fill="FFFFFF" w:val="clear"/>
            <w:tcMar>
              <w:top w:type="dxa" w:w="80"/>
              <w:left w:type="dxa" w:w="120"/>
              <w:bottom w:type="dxa" w:w="80"/>
              <w:right w:type="dxa" w:w="120"/>
            </w:tcMar>
            <w:vAlign w:val="center"/>
          </w:tcPr>
          <w:p>
            <w:r>
              <w:rPr>
                <w:b w:val="false"/>
                <w:bCs w:val="false"/>
                <w:sz w:val="19"/>
                <w:szCs w:val="19"/>
              </w:rPr>
              <w:t xml:space="preserve">Original requester, Management</w:t>
            </w:r>
          </w:p>
        </w:tc>
        <w:tc>
          <w:tcPr>
            <w:tcW w:type="dxa" w:w="2500"/>
            <w:shd w:fill="FFFFFF" w:val="clear"/>
            <w:tcMar>
              <w:top w:type="dxa" w:w="80"/>
              <w:left w:type="dxa" w:w="120"/>
              <w:bottom w:type="dxa" w:w="80"/>
              <w:right w:type="dxa" w:w="120"/>
            </w:tcMar>
            <w:vAlign w:val="center"/>
          </w:tcPr>
          <w:p>
            <w:r>
              <w:rPr>
                <w:b w:val="false"/>
                <w:bCs w:val="false"/>
                <w:sz w:val="19"/>
                <w:szCs w:val="19"/>
              </w:rPr>
              <w:t xml:space="preserve">In-app + email</w:t>
            </w:r>
          </w:p>
        </w:tc>
      </w:tr>
      <w:tr>
        <w:tc>
          <w:tcPr>
            <w:tcW w:type="dxa" w:w="3500"/>
            <w:shd w:fill="EEF2F8" w:val="clear"/>
            <w:tcMar>
              <w:top w:type="dxa" w:w="80"/>
              <w:left w:type="dxa" w:w="120"/>
              <w:bottom w:type="dxa" w:w="80"/>
              <w:right w:type="dxa" w:w="120"/>
            </w:tcMar>
            <w:vAlign w:val="center"/>
          </w:tcPr>
          <w:p>
            <w:r>
              <w:rPr>
                <w:b w:val="false"/>
                <w:bCs w:val="false"/>
                <w:sz w:val="19"/>
                <w:szCs w:val="19"/>
              </w:rPr>
              <w:t xml:space="preserve">Transport assigned</w:t>
            </w:r>
          </w:p>
        </w:tc>
        <w:tc>
          <w:tcPr>
            <w:tcW w:type="dxa" w:w="3360"/>
            <w:shd w:fill="EEF2F8" w:val="clear"/>
            <w:tcMar>
              <w:top w:type="dxa" w:w="80"/>
              <w:left w:type="dxa" w:w="120"/>
              <w:bottom w:type="dxa" w:w="80"/>
              <w:right w:type="dxa" w:w="120"/>
            </w:tcMar>
            <w:vAlign w:val="center"/>
          </w:tcPr>
          <w:p>
            <w:r>
              <w:rPr>
                <w:b w:val="false"/>
                <w:bCs w:val="false"/>
                <w:sz w:val="19"/>
                <w:szCs w:val="19"/>
              </w:rPr>
              <w:t xml:space="preserve">Management</w:t>
            </w:r>
          </w:p>
        </w:tc>
        <w:tc>
          <w:tcPr>
            <w:tcW w:type="dxa" w:w="2500"/>
            <w:shd w:fill="EEF2F8" w:val="clear"/>
            <w:tcMar>
              <w:top w:type="dxa" w:w="80"/>
              <w:left w:type="dxa" w:w="120"/>
              <w:bottom w:type="dxa" w:w="80"/>
              <w:right w:type="dxa" w:w="120"/>
            </w:tcMar>
            <w:vAlign w:val="center"/>
          </w:tcPr>
          <w:p>
            <w:r>
              <w:rPr>
                <w:b w:val="false"/>
                <w:bCs w:val="false"/>
                <w:sz w:val="19"/>
                <w:szCs w:val="19"/>
              </w:rPr>
              <w:t xml:space="preserve">In-app + email</w:t>
            </w:r>
          </w:p>
        </w:tc>
      </w:tr>
      <w:tr>
        <w:tc>
          <w:tcPr>
            <w:tcW w:type="dxa" w:w="3500"/>
            <w:shd w:fill="FFFFFF" w:val="clear"/>
            <w:tcMar>
              <w:top w:type="dxa" w:w="80"/>
              <w:left w:type="dxa" w:w="120"/>
              <w:bottom w:type="dxa" w:w="80"/>
              <w:right w:type="dxa" w:w="120"/>
            </w:tcMar>
            <w:vAlign w:val="center"/>
          </w:tcPr>
          <w:p>
            <w:r>
              <w:rPr>
                <w:b w:val="false"/>
                <w:bCs w:val="false"/>
                <w:sz w:val="19"/>
                <w:szCs w:val="19"/>
              </w:rPr>
              <w:t xml:space="preserve">Transport marked In Transit</w:t>
            </w:r>
          </w:p>
        </w:tc>
        <w:tc>
          <w:tcPr>
            <w:tcW w:type="dxa" w:w="3360"/>
            <w:shd w:fill="FFFFFF" w:val="clear"/>
            <w:tcMar>
              <w:top w:type="dxa" w:w="80"/>
              <w:left w:type="dxa" w:w="120"/>
              <w:bottom w:type="dxa" w:w="80"/>
              <w:right w:type="dxa" w:w="120"/>
            </w:tcMar>
            <w:vAlign w:val="center"/>
          </w:tcPr>
          <w:p>
            <w:r>
              <w:rPr>
                <w:b w:val="false"/>
                <w:bCs w:val="false"/>
                <w:sz w:val="19"/>
                <w:szCs w:val="19"/>
              </w:rPr>
              <w:t xml:space="preserve">Receiving group</w:t>
            </w:r>
          </w:p>
        </w:tc>
        <w:tc>
          <w:tcPr>
            <w:tcW w:type="dxa" w:w="2500"/>
            <w:shd w:fill="FFFFFF" w:val="clear"/>
            <w:tcMar>
              <w:top w:type="dxa" w:w="80"/>
              <w:left w:type="dxa" w:w="120"/>
              <w:bottom w:type="dxa" w:w="80"/>
              <w:right w:type="dxa" w:w="120"/>
            </w:tcMar>
            <w:vAlign w:val="center"/>
          </w:tcPr>
          <w:p>
            <w:r>
              <w:rPr>
                <w:b w:val="false"/>
                <w:bCs w:val="false"/>
                <w:sz w:val="19"/>
                <w:szCs w:val="19"/>
              </w:rPr>
              <w:t xml:space="preserve">In-app + email</w:t>
            </w:r>
          </w:p>
        </w:tc>
      </w:tr>
      <w:tr>
        <w:tc>
          <w:tcPr>
            <w:tcW w:type="dxa" w:w="3500"/>
            <w:shd w:fill="EEF2F8" w:val="clear"/>
            <w:tcMar>
              <w:top w:type="dxa" w:w="80"/>
              <w:left w:type="dxa" w:w="120"/>
              <w:bottom w:type="dxa" w:w="80"/>
              <w:right w:type="dxa" w:w="120"/>
            </w:tcMar>
            <w:vAlign w:val="center"/>
          </w:tcPr>
          <w:p>
            <w:r>
              <w:rPr>
                <w:b w:val="false"/>
                <w:bCs w:val="false"/>
                <w:sz w:val="19"/>
                <w:szCs w:val="19"/>
              </w:rPr>
              <w:t xml:space="preserve">Transport marked Delivered</w:t>
            </w:r>
          </w:p>
        </w:tc>
        <w:tc>
          <w:tcPr>
            <w:tcW w:type="dxa" w:w="3360"/>
            <w:shd w:fill="EEF2F8" w:val="clear"/>
            <w:tcMar>
              <w:top w:type="dxa" w:w="80"/>
              <w:left w:type="dxa" w:w="120"/>
              <w:bottom w:type="dxa" w:w="80"/>
              <w:right w:type="dxa" w:w="120"/>
            </w:tcMar>
            <w:vAlign w:val="center"/>
          </w:tcPr>
          <w:p>
            <w:r>
              <w:rPr>
                <w:b w:val="false"/>
                <w:bCs w:val="false"/>
                <w:sz w:val="19"/>
                <w:szCs w:val="19"/>
              </w:rPr>
              <w:t xml:space="preserve">Receiving group</w:t>
            </w:r>
          </w:p>
        </w:tc>
        <w:tc>
          <w:tcPr>
            <w:tcW w:type="dxa" w:w="2500"/>
            <w:shd w:fill="EEF2F8" w:val="clear"/>
            <w:tcMar>
              <w:top w:type="dxa" w:w="80"/>
              <w:left w:type="dxa" w:w="120"/>
              <w:bottom w:type="dxa" w:w="80"/>
              <w:right w:type="dxa" w:w="120"/>
            </w:tcMar>
            <w:vAlign w:val="center"/>
          </w:tcPr>
          <w:p>
            <w:r>
              <w:rPr>
                <w:b w:val="false"/>
                <w:bCs w:val="false"/>
                <w:sz w:val="19"/>
                <w:szCs w:val="19"/>
              </w:rPr>
              <w:t xml:space="preserve">In-app + email</w:t>
            </w:r>
          </w:p>
        </w:tc>
      </w:tr>
      <w:tr>
        <w:tc>
          <w:tcPr>
            <w:tcW w:type="dxa" w:w="3500"/>
            <w:shd w:fill="FFFFFF" w:val="clear"/>
            <w:tcMar>
              <w:top w:type="dxa" w:w="80"/>
              <w:left w:type="dxa" w:w="120"/>
              <w:bottom w:type="dxa" w:w="80"/>
              <w:right w:type="dxa" w:w="120"/>
            </w:tcMar>
            <w:vAlign w:val="center"/>
          </w:tcPr>
          <w:p>
            <w:r>
              <w:rPr>
                <w:b w:val="false"/>
                <w:bCs w:val="false"/>
                <w:sz w:val="19"/>
                <w:szCs w:val="19"/>
              </w:rPr>
              <w:t xml:space="preserve">Site receipt logged</w:t>
            </w:r>
          </w:p>
        </w:tc>
        <w:tc>
          <w:tcPr>
            <w:tcW w:type="dxa" w:w="3360"/>
            <w:shd w:fill="FFFFFF" w:val="clear"/>
            <w:tcMar>
              <w:top w:type="dxa" w:w="80"/>
              <w:left w:type="dxa" w:w="120"/>
              <w:bottom w:type="dxa" w:w="80"/>
              <w:right w:type="dxa" w:w="120"/>
            </w:tcMar>
            <w:vAlign w:val="center"/>
          </w:tcPr>
          <w:p>
            <w:r>
              <w:rPr>
                <w:b w:val="false"/>
                <w:bCs w:val="false"/>
                <w:sz w:val="19"/>
                <w:szCs w:val="19"/>
              </w:rPr>
              <w:t xml:space="preserve">Management, Store Officers</w:t>
            </w:r>
          </w:p>
        </w:tc>
        <w:tc>
          <w:tcPr>
            <w:tcW w:type="dxa" w:w="2500"/>
            <w:shd w:fill="FFFFFF" w:val="clear"/>
            <w:tcMar>
              <w:top w:type="dxa" w:w="80"/>
              <w:left w:type="dxa" w:w="120"/>
              <w:bottom w:type="dxa" w:w="80"/>
              <w:right w:type="dxa" w:w="120"/>
            </w:tcMar>
            <w:vAlign w:val="center"/>
          </w:tcPr>
          <w:p>
            <w:r>
              <w:rPr>
                <w:b w:val="false"/>
                <w:bCs w:val="false"/>
                <w:sz w:val="19"/>
                <w:szCs w:val="19"/>
              </w:rPr>
              <w:t xml:space="preserve">In-app + email</w:t>
            </w:r>
          </w:p>
        </w:tc>
      </w:tr>
      <w:tr>
        <w:tc>
          <w:tcPr>
            <w:tcW w:type="dxa" w:w="3500"/>
            <w:shd w:fill="EEF2F8" w:val="clear"/>
            <w:tcMar>
              <w:top w:type="dxa" w:w="80"/>
              <w:left w:type="dxa" w:w="120"/>
              <w:bottom w:type="dxa" w:w="80"/>
              <w:right w:type="dxa" w:w="120"/>
            </w:tcMar>
            <w:vAlign w:val="center"/>
          </w:tcPr>
          <w:p>
            <w:r>
              <w:rPr>
                <w:b w:val="false"/>
                <w:bCs w:val="false"/>
                <w:sz w:val="19"/>
                <w:szCs w:val="19"/>
              </w:rPr>
              <w:t xml:space="preserve">Low / critical stock reached</w:t>
            </w:r>
          </w:p>
        </w:tc>
        <w:tc>
          <w:tcPr>
            <w:tcW w:type="dxa" w:w="3360"/>
            <w:shd w:fill="EEF2F8" w:val="clear"/>
            <w:tcMar>
              <w:top w:type="dxa" w:w="80"/>
              <w:left w:type="dxa" w:w="120"/>
              <w:bottom w:type="dxa" w:w="80"/>
              <w:right w:type="dxa" w:w="120"/>
            </w:tcMar>
            <w:vAlign w:val="center"/>
          </w:tcPr>
          <w:p>
            <w:r>
              <w:rPr>
                <w:b w:val="false"/>
                <w:bCs w:val="false"/>
                <w:sz w:val="19"/>
                <w:szCs w:val="19"/>
              </w:rPr>
              <w:t xml:space="preserve">Store Officers, Management</w:t>
            </w:r>
          </w:p>
        </w:tc>
        <w:tc>
          <w:tcPr>
            <w:tcW w:type="dxa" w:w="2500"/>
            <w:shd w:fill="EEF2F8" w:val="clear"/>
            <w:tcMar>
              <w:top w:type="dxa" w:w="80"/>
              <w:left w:type="dxa" w:w="120"/>
              <w:bottom w:type="dxa" w:w="80"/>
              <w:right w:type="dxa" w:w="120"/>
            </w:tcMar>
            <w:vAlign w:val="center"/>
          </w:tcPr>
          <w:p>
            <w:r>
              <w:rPr>
                <w:b w:val="false"/>
                <w:bCs w:val="false"/>
                <w:sz w:val="19"/>
                <w:szCs w:val="19"/>
              </w:rPr>
              <w:t xml:space="preserve">In-app + email</w:t>
            </w:r>
          </w:p>
        </w:tc>
      </w:tr>
      <w:tr>
        <w:tc>
          <w:tcPr>
            <w:tcW w:type="dxa" w:w="3500"/>
            <w:shd w:fill="FFFFFF" w:val="clear"/>
            <w:tcMar>
              <w:top w:type="dxa" w:w="80"/>
              <w:left w:type="dxa" w:w="120"/>
              <w:bottom w:type="dxa" w:w="80"/>
              <w:right w:type="dxa" w:w="120"/>
            </w:tcMar>
            <w:vAlign w:val="center"/>
          </w:tcPr>
          <w:p>
            <w:r>
              <w:rPr>
                <w:b w:val="false"/>
                <w:bCs w:val="false"/>
                <w:sz w:val="19"/>
                <w:szCs w:val="19"/>
              </w:rPr>
              <w:t xml:space="preserve">BoQ entry created</w:t>
            </w:r>
          </w:p>
        </w:tc>
        <w:tc>
          <w:tcPr>
            <w:tcW w:type="dxa" w:w="3360"/>
            <w:shd w:fill="FFFFFF" w:val="clear"/>
            <w:tcMar>
              <w:top w:type="dxa" w:w="80"/>
              <w:left w:type="dxa" w:w="120"/>
              <w:bottom w:type="dxa" w:w="80"/>
              <w:right w:type="dxa" w:w="120"/>
            </w:tcMar>
            <w:vAlign w:val="center"/>
          </w:tcPr>
          <w:p>
            <w:r>
              <w:rPr>
                <w:b w:val="false"/>
                <w:bCs w:val="false"/>
                <w:sz w:val="19"/>
                <w:szCs w:val="19"/>
              </w:rPr>
              <w:t xml:space="preserve">Management</w:t>
            </w:r>
          </w:p>
        </w:tc>
        <w:tc>
          <w:tcPr>
            <w:tcW w:type="dxa" w:w="2500"/>
            <w:shd w:fill="FFFFFF" w:val="clear"/>
            <w:tcMar>
              <w:top w:type="dxa" w:w="80"/>
              <w:left w:type="dxa" w:w="120"/>
              <w:bottom w:type="dxa" w:w="80"/>
              <w:right w:type="dxa" w:w="120"/>
            </w:tcMar>
            <w:vAlign w:val="center"/>
          </w:tcPr>
          <w:p>
            <w:r>
              <w:rPr>
                <w:b w:val="false"/>
                <w:bCs w:val="false"/>
                <w:sz w:val="19"/>
                <w:szCs w:val="19"/>
              </w:rPr>
              <w:t xml:space="preserve">In-app + email</w:t>
            </w:r>
          </w:p>
        </w:tc>
      </w:tr>
      <w:tr>
        <w:tc>
          <w:tcPr>
            <w:tcW w:type="dxa" w:w="3500"/>
            <w:shd w:fill="EEF2F8" w:val="clear"/>
            <w:tcMar>
              <w:top w:type="dxa" w:w="80"/>
              <w:left w:type="dxa" w:w="120"/>
              <w:bottom w:type="dxa" w:w="80"/>
              <w:right w:type="dxa" w:w="120"/>
            </w:tcMar>
            <w:vAlign w:val="center"/>
          </w:tcPr>
          <w:p>
            <w:r>
              <w:rPr>
                <w:b w:val="false"/>
                <w:bCs w:val="false"/>
                <w:sz w:val="19"/>
                <w:szCs w:val="19"/>
              </w:rPr>
              <w:t xml:space="preserve">BoQ over-issuance justification submitted</w:t>
            </w:r>
          </w:p>
        </w:tc>
        <w:tc>
          <w:tcPr>
            <w:tcW w:type="dxa" w:w="3360"/>
            <w:shd w:fill="EEF2F8" w:val="clear"/>
            <w:tcMar>
              <w:top w:type="dxa" w:w="80"/>
              <w:left w:type="dxa" w:w="120"/>
              <w:bottom w:type="dxa" w:w="80"/>
              <w:right w:type="dxa" w:w="120"/>
            </w:tcMar>
            <w:vAlign w:val="center"/>
          </w:tcPr>
          <w:p>
            <w:r>
              <w:rPr>
                <w:b w:val="false"/>
                <w:bCs w:val="false"/>
                <w:sz w:val="19"/>
                <w:szCs w:val="19"/>
              </w:rPr>
              <w:t xml:space="preserve">Management</w:t>
            </w:r>
          </w:p>
        </w:tc>
        <w:tc>
          <w:tcPr>
            <w:tcW w:type="dxa" w:w="2500"/>
            <w:shd w:fill="EEF2F8" w:val="clear"/>
            <w:tcMar>
              <w:top w:type="dxa" w:w="80"/>
              <w:left w:type="dxa" w:w="120"/>
              <w:bottom w:type="dxa" w:w="80"/>
              <w:right w:type="dxa" w:w="120"/>
            </w:tcMar>
            <w:vAlign w:val="center"/>
          </w:tcPr>
          <w:p>
            <w:r>
              <w:rPr>
                <w:b w:val="false"/>
                <w:bCs w:val="false"/>
                <w:sz w:val="19"/>
                <w:szCs w:val="19"/>
              </w:rPr>
              <w:t xml:space="preserve">In-app + email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1F5" w:val="clear"/>
            <w:tcMar>
              <w:top w:type="dxa" w:w="360"/>
              <w:left w:type="dxa" w:w="200"/>
              <w:bottom w:type="dxa" w:w="360"/>
              <w:right w:type="dxa" w:w="200"/>
            </w:tcMar>
            <w:vAlign w:val="center"/>
          </w:tcPr>
          <w:p>
            <w:pPr>
              <w:spacing w:after="60"/>
              <w:jc w:val="center"/>
            </w:pPr>
            <w:r>
              <w:rPr>
                <w:b/>
                <w:bCs/>
                <w:color w:val="2E75B6"/>
                <w:sz w:val="20"/>
                <w:szCs w:val="20"/>
              </w:rPr>
              <w:t xml:space="preserve">[ SCREENSHOT TO BE INSERTED ]</w:t>
            </w:r>
          </w:p>
          <w:p>
            <w:pPr>
              <w:jc w:val="center"/>
            </w:pPr>
            <w:r>
              <w:rPr>
                <w:i/>
                <w:iCs/>
                <w:color w:val="5A5A5A"/>
                <w:sz w:val="20"/>
                <w:szCs w:val="20"/>
              </w:rPr>
              <w:t xml:space="preserve">An example workflow email alert as received in Outlook (and the in-app notifications list).</w:t>
            </w:r>
          </w:p>
        </w:tc>
      </w:tr>
    </w:tbl>
    <w:p>
      <w:pPr>
        <w:spacing w:after="220" w:before="60"/>
        <w:jc w:val="center"/>
      </w:pPr>
      <w:r>
        <w:rPr>
          <w:b/>
          <w:bCs/>
          <w:color w:val="1F3864"/>
          <w:sz w:val="18"/>
          <w:szCs w:val="18"/>
        </w:rPr>
        <w:t xml:space="preserve">Figure 3. </w:t>
      </w:r>
      <w:r>
        <w:rPr>
          <w:i/>
          <w:iCs/>
          <w:color w:val="5A5A5A"/>
          <w:sz w:val="18"/>
          <w:szCs w:val="18"/>
        </w:rPr>
        <w:t xml:space="preserve">An example workflow email alert as received in Outlook (and the in-app notifications list).</w:t>
      </w:r>
    </w:p>
    <w:p>
      <w:pPr>
        <w:spacing w:after="240" w:line="300"/>
      </w:pPr>
      <w:r>
        <w:rPr>
          <w:b/>
          <w:bCs/>
          <w:color w:val="2E5496"/>
          <w:sz w:val="22"/>
          <w:szCs w:val="22"/>
        </w:rPr>
        <w:t xml:space="preserve">Planned enhancement.  </w:t>
      </w:r>
      <w:r>
        <w:rPr>
          <w:sz w:val="22"/>
          <w:szCs w:val="22"/>
        </w:rPr>
        <w:t xml:space="preserve">Escalating reminder emails for approvals left unattended (at 24, 48 and 72 hours) are specified and scheduled as the next addition to this area; the per-event alerts described above are live in the current build.</w:t>
      </w:r>
    </w:p>
    <w:p>
      <w:pPr>
        <w:pStyle w:val="Heading1"/>
        <w:pageBreakBefore/>
      </w:pPr>
      <w:r>
        <w:t xml:space="preserve">5.  New feature — automatic document generation</w:t>
      </w:r>
    </w:p>
    <w:p>
      <w:pPr>
        <w:spacing w:after="140" w:line="300"/>
      </w:pPr>
      <w:r>
        <w:rPr>
          <w:sz w:val="22"/>
          <w:szCs w:val="22"/>
        </w:rPr>
        <w:t xml:space="preserve">Until recently, the approval memo and release letter for every material release were typed by hand in a word processor — a slow step, and one prone to inconsistent wording and transcription error. The current build generates both documents automatically, as PDFs, from the data already in the system.</w:t>
      </w:r>
    </w:p>
    <w:p>
      <w:pPr>
        <w:spacing w:after="140" w:line="300"/>
      </w:pPr>
      <w:r>
        <w:rPr>
          <w:sz w:val="22"/>
          <w:szCs w:val="22"/>
        </w:rPr>
        <w:t xml:space="preserve">Both documents are produced in a single action from the release record, shown below. The same action allocates the release code and advances the workflow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2E75B6" w:sz="4"/>
              <w:left w:val="dashed" w:color="2E75B6" w:sz="4"/>
              <w:bottom w:val="dashed" w:color="2E75B6" w:sz="4"/>
              <w:right w:val="dashed" w:color="2E75B6" w:sz="4"/>
            </w:tcBorders>
            <w:shd w:fill="EEF1F5" w:val="clear"/>
            <w:tcMar>
              <w:top w:type="dxa" w:w="360"/>
              <w:left w:type="dxa" w:w="200"/>
              <w:bottom w:type="dxa" w:w="360"/>
              <w:right w:type="dxa" w:w="200"/>
            </w:tcMar>
            <w:vAlign w:val="center"/>
          </w:tcPr>
          <w:p>
            <w:pPr>
              <w:spacing w:after="60"/>
              <w:jc w:val="center"/>
            </w:pPr>
            <w:r>
              <w:rPr>
                <w:b/>
                <w:bCs/>
                <w:color w:val="2E75B6"/>
                <w:sz w:val="20"/>
                <w:szCs w:val="20"/>
              </w:rPr>
              <w:t xml:space="preserve">[ SCREENSHOT TO BE INSERTED ]</w:t>
            </w:r>
          </w:p>
          <w:p>
            <w:pPr>
              <w:jc w:val="center"/>
            </w:pPr>
            <w:r>
              <w:rPr>
                <w:i/>
                <w:iCs/>
                <w:color w:val="5A5A5A"/>
                <w:sz w:val="20"/>
                <w:szCs w:val="20"/>
              </w:rPr>
              <w:t xml:space="preserve">The release record, showing the Generate memo &amp; letter action and the workflow status badge.</w:t>
            </w:r>
          </w:p>
        </w:tc>
      </w:tr>
    </w:tbl>
    <w:p>
      <w:pPr>
        <w:spacing w:after="220" w:before="60"/>
        <w:jc w:val="center"/>
      </w:pPr>
      <w:r>
        <w:rPr>
          <w:b/>
          <w:bCs/>
          <w:color w:val="1F3864"/>
          <w:sz w:val="18"/>
          <w:szCs w:val="18"/>
        </w:rPr>
        <w:t xml:space="preserve">Figure 4. </w:t>
      </w:r>
      <w:r>
        <w:rPr>
          <w:i/>
          <w:iCs/>
          <w:color w:val="5A5A5A"/>
          <w:sz w:val="18"/>
          <w:szCs w:val="18"/>
        </w:rPr>
        <w:t xml:space="preserve">The release record, showing the Generate memo &amp; letter action and the workflow status badge.</w:t>
      </w:r>
    </w:p>
    <w:p>
      <w:pPr>
        <w:pStyle w:val="Heading2"/>
      </w:pPr>
      <w:r>
        <w:t xml:space="preserve">5.1  Automatically generated approval memos</w:t>
      </w:r>
    </w:p>
    <w:p>
      <w:pPr>
        <w:spacing w:after="140" w:line="300"/>
      </w:pPr>
      <w:r>
        <w:rPr>
          <w:sz w:val="22"/>
          <w:szCs w:val="22"/>
        </w:rPr>
        <w:t xml:space="preserve">The approval memo is produced as a PDF that follows the standard memorandum format: a TO / FROM / DATE / SUBJECT header block, the body paragraphs, and a signature block. The signatory is not hard-coded — it is drawn from a Signatory table that an administrator can edit, so a change in leadership is a database update rather than a code change. The memo carries the release code (RE-YYYY-NNNN) in its header and footer, and a QR code that encodes the same value.</w:t>
      </w:r>
    </w:p>
    <w:p>
      <w:pPr>
        <w:spacing w:after="0" w:before="150"/>
      </w:pPr>
    </w:p>
    <w:tbl>
      <w:tblPr>
        <w:tblW w:type="dxa" w:w="4700"/>
        <w:jc w:val="center"/>
        <w:tblBorders>
          <w:top w:val="single" w:color="auto" w:sz="4"/>
          <w:left w:val="single" w:color="auto" w:sz="4"/>
          <w:bottom w:val="single" w:color="auto" w:sz="4"/>
          <w:right w:val="single" w:color="auto" w:sz="4"/>
          <w:insideH w:val="single" w:color="auto" w:sz="4"/>
          <w:insideV w:val="single" w:color="auto" w:sz="4"/>
        </w:tblBorders>
      </w:tblPr>
      <w:tblGrid>
        <w:gridCol w:w="4700"/>
      </w:tblGrid>
      <w:tr>
        <w:tc>
          <w:tcPr>
            <w:tcW w:type="dxa" w:w="4700"/>
            <w:tcBorders>
              <w:top w:val="single" w:color="B8C0CC" w:sz="4"/>
              <w:left w:val="single" w:color="B8C0CC" w:sz="4"/>
              <w:bottom w:val="single" w:color="B8C0CC" w:sz="4"/>
              <w:right w:val="single" w:color="B8C0CC" w:sz="4"/>
            </w:tcBorders>
            <w:tcMar>
              <w:top w:type="dxa" w:w="54"/>
              <w:left w:type="dxa" w:w="54"/>
              <w:bottom w:type="dxa" w:w="54"/>
              <w:right w:type="dxa" w:w="54"/>
            </w:tcMar>
          </w:tcPr>
          <w:p>
            <w:pPr>
              <w:spacing w:after="0" w:before="0"/>
              <w:jc w:val="center"/>
            </w:pPr>
            <w:r>
              <w:drawing>
                <wp:inline distT="0" distB="0" distL="0" distR="0">
                  <wp:extent cx="2895600" cy="4095750"/>
                  <wp:effectExtent t="0" r="0" b="0" l="0"/>
                  <wp:docPr id="1" name="figure-5" descr="A system-generated approval memo — release RE-2026-0003, 2,000 LED street lights for Goaso." title="A system-generated approval memo — release RE-2026-0003, 2,000 LED street lights for Go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95600" cy="4095750"/>
                          </a:xfrm>
                          <a:prstGeom prst="rect">
                            <a:avLst/>
                          </a:prstGeom>
                        </pic:spPr>
                      </pic:pic>
                    </a:graphicData>
                  </a:graphic>
                </wp:inline>
              </w:drawing>
            </w:r>
          </w:p>
        </w:tc>
      </w:tr>
    </w:tbl>
    <w:p>
      <w:pPr>
        <w:spacing w:after="220" w:before="60"/>
        <w:jc w:val="center"/>
      </w:pPr>
      <w:r>
        <w:rPr>
          <w:b/>
          <w:bCs/>
          <w:color w:val="1F3864"/>
          <w:sz w:val="18"/>
          <w:szCs w:val="18"/>
        </w:rPr>
        <w:t xml:space="preserve">Figure 5. </w:t>
      </w:r>
      <w:r>
        <w:rPr>
          <w:i/>
          <w:iCs/>
          <w:color w:val="5A5A5A"/>
          <w:sz w:val="18"/>
          <w:szCs w:val="18"/>
        </w:rPr>
        <w:t xml:space="preserve">A system-generated approval memo — release RE-2026-0003, 2,000 LED street lights for Goaso.</w:t>
      </w:r>
    </w:p>
    <w:p>
      <w:pPr>
        <w:pStyle w:val="Heading2"/>
      </w:pPr>
      <w:r>
        <w:t xml:space="preserve">5.2  Automatically generated release letters</w:t>
      </w:r>
    </w:p>
    <w:p>
      <w:pPr>
        <w:spacing w:after="140" w:line="300"/>
      </w:pPr>
      <w:r>
        <w:rPr>
          <w:sz w:val="22"/>
          <w:szCs w:val="22"/>
        </w:rPr>
        <w:t xml:space="preserve">The release letter is generated in the same action. It follows the official letter format — an addressee block, a bold subject line, the body, a signature block carrying the “FOR: HON. MINISTER” line, and a circulation (cc) list. Its wording adapts to the project type, so SHEP, Cost Sharing and Streetlights releases each read correctly. The release code is printed prominently and embedded in a QR code in a fixed corner of the page — this is what later allows an uploaded scan to be matched automatically to the correct release.</w:t>
      </w:r>
    </w:p>
    <w:p>
      <w:pPr>
        <w:spacing w:after="0" w:before="150"/>
      </w:pPr>
    </w:p>
    <w:tbl>
      <w:tblPr>
        <w:tblW w:type="dxa" w:w="4700"/>
        <w:jc w:val="center"/>
        <w:tblBorders>
          <w:top w:val="single" w:color="auto" w:sz="4"/>
          <w:left w:val="single" w:color="auto" w:sz="4"/>
          <w:bottom w:val="single" w:color="auto" w:sz="4"/>
          <w:right w:val="single" w:color="auto" w:sz="4"/>
          <w:insideH w:val="single" w:color="auto" w:sz="4"/>
          <w:insideV w:val="single" w:color="auto" w:sz="4"/>
        </w:tblBorders>
      </w:tblPr>
      <w:tblGrid>
        <w:gridCol w:w="4700"/>
      </w:tblGrid>
      <w:tr>
        <w:tc>
          <w:tcPr>
            <w:tcW w:type="dxa" w:w="4700"/>
            <w:tcBorders>
              <w:top w:val="single" w:color="B8C0CC" w:sz="4"/>
              <w:left w:val="single" w:color="B8C0CC" w:sz="4"/>
              <w:bottom w:val="single" w:color="B8C0CC" w:sz="4"/>
              <w:right w:val="single" w:color="B8C0CC" w:sz="4"/>
            </w:tcBorders>
            <w:tcMar>
              <w:top w:type="dxa" w:w="54"/>
              <w:left w:type="dxa" w:w="54"/>
              <w:bottom w:type="dxa" w:w="54"/>
              <w:right w:type="dxa" w:w="54"/>
            </w:tcMar>
          </w:tcPr>
          <w:p>
            <w:pPr>
              <w:spacing w:after="0" w:before="0"/>
              <w:jc w:val="center"/>
            </w:pPr>
            <w:r>
              <w:drawing>
                <wp:inline distT="0" distB="0" distL="0" distR="0">
                  <wp:extent cx="2895600" cy="4095750"/>
                  <wp:effectExtent t="0" r="0" b="0" l="0"/>
                  <wp:docPr id="1" name="figure-6" descr="A system-generated release letter — release RE-2026-0003, addressed to the Materials Management Unit." title="A system-generated release letter — release RE-2026-0003, addressed to the Materials Management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95600" cy="4095750"/>
                          </a:xfrm>
                          <a:prstGeom prst="rect">
                            <a:avLst/>
                          </a:prstGeom>
                        </pic:spPr>
                      </pic:pic>
                    </a:graphicData>
                  </a:graphic>
                </wp:inline>
              </w:drawing>
            </w:r>
          </w:p>
        </w:tc>
      </w:tr>
    </w:tbl>
    <w:p>
      <w:pPr>
        <w:spacing w:after="220" w:before="60"/>
        <w:jc w:val="center"/>
      </w:pPr>
      <w:r>
        <w:rPr>
          <w:b/>
          <w:bCs/>
          <w:color w:val="1F3864"/>
          <w:sz w:val="18"/>
          <w:szCs w:val="18"/>
        </w:rPr>
        <w:t xml:space="preserve">Figure 6. </w:t>
      </w:r>
      <w:r>
        <w:rPr>
          <w:i/>
          <w:iCs/>
          <w:color w:val="5A5A5A"/>
          <w:sz w:val="18"/>
          <w:szCs w:val="18"/>
        </w:rPr>
        <w:t xml:space="preserve">A system-generated release letter — release RE-2026-0003, addressed to the Materials Management Unit.</w:t>
      </w:r>
    </w:p>
    <w:p>
      <w:pPr>
        <w:pStyle w:val="Heading2"/>
      </w:pPr>
      <w:r>
        <w:t xml:space="preserve">5.3  Shared safeguards</w:t>
      </w:r>
    </w:p>
    <w:p>
      <w:pPr>
        <w:spacing w:after="140" w:line="300"/>
      </w:pPr>
      <w:r>
        <w:rPr>
          <w:sz w:val="22"/>
          <w:szCs w:val="22"/>
        </w:rPr>
        <w:t xml:space="preserve">Both documents are underpinned by the same set of controls:</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700"/>
        <w:gridCol w:w="6660"/>
      </w:tblGrid>
      <w:tr>
        <w:trPr>
          <w:tblHeader/>
        </w:trPr>
        <w:tc>
          <w:tcPr>
            <w:tcW w:type="dxa" w:w="2700"/>
            <w:shd w:fill="1F3864" w:val="clear"/>
            <w:tcMar>
              <w:top w:type="dxa" w:w="90"/>
              <w:left w:type="dxa" w:w="120"/>
              <w:bottom w:type="dxa" w:w="90"/>
              <w:right w:type="dxa" w:w="120"/>
            </w:tcMar>
            <w:vAlign w:val="center"/>
          </w:tcPr>
          <w:p>
            <w:r>
              <w:rPr>
                <w:b/>
                <w:bCs/>
                <w:color w:val="FFFFFF"/>
                <w:sz w:val="20"/>
                <w:szCs w:val="20"/>
              </w:rPr>
              <w:t xml:space="preserve">Safeguard</w:t>
            </w:r>
          </w:p>
        </w:tc>
        <w:tc>
          <w:tcPr>
            <w:tcW w:type="dxa" w:w="6660"/>
            <w:shd w:fill="1F3864" w:val="clear"/>
            <w:tcMar>
              <w:top w:type="dxa" w:w="90"/>
              <w:left w:type="dxa" w:w="120"/>
              <w:bottom w:type="dxa" w:w="90"/>
              <w:right w:type="dxa" w:w="120"/>
            </w:tcMar>
            <w:vAlign w:val="center"/>
          </w:tcPr>
          <w:p>
            <w:r>
              <w:rPr>
                <w:b/>
                <w:bCs/>
                <w:color w:val="FFFFFF"/>
                <w:sz w:val="20"/>
                <w:szCs w:val="20"/>
              </w:rPr>
              <w:t xml:space="preserve">What it does</w:t>
            </w:r>
          </w:p>
        </w:tc>
      </w:tr>
      <w:tr>
        <w:tc>
          <w:tcPr>
            <w:tcW w:type="dxa" w:w="2700"/>
            <w:shd w:fill="FFFFFF" w:val="clear"/>
            <w:tcMar>
              <w:top w:type="dxa" w:w="80"/>
              <w:left w:type="dxa" w:w="120"/>
              <w:bottom w:type="dxa" w:w="80"/>
              <w:right w:type="dxa" w:w="120"/>
            </w:tcMar>
            <w:vAlign w:val="center"/>
          </w:tcPr>
          <w:p>
            <w:r>
              <w:rPr>
                <w:b w:val="false"/>
                <w:bCs w:val="false"/>
                <w:sz w:val="19"/>
                <w:szCs w:val="19"/>
              </w:rPr>
              <w:t xml:space="preserve">Unique release code</w:t>
            </w:r>
          </w:p>
        </w:tc>
        <w:tc>
          <w:tcPr>
            <w:tcW w:type="dxa" w:w="6660"/>
            <w:shd w:fill="FFFFFF" w:val="clear"/>
            <w:tcMar>
              <w:top w:type="dxa" w:w="80"/>
              <w:left w:type="dxa" w:w="120"/>
              <w:bottom w:type="dxa" w:w="80"/>
              <w:right w:type="dxa" w:w="120"/>
            </w:tcMar>
            <w:vAlign w:val="center"/>
          </w:tcPr>
          <w:p>
            <w:r>
              <w:rPr>
                <w:b w:val="false"/>
                <w:bCs w:val="false"/>
                <w:sz w:val="19"/>
                <w:szCs w:val="19"/>
              </w:rPr>
              <w:t xml:space="preserve">Every release receives an RE-YYYY-NNNN code, allocated atomically and rolling over each year, so two releases can never share a reference.</w:t>
            </w:r>
          </w:p>
        </w:tc>
      </w:tr>
      <w:tr>
        <w:tc>
          <w:tcPr>
            <w:tcW w:type="dxa" w:w="2700"/>
            <w:shd w:fill="EEF2F8" w:val="clear"/>
            <w:tcMar>
              <w:top w:type="dxa" w:w="80"/>
              <w:left w:type="dxa" w:w="120"/>
              <w:bottom w:type="dxa" w:w="80"/>
              <w:right w:type="dxa" w:w="120"/>
            </w:tcMar>
            <w:vAlign w:val="center"/>
          </w:tcPr>
          <w:p>
            <w:r>
              <w:rPr>
                <w:b w:val="false"/>
                <w:bCs w:val="false"/>
                <w:sz w:val="19"/>
                <w:szCs w:val="19"/>
              </w:rPr>
              <w:t xml:space="preserve">QR validation on upload</w:t>
            </w:r>
          </w:p>
        </w:tc>
        <w:tc>
          <w:tcPr>
            <w:tcW w:type="dxa" w:w="6660"/>
            <w:shd w:fill="EEF2F8" w:val="clear"/>
            <w:tcMar>
              <w:top w:type="dxa" w:w="80"/>
              <w:left w:type="dxa" w:w="120"/>
              <w:bottom w:type="dxa" w:w="80"/>
              <w:right w:type="dxa" w:w="120"/>
            </w:tcMar>
            <w:vAlign w:val="center"/>
          </w:tcPr>
          <w:p>
            <w:r>
              <w:rPr>
                <w:b w:val="false"/>
                <w:bCs w:val="false"/>
                <w:sz w:val="19"/>
                <w:szCs w:val="19"/>
              </w:rPr>
              <w:t xml:space="preserve">When a signed scan is uploaded, the QR code is decoded and checked against the expected release code; a scan of the wrong document is flagged rather than accepted silently.</w:t>
            </w:r>
          </w:p>
        </w:tc>
      </w:tr>
      <w:tr>
        <w:tc>
          <w:tcPr>
            <w:tcW w:type="dxa" w:w="2700"/>
            <w:shd w:fill="FFFFFF" w:val="clear"/>
            <w:tcMar>
              <w:top w:type="dxa" w:w="80"/>
              <w:left w:type="dxa" w:w="120"/>
              <w:bottom w:type="dxa" w:w="80"/>
              <w:right w:type="dxa" w:w="120"/>
            </w:tcMar>
            <w:vAlign w:val="center"/>
          </w:tcPr>
          <w:p>
            <w:r>
              <w:rPr>
                <w:b w:val="false"/>
                <w:bCs w:val="false"/>
                <w:sz w:val="19"/>
                <w:szCs w:val="19"/>
              </w:rPr>
              <w:t xml:space="preserve">Two-person review</w:t>
            </w:r>
          </w:p>
        </w:tc>
        <w:tc>
          <w:tcPr>
            <w:tcW w:type="dxa" w:w="6660"/>
            <w:shd w:fill="FFFFFF" w:val="clear"/>
            <w:tcMar>
              <w:top w:type="dxa" w:w="80"/>
              <w:left w:type="dxa" w:w="120"/>
              <w:bottom w:type="dxa" w:w="80"/>
              <w:right w:type="dxa" w:w="120"/>
            </w:tcMar>
            <w:vAlign w:val="center"/>
          </w:tcPr>
          <w:p>
            <w:r>
              <w:rPr>
                <w:b w:val="false"/>
                <w:bCs w:val="false"/>
                <w:sz w:val="19"/>
                <w:szCs w:val="19"/>
              </w:rPr>
              <w:t xml:space="preserve">The officer who uploads a signed scan cannot also be the officer who confirms it, keeping a separation of duties on every approval.</w:t>
            </w:r>
          </w:p>
        </w:tc>
      </w:tr>
      <w:tr>
        <w:tc>
          <w:tcPr>
            <w:tcW w:type="dxa" w:w="2700"/>
            <w:shd w:fill="EEF2F8" w:val="clear"/>
            <w:tcMar>
              <w:top w:type="dxa" w:w="80"/>
              <w:left w:type="dxa" w:w="120"/>
              <w:bottom w:type="dxa" w:w="80"/>
              <w:right w:type="dxa" w:w="120"/>
            </w:tcMar>
            <w:vAlign w:val="center"/>
          </w:tcPr>
          <w:p>
            <w:r>
              <w:rPr>
                <w:b w:val="false"/>
                <w:bCs w:val="false"/>
                <w:sz w:val="19"/>
                <w:szCs w:val="19"/>
              </w:rPr>
              <w:t xml:space="preserve">Tracked workflow status</w:t>
            </w:r>
          </w:p>
        </w:tc>
        <w:tc>
          <w:tcPr>
            <w:tcW w:type="dxa" w:w="6660"/>
            <w:shd w:fill="EEF2F8" w:val="clear"/>
            <w:tcMar>
              <w:top w:type="dxa" w:w="80"/>
              <w:left w:type="dxa" w:w="120"/>
              <w:bottom w:type="dxa" w:w="80"/>
              <w:right w:type="dxa" w:w="120"/>
            </w:tcMar>
            <w:vAlign w:val="center"/>
          </w:tcPr>
          <w:p>
            <w:r>
              <w:rPr>
                <w:b w:val="false"/>
                <w:bCs w:val="false"/>
                <w:sz w:val="19"/>
                <w:szCs w:val="19"/>
              </w:rPr>
              <w:t xml:space="preserve">Each release is tracked through draft, memo generated, awaiting scan, approved and released, so its position is always visible.</w:t>
            </w:r>
          </w:p>
        </w:tc>
      </w:tr>
      <w:tr>
        <w:tc>
          <w:tcPr>
            <w:tcW w:type="dxa" w:w="2700"/>
            <w:shd w:fill="FFFFFF" w:val="clear"/>
            <w:tcMar>
              <w:top w:type="dxa" w:w="80"/>
              <w:left w:type="dxa" w:w="120"/>
              <w:bottom w:type="dxa" w:w="80"/>
              <w:right w:type="dxa" w:w="120"/>
            </w:tcMar>
            <w:vAlign w:val="center"/>
          </w:tcPr>
          <w:p>
            <w:r>
              <w:rPr>
                <w:b w:val="false"/>
                <w:bCs w:val="false"/>
                <w:sz w:val="19"/>
                <w:szCs w:val="19"/>
              </w:rPr>
              <w:t xml:space="preserve">Audit log</w:t>
            </w:r>
          </w:p>
        </w:tc>
        <w:tc>
          <w:tcPr>
            <w:tcW w:type="dxa" w:w="6660"/>
            <w:shd w:fill="FFFFFF" w:val="clear"/>
            <w:tcMar>
              <w:top w:type="dxa" w:w="80"/>
              <w:left w:type="dxa" w:w="120"/>
              <w:bottom w:type="dxa" w:w="80"/>
              <w:right w:type="dxa" w:w="120"/>
            </w:tcMar>
            <w:vAlign w:val="center"/>
          </w:tcPr>
          <w:p>
            <w:r>
              <w:rPr>
                <w:b w:val="false"/>
                <w:bCs w:val="false"/>
                <w:sz w:val="19"/>
                <w:szCs w:val="19"/>
              </w:rPr>
              <w:t xml:space="preserve">Every status transition writes an audit-log entry, giving a complete forensic trail of who did what and when.</w:t>
            </w:r>
          </w:p>
        </w:tc>
      </w:tr>
      <w:tr>
        <w:tc>
          <w:tcPr>
            <w:tcW w:type="dxa" w:w="2700"/>
            <w:shd w:fill="EEF2F8" w:val="clear"/>
            <w:tcMar>
              <w:top w:type="dxa" w:w="80"/>
              <w:left w:type="dxa" w:w="120"/>
              <w:bottom w:type="dxa" w:w="80"/>
              <w:right w:type="dxa" w:w="120"/>
            </w:tcMar>
            <w:vAlign w:val="center"/>
          </w:tcPr>
          <w:p>
            <w:r>
              <w:rPr>
                <w:b w:val="false"/>
                <w:bCs w:val="false"/>
                <w:sz w:val="19"/>
                <w:szCs w:val="19"/>
              </w:rPr>
              <w:t xml:space="preserve">Idempotent regeneration</w:t>
            </w:r>
          </w:p>
        </w:tc>
        <w:tc>
          <w:tcPr>
            <w:tcW w:type="dxa" w:w="6660"/>
            <w:shd w:fill="EEF2F8" w:val="clear"/>
            <w:tcMar>
              <w:top w:type="dxa" w:w="80"/>
              <w:left w:type="dxa" w:w="120"/>
              <w:bottom w:type="dxa" w:w="80"/>
              <w:right w:type="dxa" w:w="120"/>
            </w:tcMar>
            <w:vAlign w:val="center"/>
          </w:tcPr>
          <w:p>
            <w:r>
              <w:rPr>
                <w:b w:val="false"/>
                <w:bCs w:val="false"/>
                <w:sz w:val="19"/>
                <w:szCs w:val="19"/>
              </w:rPr>
              <w:t xml:space="preserve">Regenerating the documents refreshes the PDFs without re-issuing the release code, so corrections are safe.</w:t>
            </w:r>
          </w:p>
        </w:tc>
      </w:tr>
    </w:tbl>
    <w:p>
      <w:pPr>
        <w:spacing w:after="240"/>
      </w:pPr>
    </w:p>
    <w:p>
      <w:pPr>
        <w:pStyle w:val="Heading1"/>
        <w:pageBreakBefore/>
      </w:pPr>
      <w:r>
        <w:t xml:space="preserve">6.  Summary</w:t>
      </w:r>
    </w:p>
    <w:p>
      <w:pPr>
        <w:spacing w:after="140" w:line="300"/>
      </w:pPr>
      <w:r>
        <w:rPr>
          <w:sz w:val="22"/>
          <w:szCs w:val="22"/>
        </w:rPr>
        <w:t xml:space="preserve">Taken together, the current build gives the MOEN-IMS release process three properties it did not have before.</w:t>
      </w:r>
    </w:p>
    <w:tbl>
      <w:tblPr>
        <w:tblW w:type="dxa" w:w="9360"/>
        <w:tblBorders>
          <w:top w:val="single" w:color="BBBBBB" w:sz="2"/>
          <w:left w:val="single" w:color="BBBBBB" w:sz="2"/>
          <w:bottom w:val="single" w:color="BBBBBB" w:sz="2"/>
          <w:right w:val="single" w:color="BBBBBB" w:sz="2"/>
          <w:insideH w:val="single" w:color="BBBBBB" w:sz="2"/>
          <w:insideV w:val="single" w:color="BBBBBB" w:sz="2"/>
        </w:tblBorders>
      </w:tblPr>
      <w:tblGrid>
        <w:gridCol w:w="2700"/>
        <w:gridCol w:w="6660"/>
      </w:tblGrid>
      <w:tr>
        <w:trPr>
          <w:tblHeader/>
        </w:trPr>
        <w:tc>
          <w:tcPr>
            <w:tcW w:type="dxa" w:w="2700"/>
            <w:shd w:fill="1F3864" w:val="clear"/>
            <w:tcMar>
              <w:top w:type="dxa" w:w="90"/>
              <w:left w:type="dxa" w:w="120"/>
              <w:bottom w:type="dxa" w:w="90"/>
              <w:right w:type="dxa" w:w="120"/>
            </w:tcMar>
            <w:vAlign w:val="center"/>
          </w:tcPr>
          <w:p>
            <w:r>
              <w:rPr>
                <w:b/>
                <w:bCs/>
                <w:color w:val="FFFFFF"/>
                <w:sz w:val="20"/>
                <w:szCs w:val="20"/>
              </w:rPr>
              <w:t xml:space="preserve">Property</w:t>
            </w:r>
          </w:p>
        </w:tc>
        <w:tc>
          <w:tcPr>
            <w:tcW w:type="dxa" w:w="6660"/>
            <w:shd w:fill="1F3864" w:val="clear"/>
            <w:tcMar>
              <w:top w:type="dxa" w:w="90"/>
              <w:left w:type="dxa" w:w="120"/>
              <w:bottom w:type="dxa" w:w="90"/>
              <w:right w:type="dxa" w:w="120"/>
            </w:tcMar>
            <w:vAlign w:val="center"/>
          </w:tcPr>
          <w:p>
            <w:r>
              <w:rPr>
                <w:b/>
                <w:bCs/>
                <w:color w:val="FFFFFF"/>
                <w:sz w:val="20"/>
                <w:szCs w:val="20"/>
              </w:rPr>
              <w:t xml:space="preserve">What it means in practice</w:t>
            </w:r>
          </w:p>
        </w:tc>
      </w:tr>
      <w:tr>
        <w:tc>
          <w:tcPr>
            <w:tcW w:type="dxa" w:w="2700"/>
            <w:shd w:fill="FFFFFF" w:val="clear"/>
            <w:tcMar>
              <w:top w:type="dxa" w:w="80"/>
              <w:left w:type="dxa" w:w="120"/>
              <w:bottom w:type="dxa" w:w="80"/>
              <w:right w:type="dxa" w:w="120"/>
            </w:tcMar>
            <w:vAlign w:val="center"/>
          </w:tcPr>
          <w:p>
            <w:r>
              <w:rPr>
                <w:b w:val="false"/>
                <w:bCs w:val="false"/>
                <w:sz w:val="19"/>
                <w:szCs w:val="19"/>
              </w:rPr>
              <w:t xml:space="preserve">End-to-end traceability</w:t>
            </w:r>
          </w:p>
        </w:tc>
        <w:tc>
          <w:tcPr>
            <w:tcW w:type="dxa" w:w="6660"/>
            <w:shd w:fill="FFFFFF" w:val="clear"/>
            <w:tcMar>
              <w:top w:type="dxa" w:w="80"/>
              <w:left w:type="dxa" w:w="120"/>
              <w:bottom w:type="dxa" w:w="80"/>
              <w:right w:type="dxa" w:w="120"/>
            </w:tcMar>
            <w:vAlign w:val="center"/>
          </w:tcPr>
          <w:p>
            <w:r>
              <w:rPr>
                <w:b w:val="false"/>
                <w:bCs w:val="false"/>
                <w:sz w:val="19"/>
                <w:szCs w:val="19"/>
              </w:rPr>
              <w:t xml:space="preserve">A request can be followed from the form that created it, through processing, transport and site receipt, to the exact quantity deducted from the project Bill of Quantity.</w:t>
            </w:r>
          </w:p>
        </w:tc>
      </w:tr>
      <w:tr>
        <w:tc>
          <w:tcPr>
            <w:tcW w:type="dxa" w:w="2700"/>
            <w:shd w:fill="EEF2F8" w:val="clear"/>
            <w:tcMar>
              <w:top w:type="dxa" w:w="80"/>
              <w:left w:type="dxa" w:w="120"/>
              <w:bottom w:type="dxa" w:w="80"/>
              <w:right w:type="dxa" w:w="120"/>
            </w:tcMar>
            <w:vAlign w:val="center"/>
          </w:tcPr>
          <w:p>
            <w:r>
              <w:rPr>
                <w:b w:val="false"/>
                <w:bCs w:val="false"/>
                <w:sz w:val="19"/>
                <w:szCs w:val="19"/>
              </w:rPr>
              <w:t xml:space="preserve">An alert at every handover</w:t>
            </w:r>
          </w:p>
        </w:tc>
        <w:tc>
          <w:tcPr>
            <w:tcW w:type="dxa" w:w="6660"/>
            <w:shd w:fill="EEF2F8" w:val="clear"/>
            <w:tcMar>
              <w:top w:type="dxa" w:w="80"/>
              <w:left w:type="dxa" w:w="120"/>
              <w:bottom w:type="dxa" w:w="80"/>
              <w:right w:type="dxa" w:w="120"/>
            </w:tcMar>
            <w:vAlign w:val="center"/>
          </w:tcPr>
          <w:p>
            <w:r>
              <w:rPr>
                <w:b w:val="false"/>
                <w:bCs w:val="false"/>
                <w:sz w:val="19"/>
                <w:szCs w:val="19"/>
              </w:rPr>
              <w:t xml:space="preserve">Each role is emailed when work reaches them, so the workflow advances without anyone needing to poll a screen — and a failed alert never stalls a transaction.</w:t>
            </w:r>
          </w:p>
        </w:tc>
      </w:tr>
      <w:tr>
        <w:tc>
          <w:tcPr>
            <w:tcW w:type="dxa" w:w="2700"/>
            <w:shd w:fill="FFFFFF" w:val="clear"/>
            <w:tcMar>
              <w:top w:type="dxa" w:w="80"/>
              <w:left w:type="dxa" w:w="120"/>
              <w:bottom w:type="dxa" w:w="80"/>
              <w:right w:type="dxa" w:w="120"/>
            </w:tcMar>
            <w:vAlign w:val="center"/>
          </w:tcPr>
          <w:p>
            <w:r>
              <w:rPr>
                <w:b w:val="false"/>
                <w:bCs w:val="false"/>
                <w:sz w:val="19"/>
                <w:szCs w:val="19"/>
              </w:rPr>
              <w:t xml:space="preserve">Signed-ready documents in one click</w:t>
            </w:r>
          </w:p>
        </w:tc>
        <w:tc>
          <w:tcPr>
            <w:tcW w:type="dxa" w:w="6660"/>
            <w:shd w:fill="FFFFFF" w:val="clear"/>
            <w:tcMar>
              <w:top w:type="dxa" w:w="80"/>
              <w:left w:type="dxa" w:w="120"/>
              <w:bottom w:type="dxa" w:w="80"/>
              <w:right w:type="dxa" w:w="120"/>
            </w:tcMar>
            <w:vAlign w:val="center"/>
          </w:tcPr>
          <w:p>
            <w:r>
              <w:rPr>
                <w:b w:val="false"/>
                <w:bCs w:val="false"/>
                <w:sz w:val="19"/>
                <w:szCs w:val="19"/>
              </w:rPr>
              <w:t xml:space="preserve">Approval memos and release letters are generated automatically, consistently formatted, uniquely coded and QR-verifiable, replacing manual typing.</w:t>
            </w:r>
          </w:p>
        </w:tc>
      </w:tr>
    </w:tbl>
    <w:p>
      <w:pPr>
        <w:pBdr>
          <w:top w:val="single" w:color="2E75B6" w:sz="6" w:space="8"/>
        </w:pBdr>
        <w:spacing w:before="360"/>
      </w:pPr>
      <w:r>
        <w:rPr>
          <w:i/>
          <w:iCs/>
          <w:color w:val="5A5A5A"/>
          <w:sz w:val="20"/>
          <w:szCs w:val="20"/>
        </w:rPr>
        <w:t xml:space="preserve">End of brief.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A5A5A"/>
        <w:sz w:val="16"/>
        <w:szCs w:val="16"/>
      </w:rPr>
      <w:t xml:space="preserve">Technical brief — 24 May 2026</w:t>
    </w:r>
    <w:r>
      <w:rPr>
        <w:color w:val="5A5A5A"/>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b/>
        <w:bCs/>
        <w:color w:val="1F3864"/>
        <w:sz w:val="16"/>
        <w:szCs w:val="16"/>
      </w:rPr>
      <w:t xml:space="preserve">MOEN-IMS</w:t>
    </w:r>
    <w:r>
      <w:rPr>
        <w:color w:val="5A5A5A"/>
        <w:sz w:val="16"/>
        <w:szCs w:val="16"/>
      </w:rPr>
      <w:t xml:space="preserve">	Current Workflow, Email Alerts &amp; Document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0e9385933d78c5ba8e30cdeb7ced66470143a2.png"/><Relationship Id="rId10" Type="http://schemas.openxmlformats.org/officeDocument/2006/relationships/image" Target="media/0550cf39849331b70dd588b16185a14745d867d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2026-05-24T21:41:20.197Z</dcterms:created>
  <dcterms:modified xsi:type="dcterms:W3CDTF">2026-05-24T21:41:20.197Z</dcterms:modified>
</cp:coreProperties>
</file>

<file path=docProps/custom.xml><?xml version="1.0" encoding="utf-8"?>
<Properties xmlns="http://schemas.openxmlformats.org/officeDocument/2006/custom-properties" xmlns:vt="http://schemas.openxmlformats.org/officeDocument/2006/docPropsVTypes"/>
</file>