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color w:val="1F4D78"/>
          <w:sz w:val="44"/>
        </w:rPr>
        <w:t>体育大事件事件驱动量化投资系统中期报告</w:t>
      </w:r>
    </w:p>
    <w:p>
      <w:pPr>
        <w:spacing w:after="200" w:line="264" w:lineRule="auto"/>
      </w:pPr>
      <w:r>
        <w:rPr>
          <w:rFonts w:ascii="Calibri" w:hAnsi="Calibri" w:eastAsia="Microsoft YaHei"/>
          <w:b w:val="0"/>
          <w:color w:val="666666"/>
          <w:sz w:val="24"/>
        </w:rPr>
        <w:t>以 2026 FIFA 世界杯为核心模拟交易案例</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shd w:fill="F2F4F7"/>
            <w:tcMar>
              <w:top w:w="80" w:type="dxa"/>
              <w:start w:w="120" w:type="dxa"/>
              <w:bottom w:w="80" w:type="dxa"/>
              <w:end w:w="120" w:type="dxa"/>
            </w:tcMar>
            <w:vAlign w:val="center"/>
          </w:tcPr>
          <w:p>
            <w:pPr>
              <w:jc w:val="center"/>
            </w:pPr>
            <w:r>
              <w:rPr>
                <w:rFonts w:ascii="Calibri" w:hAnsi="Calibri" w:eastAsia="Microsoft YaHei"/>
                <w:b/>
                <w:color w:val="1F4D78"/>
                <w:sz w:val="18"/>
              </w:rPr>
              <w:t>项目</w:t>
            </w:r>
          </w:p>
        </w:tc>
        <w:tc>
          <w:tcPr>
            <w:tcW w:type="dxa" w:w="7128"/>
            <w:shd w:fill="F2F4F7"/>
            <w:tcMar>
              <w:top w:w="80" w:type="dxa"/>
              <w:start w:w="120" w:type="dxa"/>
              <w:bottom w:w="80" w:type="dxa"/>
              <w:end w:w="120" w:type="dxa"/>
            </w:tcMar>
            <w:vAlign w:val="center"/>
          </w:tcPr>
          <w:p>
            <w:pPr>
              <w:jc w:val="center"/>
            </w:pPr>
            <w:r>
              <w:rPr>
                <w:rFonts w:ascii="Calibri" w:hAnsi="Calibri" w:eastAsia="Microsoft YaHei"/>
                <w:b/>
                <w:color w:val="1F4D78"/>
                <w:sz w:val="18"/>
              </w:rPr>
              <w:t>内容</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数据冻结日</w:t>
            </w:r>
          </w:p>
        </w:tc>
        <w:tc>
          <w:tcPr>
            <w:tcW w:type="dxa" w:w="7128"/>
            <w:tcMar>
              <w:top w:w="80" w:type="dxa"/>
              <w:start w:w="120" w:type="dxa"/>
              <w:bottom w:w="80" w:type="dxa"/>
              <w:end w:w="120" w:type="dxa"/>
            </w:tcMar>
            <w:vAlign w:val="center"/>
          </w:tcPr>
          <w:p>
            <w:pPr>
              <w:jc w:val="left"/>
            </w:pPr>
            <w:r>
              <w:rPr>
                <w:rFonts w:ascii="Calibri" w:hAnsi="Calibri" w:eastAsia="Microsoft YaHei"/>
                <w:b w:val="0"/>
                <w:sz w:val="18"/>
              </w:rPr>
              <w:t>2026-05-26 收盘后</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模拟订单日</w:t>
            </w:r>
          </w:p>
        </w:tc>
        <w:tc>
          <w:tcPr>
            <w:tcW w:type="dxa" w:w="7128"/>
            <w:tcMar>
              <w:top w:w="80" w:type="dxa"/>
              <w:start w:w="120" w:type="dxa"/>
              <w:bottom w:w="80" w:type="dxa"/>
              <w:end w:w="120" w:type="dxa"/>
            </w:tcMar>
            <w:vAlign w:val="center"/>
          </w:tcPr>
          <w:p>
            <w:pPr>
              <w:jc w:val="left"/>
            </w:pPr>
            <w:r>
              <w:rPr>
                <w:rFonts w:ascii="Calibri" w:hAnsi="Calibri" w:eastAsia="Microsoft YaHei"/>
                <w:b w:val="0"/>
                <w:sz w:val="18"/>
              </w:rPr>
              <w:t>2026-05-27</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系统版本</w:t>
            </w:r>
          </w:p>
        </w:tc>
        <w:tc>
          <w:tcPr>
            <w:tcW w:type="dxa" w:w="7128"/>
            <w:tcMar>
              <w:top w:w="80" w:type="dxa"/>
              <w:start w:w="120" w:type="dxa"/>
              <w:bottom w:w="80" w:type="dxa"/>
              <w:end w:w="120" w:type="dxa"/>
            </w:tcMar>
            <w:vAlign w:val="center"/>
          </w:tcPr>
          <w:p>
            <w:pPr>
              <w:jc w:val="left"/>
            </w:pPr>
            <w:r>
              <w:rPr>
                <w:rFonts w:ascii="Calibri" w:hAnsi="Calibri" w:eastAsia="Microsoft YaHei"/>
                <w:b w:val="0"/>
                <w:sz w:val="18"/>
              </w:rPr>
              <w:t>quant_sports_event-0.1.0</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配置 Hash</w:t>
            </w:r>
          </w:p>
        </w:tc>
        <w:tc>
          <w:tcPr>
            <w:tcW w:type="dxa" w:w="7128"/>
            <w:tcMar>
              <w:top w:w="80" w:type="dxa"/>
              <w:start w:w="120" w:type="dxa"/>
              <w:bottom w:w="80" w:type="dxa"/>
              <w:end w:w="120" w:type="dxa"/>
            </w:tcMar>
            <w:vAlign w:val="center"/>
          </w:tcPr>
          <w:p>
            <w:pPr>
              <w:jc w:val="left"/>
            </w:pPr>
            <w:r>
              <w:rPr>
                <w:rFonts w:ascii="Calibri" w:hAnsi="Calibri" w:eastAsia="Microsoft YaHei"/>
                <w:b w:val="0"/>
                <w:sz w:val="18"/>
              </w:rPr>
              <w:t>756e28b610b80431...</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运行 Hash</w:t>
            </w:r>
          </w:p>
        </w:tc>
        <w:tc>
          <w:tcPr>
            <w:tcW w:type="dxa" w:w="7128"/>
            <w:tcMar>
              <w:top w:w="80" w:type="dxa"/>
              <w:start w:w="120" w:type="dxa"/>
              <w:bottom w:w="80" w:type="dxa"/>
              <w:end w:w="120" w:type="dxa"/>
            </w:tcMar>
            <w:vAlign w:val="center"/>
          </w:tcPr>
          <w:p>
            <w:pPr>
              <w:jc w:val="left"/>
            </w:pPr>
            <w:r>
              <w:rPr>
                <w:rFonts w:ascii="Calibri" w:hAnsi="Calibri" w:eastAsia="Microsoft YaHei"/>
                <w:b w:val="0"/>
                <w:sz w:val="18"/>
              </w:rPr>
              <w:t>2096666a8b8dd58d...</w:t>
            </w:r>
          </w:p>
        </w:tc>
      </w:tr>
    </w:tbl>
    <w:p>
      <w:pPr>
        <w:spacing w:after="80"/>
      </w:pP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216"/>
      </w:tblGrid>
      <w:tr>
        <w:tc>
          <w:tcPr>
            <w:tcW w:type="dxa" w:w="9360"/>
            <w:shd w:fill="F4F6F9"/>
            <w:tcMar>
              <w:top w:w="120" w:type="dxa"/>
              <w:start w:w="180" w:type="dxa"/>
              <w:bottom w:w="120" w:type="dxa"/>
              <w:end w:w="180" w:type="dxa"/>
            </w:tcMar>
          </w:tcPr>
          <w:p>
            <w:pPr>
              <w:spacing w:after="0"/>
            </w:pPr>
            <w:r>
              <w:rPr>
                <w:rFonts w:ascii="Calibri" w:hAnsi="Calibri" w:eastAsia="Microsoft YaHei"/>
                <w:b/>
                <w:color w:val="1F4D78"/>
                <w:sz w:val="21"/>
              </w:rPr>
              <w:t>核心结论：</w:t>
            </w:r>
            <w:r>
              <w:rPr>
                <w:rFonts w:ascii="Calibri" w:hAnsi="Calibri" w:eastAsia="Microsoft YaHei"/>
                <w:b w:val="0"/>
                <w:sz w:val="21"/>
              </w:rPr>
              <w:t>系统以体育大事件库为起点，将事件证据、市场注意力、价格行为、流动性和交易成本统一到自动化流程中。2026-05-26 的真实数据运行结果显示，模型生成的模拟盘目标仓位为 18.09%，实际买入金额为 178,384.00 元，预计交易成本为 219.11 元。</w:t>
            </w:r>
          </w:p>
        </w:tc>
      </w:tr>
    </w:tbl>
    <w:p>
      <w:pPr>
        <w:spacing w:after="40"/>
      </w:pPr>
    </w:p>
    <w:p>
      <w:pPr>
        <w:spacing w:before="280" w:after="120"/>
      </w:pPr>
      <w:r>
        <w:rPr>
          <w:rFonts w:ascii="Calibri" w:hAnsi="Calibri" w:eastAsia="Microsoft YaHei"/>
          <w:b/>
          <w:color w:val="2E74B5"/>
          <w:sz w:val="32"/>
        </w:rPr>
        <w:t>一、中期要求对照</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76"/>
            <w:shd w:fill="F2F4F7"/>
            <w:tcMar>
              <w:top w:w="80" w:type="dxa"/>
              <w:start w:w="120" w:type="dxa"/>
              <w:bottom w:w="80" w:type="dxa"/>
              <w:end w:w="120" w:type="dxa"/>
            </w:tcMar>
            <w:vAlign w:val="center"/>
          </w:tcPr>
          <w:p>
            <w:pPr>
              <w:jc w:val="center"/>
            </w:pPr>
            <w:r>
              <w:rPr>
                <w:rFonts w:ascii="Calibri" w:hAnsi="Calibri" w:eastAsia="Microsoft YaHei"/>
                <w:b/>
                <w:color w:val="1F4D78"/>
                <w:sz w:val="18"/>
              </w:rPr>
              <w:t>要求</w:t>
            </w:r>
          </w:p>
        </w:tc>
        <w:tc>
          <w:tcPr>
            <w:tcW w:type="dxa" w:w="5328"/>
            <w:shd w:fill="F2F4F7"/>
            <w:tcMar>
              <w:top w:w="80" w:type="dxa"/>
              <w:start w:w="120" w:type="dxa"/>
              <w:bottom w:w="80" w:type="dxa"/>
              <w:end w:w="120" w:type="dxa"/>
            </w:tcMar>
            <w:vAlign w:val="center"/>
          </w:tcPr>
          <w:p>
            <w:pPr>
              <w:jc w:val="center"/>
            </w:pPr>
            <w:r>
              <w:rPr>
                <w:rFonts w:ascii="Calibri" w:hAnsi="Calibri" w:eastAsia="Microsoft YaHei"/>
                <w:b/>
                <w:color w:val="1F4D78"/>
                <w:sz w:val="18"/>
              </w:rPr>
              <w:t>系统产物</w:t>
            </w:r>
          </w:p>
        </w:tc>
        <w:tc>
          <w:tcPr>
            <w:tcW w:type="dxa" w:w="1512"/>
            <w:shd w:fill="F2F4F7"/>
            <w:tcMar>
              <w:top w:w="80" w:type="dxa"/>
              <w:start w:w="120" w:type="dxa"/>
              <w:bottom w:w="80" w:type="dxa"/>
              <w:end w:w="120" w:type="dxa"/>
            </w:tcMar>
            <w:vAlign w:val="center"/>
          </w:tcPr>
          <w:p>
            <w:pPr>
              <w:jc w:val="center"/>
            </w:pPr>
            <w:r>
              <w:rPr>
                <w:rFonts w:ascii="Calibri" w:hAnsi="Calibri" w:eastAsia="Microsoft YaHei"/>
                <w:b/>
                <w:color w:val="1F4D78"/>
                <w:sz w:val="18"/>
              </w:rPr>
              <w:t>状态</w:t>
            </w:r>
          </w:p>
        </w:tc>
      </w:tr>
      <w:tr>
        <w:tc>
          <w:tcPr>
            <w:tcW w:type="dxa" w:w="2376"/>
            <w:tcMar>
              <w:top w:w="80" w:type="dxa"/>
              <w:start w:w="120" w:type="dxa"/>
              <w:bottom w:w="80" w:type="dxa"/>
              <w:end w:w="120" w:type="dxa"/>
            </w:tcMar>
            <w:vAlign w:val="center"/>
          </w:tcPr>
          <w:p>
            <w:pPr>
              <w:jc w:val="center"/>
            </w:pPr>
            <w:r>
              <w:rPr>
                <w:rFonts w:ascii="Calibri" w:hAnsi="Calibri" w:eastAsia="Microsoft YaHei"/>
                <w:b w:val="0"/>
                <w:sz w:val="18"/>
              </w:rPr>
              <w:t>策略基本思想</w:t>
            </w:r>
          </w:p>
        </w:tc>
        <w:tc>
          <w:tcPr>
            <w:tcW w:type="dxa" w:w="5328"/>
            <w:tcMar>
              <w:top w:w="80" w:type="dxa"/>
              <w:start w:w="120" w:type="dxa"/>
              <w:bottom w:w="80" w:type="dxa"/>
              <w:end w:w="120" w:type="dxa"/>
            </w:tcMar>
            <w:vAlign w:val="center"/>
          </w:tcPr>
          <w:p>
            <w:pPr>
              <w:jc w:val="left"/>
            </w:pPr>
            <w:r>
              <w:rPr>
                <w:rFonts w:ascii="Calibri" w:hAnsi="Calibri" w:eastAsia="Microsoft YaHei"/>
                <w:b w:val="0"/>
                <w:sz w:val="18"/>
              </w:rPr>
              <w:t>体育大事件事件研究 + 自动组合生成</w:t>
            </w:r>
          </w:p>
        </w:tc>
        <w:tc>
          <w:tcPr>
            <w:tcW w:type="dxa" w:w="1512"/>
            <w:tcMar>
              <w:top w:w="80" w:type="dxa"/>
              <w:start w:w="120" w:type="dxa"/>
              <w:bottom w:w="80" w:type="dxa"/>
              <w:end w:w="120" w:type="dxa"/>
            </w:tcMar>
            <w:vAlign w:val="center"/>
          </w:tcPr>
          <w:p>
            <w:pPr>
              <w:jc w:val="center"/>
            </w:pPr>
            <w:r>
              <w:rPr>
                <w:rFonts w:ascii="Calibri" w:hAnsi="Calibri" w:eastAsia="Microsoft YaHei"/>
                <w:b w:val="0"/>
                <w:sz w:val="18"/>
              </w:rPr>
              <w:t>完成</w:t>
            </w:r>
          </w:p>
        </w:tc>
      </w:tr>
      <w:tr>
        <w:tc>
          <w:tcPr>
            <w:tcW w:type="dxa" w:w="2376"/>
            <w:tcMar>
              <w:top w:w="80" w:type="dxa"/>
              <w:start w:w="120" w:type="dxa"/>
              <w:bottom w:w="80" w:type="dxa"/>
              <w:end w:w="120" w:type="dxa"/>
            </w:tcMar>
            <w:vAlign w:val="center"/>
          </w:tcPr>
          <w:p>
            <w:pPr>
              <w:jc w:val="center"/>
            </w:pPr>
            <w:r>
              <w:rPr>
                <w:rFonts w:ascii="Calibri" w:hAnsi="Calibri" w:eastAsia="Microsoft YaHei"/>
                <w:b w:val="0"/>
                <w:sz w:val="18"/>
              </w:rPr>
              <w:t>核心流程</w:t>
            </w:r>
          </w:p>
        </w:tc>
        <w:tc>
          <w:tcPr>
            <w:tcW w:type="dxa" w:w="5328"/>
            <w:tcMar>
              <w:top w:w="80" w:type="dxa"/>
              <w:start w:w="120" w:type="dxa"/>
              <w:bottom w:w="80" w:type="dxa"/>
              <w:end w:w="120" w:type="dxa"/>
            </w:tcMar>
            <w:vAlign w:val="center"/>
          </w:tcPr>
          <w:p>
            <w:pPr>
              <w:jc w:val="left"/>
            </w:pPr>
            <w:r>
              <w:rPr>
                <w:rFonts w:ascii="Calibri" w:hAnsi="Calibri" w:eastAsia="Microsoft YaHei"/>
                <w:b w:val="0"/>
                <w:sz w:val="18"/>
              </w:rPr>
              <w:t>事件 Agent、证据闭环、因子计算、验证、订单生成</w:t>
            </w:r>
          </w:p>
        </w:tc>
        <w:tc>
          <w:tcPr>
            <w:tcW w:type="dxa" w:w="1512"/>
            <w:tcMar>
              <w:top w:w="80" w:type="dxa"/>
              <w:start w:w="120" w:type="dxa"/>
              <w:bottom w:w="80" w:type="dxa"/>
              <w:end w:w="120" w:type="dxa"/>
            </w:tcMar>
            <w:vAlign w:val="center"/>
          </w:tcPr>
          <w:p>
            <w:pPr>
              <w:jc w:val="center"/>
            </w:pPr>
            <w:r>
              <w:rPr>
                <w:rFonts w:ascii="Calibri" w:hAnsi="Calibri" w:eastAsia="Microsoft YaHei"/>
                <w:b w:val="0"/>
                <w:sz w:val="18"/>
              </w:rPr>
              <w:t>完成</w:t>
            </w:r>
          </w:p>
        </w:tc>
      </w:tr>
      <w:tr>
        <w:tc>
          <w:tcPr>
            <w:tcW w:type="dxa" w:w="2376"/>
            <w:tcMar>
              <w:top w:w="80" w:type="dxa"/>
              <w:start w:w="120" w:type="dxa"/>
              <w:bottom w:w="80" w:type="dxa"/>
              <w:end w:w="120" w:type="dxa"/>
            </w:tcMar>
            <w:vAlign w:val="center"/>
          </w:tcPr>
          <w:p>
            <w:pPr>
              <w:jc w:val="center"/>
            </w:pPr>
            <w:r>
              <w:rPr>
                <w:rFonts w:ascii="Calibri" w:hAnsi="Calibri" w:eastAsia="Microsoft YaHei"/>
                <w:b w:val="0"/>
                <w:sz w:val="18"/>
              </w:rPr>
              <w:t>至少一轮回测</w:t>
            </w:r>
          </w:p>
        </w:tc>
        <w:tc>
          <w:tcPr>
            <w:tcW w:type="dxa" w:w="5328"/>
            <w:tcMar>
              <w:top w:w="80" w:type="dxa"/>
              <w:start w:w="120" w:type="dxa"/>
              <w:bottom w:w="80" w:type="dxa"/>
              <w:end w:w="120" w:type="dxa"/>
            </w:tcMar>
            <w:vAlign w:val="center"/>
          </w:tcPr>
          <w:p>
            <w:pPr>
              <w:jc w:val="left"/>
            </w:pPr>
            <w:r>
              <w:rPr>
                <w:rFonts w:ascii="Calibri" w:hAnsi="Calibri" w:eastAsia="Microsoft YaHei"/>
                <w:b w:val="0"/>
                <w:sz w:val="18"/>
              </w:rPr>
              <w:t>2022 世界杯主回测，另含欧洲杯和奥运会</w:t>
            </w:r>
          </w:p>
        </w:tc>
        <w:tc>
          <w:tcPr>
            <w:tcW w:type="dxa" w:w="1512"/>
            <w:tcMar>
              <w:top w:w="80" w:type="dxa"/>
              <w:start w:w="120" w:type="dxa"/>
              <w:bottom w:w="80" w:type="dxa"/>
              <w:end w:w="120" w:type="dxa"/>
            </w:tcMar>
            <w:vAlign w:val="center"/>
          </w:tcPr>
          <w:p>
            <w:pPr>
              <w:jc w:val="center"/>
            </w:pPr>
            <w:r>
              <w:rPr>
                <w:rFonts w:ascii="Calibri" w:hAnsi="Calibri" w:eastAsia="Microsoft YaHei"/>
                <w:b w:val="0"/>
                <w:sz w:val="18"/>
              </w:rPr>
              <w:t>完成</w:t>
            </w:r>
          </w:p>
        </w:tc>
      </w:tr>
      <w:tr>
        <w:tc>
          <w:tcPr>
            <w:tcW w:type="dxa" w:w="2376"/>
            <w:tcMar>
              <w:top w:w="80" w:type="dxa"/>
              <w:start w:w="120" w:type="dxa"/>
              <w:bottom w:w="80" w:type="dxa"/>
              <w:end w:w="120" w:type="dxa"/>
            </w:tcMar>
            <w:vAlign w:val="center"/>
          </w:tcPr>
          <w:p>
            <w:pPr>
              <w:jc w:val="center"/>
            </w:pPr>
            <w:r>
              <w:rPr>
                <w:rFonts w:ascii="Calibri" w:hAnsi="Calibri" w:eastAsia="Microsoft YaHei"/>
                <w:b w:val="0"/>
                <w:sz w:val="18"/>
              </w:rPr>
              <w:t>回测及结果分析</w:t>
            </w:r>
          </w:p>
        </w:tc>
        <w:tc>
          <w:tcPr>
            <w:tcW w:type="dxa" w:w="5328"/>
            <w:tcMar>
              <w:top w:w="80" w:type="dxa"/>
              <w:start w:w="120" w:type="dxa"/>
              <w:bottom w:w="80" w:type="dxa"/>
              <w:end w:w="120" w:type="dxa"/>
            </w:tcMar>
            <w:vAlign w:val="center"/>
          </w:tcPr>
          <w:p>
            <w:pPr>
              <w:jc w:val="left"/>
            </w:pPr>
            <w:r>
              <w:rPr>
                <w:rFonts w:ascii="Calibri" w:hAnsi="Calibri" w:eastAsia="Microsoft YaHei"/>
                <w:b w:val="0"/>
                <w:sz w:val="18"/>
              </w:rPr>
              <w:t>净收益、成本、止损、CAR、扩展验证</w:t>
            </w:r>
          </w:p>
        </w:tc>
        <w:tc>
          <w:tcPr>
            <w:tcW w:type="dxa" w:w="1512"/>
            <w:tcMar>
              <w:top w:w="80" w:type="dxa"/>
              <w:start w:w="120" w:type="dxa"/>
              <w:bottom w:w="80" w:type="dxa"/>
              <w:end w:w="120" w:type="dxa"/>
            </w:tcMar>
            <w:vAlign w:val="center"/>
          </w:tcPr>
          <w:p>
            <w:pPr>
              <w:jc w:val="center"/>
            </w:pPr>
            <w:r>
              <w:rPr>
                <w:rFonts w:ascii="Calibri" w:hAnsi="Calibri" w:eastAsia="Microsoft YaHei"/>
                <w:b w:val="0"/>
                <w:sz w:val="18"/>
              </w:rPr>
              <w:t>完成</w:t>
            </w:r>
          </w:p>
        </w:tc>
      </w:tr>
      <w:tr>
        <w:tc>
          <w:tcPr>
            <w:tcW w:type="dxa" w:w="2376"/>
            <w:tcMar>
              <w:top w:w="80" w:type="dxa"/>
              <w:start w:w="120" w:type="dxa"/>
              <w:bottom w:w="80" w:type="dxa"/>
              <w:end w:w="120" w:type="dxa"/>
            </w:tcMar>
            <w:vAlign w:val="center"/>
          </w:tcPr>
          <w:p>
            <w:pPr>
              <w:jc w:val="center"/>
            </w:pPr>
            <w:r>
              <w:rPr>
                <w:rFonts w:ascii="Calibri" w:hAnsi="Calibri" w:eastAsia="Microsoft YaHei"/>
                <w:b w:val="0"/>
                <w:sz w:val="18"/>
              </w:rPr>
              <w:t>模拟交易配置</w:t>
            </w:r>
          </w:p>
        </w:tc>
        <w:tc>
          <w:tcPr>
            <w:tcW w:type="dxa" w:w="5328"/>
            <w:tcMar>
              <w:top w:w="80" w:type="dxa"/>
              <w:start w:w="120" w:type="dxa"/>
              <w:bottom w:w="80" w:type="dxa"/>
              <w:end w:w="120" w:type="dxa"/>
            </w:tcMar>
            <w:vAlign w:val="center"/>
          </w:tcPr>
          <w:p>
            <w:pPr>
              <w:jc w:val="left"/>
            </w:pPr>
            <w:r>
              <w:rPr>
                <w:rFonts w:ascii="Calibri" w:hAnsi="Calibri" w:eastAsia="Microsoft YaHei"/>
                <w:b w:val="0"/>
                <w:sz w:val="18"/>
              </w:rPr>
              <w:t>2026-05-26 冻结数据生成 2026-05-27 订单</w:t>
            </w:r>
          </w:p>
        </w:tc>
        <w:tc>
          <w:tcPr>
            <w:tcW w:type="dxa" w:w="1512"/>
            <w:tcMar>
              <w:top w:w="80" w:type="dxa"/>
              <w:start w:w="120" w:type="dxa"/>
              <w:bottom w:w="80" w:type="dxa"/>
              <w:end w:w="120" w:type="dxa"/>
            </w:tcMar>
            <w:vAlign w:val="center"/>
          </w:tcPr>
          <w:p>
            <w:pPr>
              <w:jc w:val="center"/>
            </w:pPr>
            <w:r>
              <w:rPr>
                <w:rFonts w:ascii="Calibri" w:hAnsi="Calibri" w:eastAsia="Microsoft YaHei"/>
                <w:b w:val="0"/>
                <w:sz w:val="18"/>
              </w:rPr>
              <w:t>完成</w:t>
            </w:r>
          </w:p>
        </w:tc>
      </w:tr>
    </w:tbl>
    <w:p>
      <w:pPr>
        <w:spacing w:after="80"/>
      </w:pPr>
    </w:p>
    <w:p>
      <w:pPr>
        <w:spacing w:before="280" w:after="120"/>
      </w:pPr>
      <w:r>
        <w:rPr>
          <w:rFonts w:ascii="Calibri" w:hAnsi="Calibri" w:eastAsia="Microsoft YaHei"/>
          <w:b/>
          <w:color w:val="2E74B5"/>
          <w:sz w:val="32"/>
        </w:rPr>
        <w:t>二、策略思想</w:t>
      </w:r>
    </w:p>
    <w:p>
      <w:pPr>
        <w:spacing w:after="120" w:line="264" w:lineRule="auto"/>
      </w:pPr>
      <w:r>
        <w:rPr>
          <w:rFonts w:ascii="Calibri" w:hAnsi="Calibri" w:eastAsia="Microsoft YaHei"/>
          <w:b w:val="0"/>
          <w:sz w:val="21"/>
        </w:rPr>
        <w:t>项目研究的问题不是单纯判断世界杯概念股是否上涨，而是检验确定性体育大事件在资本市场中是否会形成可交易的赛前注意力扩散、产业链重估和事件兑现效应。世界杯是核心案例，系统同时支持欧洲杯、奥运会、亚运会、赛事抽签、赛程公布、门票销售、赞助官宣等体育事件。</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事件确定性：赛事时间和影响范围可由官方渠道确认。</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注意力扩散：赛事临近时，搜索、新闻、社媒和成交额常出现同步升温。</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产业链暴露：显示设备、IP 衍生品、体育设施、体育运营、传媒彩票等链条受影响程度不同。</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兑现效应：赛前预期可能提前反映，临近开幕或开幕后可能出现利好兑现。</w:t>
      </w:r>
    </w:p>
    <w:p>
      <w:pPr>
        <w:spacing w:before="280" w:after="120"/>
      </w:pPr>
      <w:r>
        <w:rPr>
          <w:rFonts w:ascii="Calibri" w:hAnsi="Calibri" w:eastAsia="Microsoft YaHei"/>
          <w:b/>
          <w:color w:val="2E74B5"/>
          <w:sz w:val="32"/>
        </w:rPr>
        <w:t>三、理论基础</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728"/>
            <w:shd w:fill="F2F4F7"/>
            <w:tcMar>
              <w:top w:w="80" w:type="dxa"/>
              <w:start w:w="120" w:type="dxa"/>
              <w:bottom w:w="80" w:type="dxa"/>
              <w:end w:w="120" w:type="dxa"/>
            </w:tcMar>
            <w:vAlign w:val="center"/>
          </w:tcPr>
          <w:p>
            <w:pPr>
              <w:jc w:val="center"/>
            </w:pPr>
            <w:r>
              <w:rPr>
                <w:rFonts w:ascii="Calibri" w:hAnsi="Calibri" w:eastAsia="Microsoft YaHei"/>
                <w:b/>
                <w:color w:val="1F4D78"/>
                <w:sz w:val="18"/>
              </w:rPr>
              <w:t>模块</w:t>
            </w:r>
          </w:p>
        </w:tc>
        <w:tc>
          <w:tcPr>
            <w:tcW w:type="dxa" w:w="3240"/>
            <w:shd w:fill="F2F4F7"/>
            <w:tcMar>
              <w:top w:w="80" w:type="dxa"/>
              <w:start w:w="120" w:type="dxa"/>
              <w:bottom w:w="80" w:type="dxa"/>
              <w:end w:w="120" w:type="dxa"/>
            </w:tcMar>
            <w:vAlign w:val="center"/>
          </w:tcPr>
          <w:p>
            <w:pPr>
              <w:jc w:val="center"/>
            </w:pPr>
            <w:r>
              <w:rPr>
                <w:rFonts w:ascii="Calibri" w:hAnsi="Calibri" w:eastAsia="Microsoft YaHei"/>
                <w:b/>
                <w:color w:val="1F4D78"/>
                <w:sz w:val="18"/>
              </w:rPr>
              <w:t>理论来源</w:t>
            </w:r>
          </w:p>
        </w:tc>
        <w:tc>
          <w:tcPr>
            <w:tcW w:type="dxa" w:w="4248"/>
            <w:shd w:fill="F2F4F7"/>
            <w:tcMar>
              <w:top w:w="80" w:type="dxa"/>
              <w:start w:w="120" w:type="dxa"/>
              <w:bottom w:w="80" w:type="dxa"/>
              <w:end w:w="120" w:type="dxa"/>
            </w:tcMar>
            <w:vAlign w:val="center"/>
          </w:tcPr>
          <w:p>
            <w:pPr>
              <w:jc w:val="center"/>
            </w:pPr>
            <w:r>
              <w:rPr>
                <w:rFonts w:ascii="Calibri" w:hAnsi="Calibri" w:eastAsia="Microsoft YaHei"/>
                <w:b/>
                <w:color w:val="1F4D78"/>
                <w:sz w:val="18"/>
              </w:rPr>
              <w:t>系统实现</w:t>
            </w:r>
          </w:p>
        </w:tc>
      </w:tr>
      <w:tr>
        <w:tc>
          <w:tcPr>
            <w:tcW w:type="dxa" w:w="1728"/>
            <w:tcMar>
              <w:top w:w="80" w:type="dxa"/>
              <w:start w:w="120" w:type="dxa"/>
              <w:bottom w:w="80" w:type="dxa"/>
              <w:end w:w="120" w:type="dxa"/>
            </w:tcMar>
            <w:vAlign w:val="center"/>
          </w:tcPr>
          <w:p>
            <w:pPr>
              <w:jc w:val="center"/>
            </w:pPr>
            <w:r>
              <w:rPr>
                <w:rFonts w:ascii="Calibri" w:hAnsi="Calibri" w:eastAsia="Microsoft YaHei"/>
                <w:b w:val="0"/>
                <w:sz w:val="18"/>
              </w:rPr>
              <w:t>事件研究</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MacKinlay 事件研究法</w:t>
            </w:r>
          </w:p>
        </w:tc>
        <w:tc>
          <w:tcPr>
            <w:tcW w:type="dxa" w:w="4248"/>
            <w:tcMar>
              <w:top w:w="80" w:type="dxa"/>
              <w:start w:w="120" w:type="dxa"/>
              <w:bottom w:w="80" w:type="dxa"/>
              <w:end w:w="120" w:type="dxa"/>
            </w:tcMar>
            <w:vAlign w:val="center"/>
          </w:tcPr>
          <w:p>
            <w:pPr>
              <w:jc w:val="left"/>
            </w:pPr>
            <w:r>
              <w:rPr>
                <w:rFonts w:ascii="Calibri" w:hAnsi="Calibri" w:eastAsia="Microsoft YaHei"/>
                <w:b w:val="0"/>
                <w:sz w:val="18"/>
              </w:rPr>
              <w:t>市场模型计算 AR/CAR，剥离大盘影响</w:t>
            </w:r>
          </w:p>
        </w:tc>
      </w:tr>
      <w:tr>
        <w:tc>
          <w:tcPr>
            <w:tcW w:type="dxa" w:w="1728"/>
            <w:tcMar>
              <w:top w:w="80" w:type="dxa"/>
              <w:start w:w="120" w:type="dxa"/>
              <w:bottom w:w="80" w:type="dxa"/>
              <w:end w:w="120" w:type="dxa"/>
            </w:tcMar>
            <w:vAlign w:val="center"/>
          </w:tcPr>
          <w:p>
            <w:pPr>
              <w:jc w:val="center"/>
            </w:pPr>
            <w:r>
              <w:rPr>
                <w:rFonts w:ascii="Calibri" w:hAnsi="Calibri" w:eastAsia="Microsoft YaHei"/>
                <w:b w:val="0"/>
                <w:sz w:val="18"/>
              </w:rPr>
              <w:t>注意力</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投资者注意力与媒体情绪研究</w:t>
            </w:r>
          </w:p>
        </w:tc>
        <w:tc>
          <w:tcPr>
            <w:tcW w:type="dxa" w:w="4248"/>
            <w:tcMar>
              <w:top w:w="80" w:type="dxa"/>
              <w:start w:w="120" w:type="dxa"/>
              <w:bottom w:w="80" w:type="dxa"/>
              <w:end w:w="120" w:type="dxa"/>
            </w:tcMar>
            <w:vAlign w:val="center"/>
          </w:tcPr>
          <w:p>
            <w:pPr>
              <w:jc w:val="left"/>
            </w:pPr>
            <w:r>
              <w:rPr>
                <w:rFonts w:ascii="Calibri" w:hAnsi="Calibri" w:eastAsia="Microsoft YaHei"/>
                <w:b w:val="0"/>
                <w:sz w:val="18"/>
              </w:rPr>
              <w:t>成交额冲击作为中期代理，后续接入搜索和社媒</w:t>
            </w:r>
          </w:p>
        </w:tc>
      </w:tr>
      <w:tr>
        <w:tc>
          <w:tcPr>
            <w:tcW w:type="dxa" w:w="1728"/>
            <w:tcMar>
              <w:top w:w="80" w:type="dxa"/>
              <w:start w:w="120" w:type="dxa"/>
              <w:bottom w:w="80" w:type="dxa"/>
              <w:end w:w="120" w:type="dxa"/>
            </w:tcMar>
            <w:vAlign w:val="center"/>
          </w:tcPr>
          <w:p>
            <w:pPr>
              <w:jc w:val="center"/>
            </w:pPr>
            <w:r>
              <w:rPr>
                <w:rFonts w:ascii="Calibri" w:hAnsi="Calibri" w:eastAsia="Microsoft YaHei"/>
                <w:b w:val="0"/>
                <w:sz w:val="18"/>
              </w:rPr>
              <w:t>动量</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Jegadeesh-Titman 与 Carhart</w:t>
            </w:r>
          </w:p>
        </w:tc>
        <w:tc>
          <w:tcPr>
            <w:tcW w:type="dxa" w:w="4248"/>
            <w:tcMar>
              <w:top w:w="80" w:type="dxa"/>
              <w:start w:w="120" w:type="dxa"/>
              <w:bottom w:w="80" w:type="dxa"/>
              <w:end w:w="120" w:type="dxa"/>
            </w:tcMar>
            <w:vAlign w:val="center"/>
          </w:tcPr>
          <w:p>
            <w:pPr>
              <w:jc w:val="left"/>
            </w:pPr>
            <w:r>
              <w:rPr>
                <w:rFonts w:ascii="Calibri" w:hAnsi="Calibri" w:eastAsia="Microsoft YaHei"/>
                <w:b w:val="0"/>
                <w:sz w:val="18"/>
              </w:rPr>
              <w:t>20 日价格动量进入横截面排序</w:t>
            </w:r>
          </w:p>
        </w:tc>
      </w:tr>
      <w:tr>
        <w:tc>
          <w:tcPr>
            <w:tcW w:type="dxa" w:w="1728"/>
            <w:tcMar>
              <w:top w:w="80" w:type="dxa"/>
              <w:start w:w="120" w:type="dxa"/>
              <w:bottom w:w="80" w:type="dxa"/>
              <w:end w:w="120" w:type="dxa"/>
            </w:tcMar>
            <w:vAlign w:val="center"/>
          </w:tcPr>
          <w:p>
            <w:pPr>
              <w:jc w:val="center"/>
            </w:pPr>
            <w:r>
              <w:rPr>
                <w:rFonts w:ascii="Calibri" w:hAnsi="Calibri" w:eastAsia="Microsoft YaHei"/>
                <w:b w:val="0"/>
                <w:sz w:val="18"/>
              </w:rPr>
              <w:t>风格控制</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Fama-French 风格风险</w:t>
            </w:r>
          </w:p>
        </w:tc>
        <w:tc>
          <w:tcPr>
            <w:tcW w:type="dxa" w:w="4248"/>
            <w:tcMar>
              <w:top w:w="80" w:type="dxa"/>
              <w:start w:w="120" w:type="dxa"/>
              <w:bottom w:w="80" w:type="dxa"/>
              <w:end w:w="120" w:type="dxa"/>
            </w:tcMar>
            <w:vAlign w:val="center"/>
          </w:tcPr>
          <w:p>
            <w:pPr>
              <w:jc w:val="left"/>
            </w:pPr>
            <w:r>
              <w:rPr>
                <w:rFonts w:ascii="Calibri" w:hAnsi="Calibri" w:eastAsia="Microsoft YaHei"/>
                <w:b w:val="0"/>
                <w:sz w:val="18"/>
              </w:rPr>
              <w:t>避免收益只来自小盘或高估值概念暴露</w:t>
            </w:r>
          </w:p>
        </w:tc>
      </w:tr>
      <w:tr>
        <w:tc>
          <w:tcPr>
            <w:tcW w:type="dxa" w:w="1728"/>
            <w:tcMar>
              <w:top w:w="80" w:type="dxa"/>
              <w:start w:w="120" w:type="dxa"/>
              <w:bottom w:w="80" w:type="dxa"/>
              <w:end w:w="120" w:type="dxa"/>
            </w:tcMar>
            <w:vAlign w:val="center"/>
          </w:tcPr>
          <w:p>
            <w:pPr>
              <w:jc w:val="center"/>
            </w:pPr>
            <w:r>
              <w:rPr>
                <w:rFonts w:ascii="Calibri" w:hAnsi="Calibri" w:eastAsia="Microsoft YaHei"/>
                <w:b w:val="0"/>
                <w:sz w:val="18"/>
              </w:rPr>
              <w:t>流动性</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Amihud 流动性思想</w:t>
            </w:r>
          </w:p>
        </w:tc>
        <w:tc>
          <w:tcPr>
            <w:tcW w:type="dxa" w:w="4248"/>
            <w:tcMar>
              <w:top w:w="80" w:type="dxa"/>
              <w:start w:w="120" w:type="dxa"/>
              <w:bottom w:w="80" w:type="dxa"/>
              <w:end w:w="120" w:type="dxa"/>
            </w:tcMar>
            <w:vAlign w:val="center"/>
          </w:tcPr>
          <w:p>
            <w:pPr>
              <w:jc w:val="left"/>
            </w:pPr>
            <w:r>
              <w:rPr>
                <w:rFonts w:ascii="Calibri" w:hAnsi="Calibri" w:eastAsia="Microsoft YaHei"/>
                <w:b w:val="0"/>
                <w:sz w:val="18"/>
              </w:rPr>
              <w:t>20 日成交额、滑点分层和整数手约束</w:t>
            </w:r>
          </w:p>
        </w:tc>
      </w:tr>
    </w:tbl>
    <w:p>
      <w:pPr>
        <w:spacing w:after="80"/>
      </w:pPr>
    </w:p>
    <w:p>
      <w:pPr>
        <w:spacing w:before="280" w:after="120"/>
      </w:pPr>
      <w:r>
        <w:rPr>
          <w:rFonts w:ascii="Calibri" w:hAnsi="Calibri" w:eastAsia="Microsoft YaHei"/>
          <w:b/>
          <w:color w:val="2E74B5"/>
          <w:sz w:val="32"/>
        </w:rPr>
        <w:t>四、系统流程</w:t>
      </w:r>
    </w:p>
    <w:p>
      <w:pPr>
        <w:spacing w:after="120" w:line="264" w:lineRule="auto"/>
      </w:pPr>
      <w:r>
        <w:rPr>
          <w:rFonts w:ascii="Calibri" w:hAnsi="Calibri" w:eastAsia="Microsoft YaHei"/>
          <w:b w:val="0"/>
          <w:sz w:val="21"/>
        </w:rPr>
        <w:t>系统采用自动运行、可审计、可人工配置的流程。研究者可以修改事件池、超参数空间和风控约束，但每次运行都会冻结配置、行情快照、证据输出和订单文件。</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656"/>
            <w:shd w:fill="F2F4F7"/>
            <w:tcMar>
              <w:top w:w="80" w:type="dxa"/>
              <w:start w:w="120" w:type="dxa"/>
              <w:bottom w:w="80" w:type="dxa"/>
              <w:end w:w="120" w:type="dxa"/>
            </w:tcMar>
            <w:vAlign w:val="center"/>
          </w:tcPr>
          <w:p>
            <w:pPr>
              <w:jc w:val="center"/>
            </w:pPr>
            <w:r>
              <w:rPr>
                <w:rFonts w:ascii="Calibri" w:hAnsi="Calibri" w:eastAsia="Microsoft YaHei"/>
                <w:b/>
                <w:color w:val="1F4D78"/>
                <w:sz w:val="18"/>
              </w:rPr>
              <w:t>步骤</w:t>
            </w:r>
          </w:p>
        </w:tc>
        <w:tc>
          <w:tcPr>
            <w:tcW w:type="dxa" w:w="3672"/>
            <w:shd w:fill="F2F4F7"/>
            <w:tcMar>
              <w:top w:w="80" w:type="dxa"/>
              <w:start w:w="120" w:type="dxa"/>
              <w:bottom w:w="80" w:type="dxa"/>
              <w:end w:w="120" w:type="dxa"/>
            </w:tcMar>
            <w:vAlign w:val="center"/>
          </w:tcPr>
          <w:p>
            <w:pPr>
              <w:jc w:val="center"/>
            </w:pPr>
            <w:r>
              <w:rPr>
                <w:rFonts w:ascii="Calibri" w:hAnsi="Calibri" w:eastAsia="Microsoft YaHei"/>
                <w:b/>
                <w:color w:val="1F4D78"/>
                <w:sz w:val="18"/>
              </w:rPr>
              <w:t>输入</w:t>
            </w:r>
          </w:p>
        </w:tc>
        <w:tc>
          <w:tcPr>
            <w:tcW w:type="dxa" w:w="3888"/>
            <w:shd w:fill="F2F4F7"/>
            <w:tcMar>
              <w:top w:w="80" w:type="dxa"/>
              <w:start w:w="120" w:type="dxa"/>
              <w:bottom w:w="80" w:type="dxa"/>
              <w:end w:w="120" w:type="dxa"/>
            </w:tcMar>
            <w:vAlign w:val="center"/>
          </w:tcPr>
          <w:p>
            <w:pPr>
              <w:jc w:val="center"/>
            </w:pPr>
            <w:r>
              <w:rPr>
                <w:rFonts w:ascii="Calibri" w:hAnsi="Calibri" w:eastAsia="Microsoft YaHei"/>
                <w:b/>
                <w:color w:val="1F4D78"/>
                <w:sz w:val="18"/>
              </w:rPr>
              <w:t>输出</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事件库</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赛事日程、事件类型、官方来源</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event_id、event_date、known_at</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Agent 抽取</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事件和公司证据</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事件-股票关系 JSON</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证据闭环</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来源、时间、实体、置信度</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通过校验的暴露库</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因子计算</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行情快照、暴露、成交额、收益</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横截面因子面板</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模型评分</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约束 RankIC 权重与超参数</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AlphaScore</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组合生成</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仓位、行业、成本和 A 股约束</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目标权重与订单</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回测/模拟盘</w:t>
            </w:r>
          </w:p>
        </w:tc>
        <w:tc>
          <w:tcPr>
            <w:tcW w:type="dxa" w:w="3672"/>
            <w:tcMar>
              <w:top w:w="80" w:type="dxa"/>
              <w:start w:w="120" w:type="dxa"/>
              <w:bottom w:w="80" w:type="dxa"/>
              <w:end w:w="120" w:type="dxa"/>
            </w:tcMar>
            <w:vAlign w:val="center"/>
          </w:tcPr>
          <w:p>
            <w:pPr>
              <w:jc w:val="left"/>
            </w:pPr>
            <w:r>
              <w:rPr>
                <w:rFonts w:ascii="Calibri" w:hAnsi="Calibri" w:eastAsia="Microsoft YaHei"/>
                <w:b w:val="0"/>
                <w:sz w:val="18"/>
              </w:rPr>
              <w:t>历史事件或当日快照</w:t>
            </w:r>
          </w:p>
        </w:tc>
        <w:tc>
          <w:tcPr>
            <w:tcW w:type="dxa" w:w="3888"/>
            <w:tcMar>
              <w:top w:w="80" w:type="dxa"/>
              <w:start w:w="120" w:type="dxa"/>
              <w:bottom w:w="80" w:type="dxa"/>
              <w:end w:w="120" w:type="dxa"/>
            </w:tcMar>
            <w:vAlign w:val="center"/>
          </w:tcPr>
          <w:p>
            <w:pPr>
              <w:jc w:val="left"/>
            </w:pPr>
            <w:r>
              <w:rPr>
                <w:rFonts w:ascii="Calibri" w:hAnsi="Calibri" w:eastAsia="Microsoft YaHei"/>
                <w:b w:val="0"/>
                <w:sz w:val="18"/>
              </w:rPr>
              <w:t>绩效、CAR、交易日志</w:t>
            </w:r>
          </w:p>
        </w:tc>
      </w:tr>
    </w:tbl>
    <w:p>
      <w:pPr>
        <w:spacing w:after="80"/>
      </w:pPr>
    </w:p>
    <w:p>
      <w:pPr>
        <w:spacing w:before="280" w:after="120"/>
      </w:pPr>
      <w:r>
        <w:rPr>
          <w:rFonts w:ascii="Calibri" w:hAnsi="Calibri" w:eastAsia="Microsoft YaHei"/>
          <w:b/>
          <w:color w:val="2E74B5"/>
          <w:sz w:val="32"/>
        </w:rPr>
        <w:t>五、Agent 可信闭环</w:t>
      </w:r>
    </w:p>
    <w:p>
      <w:pPr>
        <w:spacing w:after="120" w:line="264" w:lineRule="auto"/>
      </w:pPr>
      <w:r>
        <w:rPr>
          <w:rFonts w:ascii="Calibri" w:hAnsi="Calibri" w:eastAsia="Microsoft YaHei"/>
          <w:b w:val="0"/>
          <w:sz w:val="21"/>
        </w:rPr>
        <w:t>大模型或规则 Agent 只负责结构化事件和证据，不直接决定买卖。任何事件-公司关系都必须通过 Schema、Source、Time、Entity、Quant 五道门，失败则不能进入因子库。</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656"/>
            <w:shd w:fill="F2F4F7"/>
            <w:tcMar>
              <w:top w:w="80" w:type="dxa"/>
              <w:start w:w="120" w:type="dxa"/>
              <w:bottom w:w="80" w:type="dxa"/>
              <w:end w:w="120" w:type="dxa"/>
            </w:tcMar>
            <w:vAlign w:val="center"/>
          </w:tcPr>
          <w:p>
            <w:pPr>
              <w:jc w:val="center"/>
            </w:pPr>
            <w:r>
              <w:rPr>
                <w:rFonts w:ascii="Calibri" w:hAnsi="Calibri" w:eastAsia="Microsoft YaHei"/>
                <w:b/>
                <w:color w:val="1F4D78"/>
                <w:sz w:val="18"/>
              </w:rPr>
              <w:t>校验门</w:t>
            </w:r>
          </w:p>
        </w:tc>
        <w:tc>
          <w:tcPr>
            <w:tcW w:type="dxa" w:w="4320"/>
            <w:shd w:fill="F2F4F7"/>
            <w:tcMar>
              <w:top w:w="80" w:type="dxa"/>
              <w:start w:w="120" w:type="dxa"/>
              <w:bottom w:w="80" w:type="dxa"/>
              <w:end w:w="120" w:type="dxa"/>
            </w:tcMar>
            <w:vAlign w:val="center"/>
          </w:tcPr>
          <w:p>
            <w:pPr>
              <w:jc w:val="center"/>
            </w:pPr>
            <w:r>
              <w:rPr>
                <w:rFonts w:ascii="Calibri" w:hAnsi="Calibri" w:eastAsia="Microsoft YaHei"/>
                <w:b/>
                <w:color w:val="1F4D78"/>
                <w:sz w:val="18"/>
              </w:rPr>
              <w:t>检验内容</w:t>
            </w:r>
          </w:p>
        </w:tc>
        <w:tc>
          <w:tcPr>
            <w:tcW w:type="dxa" w:w="3240"/>
            <w:shd w:fill="F2F4F7"/>
            <w:tcMar>
              <w:top w:w="80" w:type="dxa"/>
              <w:start w:w="120" w:type="dxa"/>
              <w:bottom w:w="80" w:type="dxa"/>
              <w:end w:w="120" w:type="dxa"/>
            </w:tcMar>
            <w:vAlign w:val="center"/>
          </w:tcPr>
          <w:p>
            <w:pPr>
              <w:jc w:val="center"/>
            </w:pPr>
            <w:r>
              <w:rPr>
                <w:rFonts w:ascii="Calibri" w:hAnsi="Calibri" w:eastAsia="Microsoft YaHei"/>
                <w:b/>
                <w:color w:val="1F4D78"/>
                <w:sz w:val="18"/>
              </w:rPr>
              <w:t>失败处理</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Schema</w:t>
            </w:r>
          </w:p>
        </w:tc>
        <w:tc>
          <w:tcPr>
            <w:tcW w:type="dxa" w:w="4320"/>
            <w:tcMar>
              <w:top w:w="80" w:type="dxa"/>
              <w:start w:w="120" w:type="dxa"/>
              <w:bottom w:w="80" w:type="dxa"/>
              <w:end w:w="120" w:type="dxa"/>
            </w:tcMar>
            <w:vAlign w:val="center"/>
          </w:tcPr>
          <w:p>
            <w:pPr>
              <w:jc w:val="left"/>
            </w:pPr>
            <w:r>
              <w:rPr>
                <w:rFonts w:ascii="Calibri" w:hAnsi="Calibri" w:eastAsia="Microsoft YaHei"/>
                <w:b w:val="0"/>
                <w:sz w:val="18"/>
              </w:rPr>
              <w:t>JSON 字段完整、类型合法</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拒绝或重试</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Source</w:t>
            </w:r>
          </w:p>
        </w:tc>
        <w:tc>
          <w:tcPr>
            <w:tcW w:type="dxa" w:w="4320"/>
            <w:tcMar>
              <w:top w:w="80" w:type="dxa"/>
              <w:start w:w="120" w:type="dxa"/>
              <w:bottom w:w="80" w:type="dxa"/>
              <w:end w:w="120" w:type="dxa"/>
            </w:tcMar>
            <w:vAlign w:val="center"/>
          </w:tcPr>
          <w:p>
            <w:pPr>
              <w:jc w:val="left"/>
            </w:pPr>
            <w:r>
              <w:rPr>
                <w:rFonts w:ascii="Calibri" w:hAnsi="Calibri" w:eastAsia="Microsoft YaHei"/>
                <w:b w:val="0"/>
                <w:sz w:val="18"/>
              </w:rPr>
              <w:t>每个关系必须有来源和证据文本</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剔除关系</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Time</w:t>
            </w:r>
          </w:p>
        </w:tc>
        <w:tc>
          <w:tcPr>
            <w:tcW w:type="dxa" w:w="4320"/>
            <w:tcMar>
              <w:top w:w="80" w:type="dxa"/>
              <w:start w:w="120" w:type="dxa"/>
              <w:bottom w:w="80" w:type="dxa"/>
              <w:end w:w="120" w:type="dxa"/>
            </w:tcMar>
            <w:vAlign w:val="center"/>
          </w:tcPr>
          <w:p>
            <w:pPr>
              <w:jc w:val="left"/>
            </w:pPr>
            <w:r>
              <w:rPr>
                <w:rFonts w:ascii="Calibri" w:hAnsi="Calibri" w:eastAsia="Microsoft YaHei"/>
                <w:b w:val="0"/>
                <w:sz w:val="18"/>
              </w:rPr>
              <w:t>发布时间不得晚于决策日</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防止超前信息</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Entity</w:t>
            </w:r>
          </w:p>
        </w:tc>
        <w:tc>
          <w:tcPr>
            <w:tcW w:type="dxa" w:w="4320"/>
            <w:tcMar>
              <w:top w:w="80" w:type="dxa"/>
              <w:start w:w="120" w:type="dxa"/>
              <w:bottom w:w="80" w:type="dxa"/>
              <w:end w:w="120" w:type="dxa"/>
            </w:tcMar>
            <w:vAlign w:val="center"/>
          </w:tcPr>
          <w:p>
            <w:pPr>
              <w:jc w:val="left"/>
            </w:pPr>
            <w:r>
              <w:rPr>
                <w:rFonts w:ascii="Calibri" w:hAnsi="Calibri" w:eastAsia="Microsoft YaHei"/>
                <w:b w:val="0"/>
                <w:sz w:val="18"/>
              </w:rPr>
              <w:t>股票代码、公司名和股票池匹配</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拒绝或人工复核</w:t>
            </w:r>
          </w:p>
        </w:tc>
      </w:tr>
      <w:tr>
        <w:tc>
          <w:tcPr>
            <w:tcW w:type="dxa" w:w="1656"/>
            <w:tcMar>
              <w:top w:w="80" w:type="dxa"/>
              <w:start w:w="120" w:type="dxa"/>
              <w:bottom w:w="80" w:type="dxa"/>
              <w:end w:w="120" w:type="dxa"/>
            </w:tcMar>
            <w:vAlign w:val="center"/>
          </w:tcPr>
          <w:p>
            <w:pPr>
              <w:jc w:val="center"/>
            </w:pPr>
            <w:r>
              <w:rPr>
                <w:rFonts w:ascii="Calibri" w:hAnsi="Calibri" w:eastAsia="Microsoft YaHei"/>
                <w:b w:val="0"/>
                <w:sz w:val="18"/>
              </w:rPr>
              <w:t>Quant</w:t>
            </w:r>
          </w:p>
        </w:tc>
        <w:tc>
          <w:tcPr>
            <w:tcW w:type="dxa" w:w="4320"/>
            <w:tcMar>
              <w:top w:w="80" w:type="dxa"/>
              <w:start w:w="120" w:type="dxa"/>
              <w:bottom w:w="80" w:type="dxa"/>
              <w:end w:w="120" w:type="dxa"/>
            </w:tcMar>
            <w:vAlign w:val="center"/>
          </w:tcPr>
          <w:p>
            <w:pPr>
              <w:jc w:val="left"/>
            </w:pPr>
            <w:r>
              <w:rPr>
                <w:rFonts w:ascii="Calibri" w:hAnsi="Calibri" w:eastAsia="Microsoft YaHei"/>
                <w:b w:val="0"/>
                <w:sz w:val="18"/>
              </w:rPr>
              <w:t>置信度为正且通过交易约束</w:t>
            </w:r>
          </w:p>
        </w:tc>
        <w:tc>
          <w:tcPr>
            <w:tcW w:type="dxa" w:w="3240"/>
            <w:tcMar>
              <w:top w:w="80" w:type="dxa"/>
              <w:start w:w="120" w:type="dxa"/>
              <w:bottom w:w="80" w:type="dxa"/>
              <w:end w:w="120" w:type="dxa"/>
            </w:tcMar>
            <w:vAlign w:val="center"/>
          </w:tcPr>
          <w:p>
            <w:pPr>
              <w:jc w:val="left"/>
            </w:pPr>
            <w:r>
              <w:rPr>
                <w:rFonts w:ascii="Calibri" w:hAnsi="Calibri" w:eastAsia="Microsoft YaHei"/>
                <w:b w:val="0"/>
                <w:sz w:val="18"/>
              </w:rPr>
              <w:t>才可进入评分</w:t>
            </w:r>
          </w:p>
        </w:tc>
      </w:tr>
    </w:tbl>
    <w:p>
      <w:pPr>
        <w:spacing w:after="80"/>
      </w:pP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3168"/>
            <w:shd w:fill="F2F4F7"/>
            <w:tcMar>
              <w:top w:w="80" w:type="dxa"/>
              <w:start w:w="120" w:type="dxa"/>
              <w:bottom w:w="80" w:type="dxa"/>
              <w:end w:w="120" w:type="dxa"/>
            </w:tcMar>
            <w:vAlign w:val="center"/>
          </w:tcPr>
          <w:p>
            <w:pPr>
              <w:jc w:val="center"/>
            </w:pPr>
            <w:r>
              <w:rPr>
                <w:rFonts w:ascii="Calibri" w:hAnsi="Calibri" w:eastAsia="Microsoft YaHei"/>
                <w:b/>
                <w:color w:val="1F4D78"/>
                <w:sz w:val="18"/>
              </w:rPr>
              <w:t>指标</w:t>
            </w:r>
          </w:p>
        </w:tc>
        <w:tc>
          <w:tcPr>
            <w:tcW w:type="dxa" w:w="2160"/>
            <w:shd w:fill="F2F4F7"/>
            <w:tcMar>
              <w:top w:w="80" w:type="dxa"/>
              <w:start w:w="120" w:type="dxa"/>
              <w:bottom w:w="80" w:type="dxa"/>
              <w:end w:w="120" w:type="dxa"/>
            </w:tcMar>
            <w:vAlign w:val="center"/>
          </w:tcPr>
          <w:p>
            <w:pPr>
              <w:jc w:val="center"/>
            </w:pPr>
            <w:r>
              <w:rPr>
                <w:rFonts w:ascii="Calibri" w:hAnsi="Calibri" w:eastAsia="Microsoft YaHei"/>
                <w:b/>
                <w:color w:val="1F4D78"/>
                <w:sz w:val="18"/>
              </w:rPr>
              <w:t>数值</w:t>
            </w:r>
          </w:p>
        </w:tc>
      </w:tr>
      <w:tr>
        <w:tc>
          <w:tcPr>
            <w:tcW w:type="dxa" w:w="3168"/>
            <w:tcMar>
              <w:top w:w="80" w:type="dxa"/>
              <w:start w:w="120" w:type="dxa"/>
              <w:bottom w:w="80" w:type="dxa"/>
              <w:end w:w="120" w:type="dxa"/>
            </w:tcMar>
            <w:vAlign w:val="center"/>
          </w:tcPr>
          <w:p>
            <w:pPr>
              <w:jc w:val="center"/>
            </w:pPr>
            <w:r>
              <w:rPr>
                <w:rFonts w:ascii="Calibri" w:hAnsi="Calibri" w:eastAsia="Microsoft YaHei"/>
                <w:b w:val="0"/>
                <w:sz w:val="18"/>
              </w:rPr>
              <w:t>候选关系数</w:t>
            </w:r>
          </w:p>
        </w:tc>
        <w:tc>
          <w:tcPr>
            <w:tcW w:type="dxa" w:w="2160"/>
            <w:tcMar>
              <w:top w:w="80" w:type="dxa"/>
              <w:start w:w="120" w:type="dxa"/>
              <w:bottom w:w="80" w:type="dxa"/>
              <w:end w:w="120" w:type="dxa"/>
            </w:tcMar>
            <w:vAlign w:val="center"/>
          </w:tcPr>
          <w:p>
            <w:pPr>
              <w:jc w:val="right"/>
            </w:pPr>
            <w:r>
              <w:rPr>
                <w:rFonts w:ascii="Calibri" w:hAnsi="Calibri" w:eastAsia="Microsoft YaHei"/>
                <w:b w:val="0"/>
                <w:sz w:val="18"/>
              </w:rPr>
              <w:t>10</w:t>
            </w:r>
          </w:p>
        </w:tc>
      </w:tr>
      <w:tr>
        <w:tc>
          <w:tcPr>
            <w:tcW w:type="dxa" w:w="3168"/>
            <w:tcMar>
              <w:top w:w="80" w:type="dxa"/>
              <w:start w:w="120" w:type="dxa"/>
              <w:bottom w:w="80" w:type="dxa"/>
              <w:end w:w="120" w:type="dxa"/>
            </w:tcMar>
            <w:vAlign w:val="center"/>
          </w:tcPr>
          <w:p>
            <w:pPr>
              <w:jc w:val="center"/>
            </w:pPr>
            <w:r>
              <w:rPr>
                <w:rFonts w:ascii="Calibri" w:hAnsi="Calibri" w:eastAsia="Microsoft YaHei"/>
                <w:b w:val="0"/>
                <w:sz w:val="18"/>
              </w:rPr>
              <w:t>通过数</w:t>
            </w:r>
          </w:p>
        </w:tc>
        <w:tc>
          <w:tcPr>
            <w:tcW w:type="dxa" w:w="2160"/>
            <w:tcMar>
              <w:top w:w="80" w:type="dxa"/>
              <w:start w:w="120" w:type="dxa"/>
              <w:bottom w:w="80" w:type="dxa"/>
              <w:end w:w="120" w:type="dxa"/>
            </w:tcMar>
            <w:vAlign w:val="center"/>
          </w:tcPr>
          <w:p>
            <w:pPr>
              <w:jc w:val="right"/>
            </w:pPr>
            <w:r>
              <w:rPr>
                <w:rFonts w:ascii="Calibri" w:hAnsi="Calibri" w:eastAsia="Microsoft YaHei"/>
                <w:b w:val="0"/>
                <w:sz w:val="18"/>
              </w:rPr>
              <w:t>10</w:t>
            </w:r>
          </w:p>
        </w:tc>
      </w:tr>
      <w:tr>
        <w:tc>
          <w:tcPr>
            <w:tcW w:type="dxa" w:w="3168"/>
            <w:tcMar>
              <w:top w:w="80" w:type="dxa"/>
              <w:start w:w="120" w:type="dxa"/>
              <w:bottom w:w="80" w:type="dxa"/>
              <w:end w:w="120" w:type="dxa"/>
            </w:tcMar>
            <w:vAlign w:val="center"/>
          </w:tcPr>
          <w:p>
            <w:pPr>
              <w:jc w:val="center"/>
            </w:pPr>
            <w:r>
              <w:rPr>
                <w:rFonts w:ascii="Calibri" w:hAnsi="Calibri" w:eastAsia="Microsoft YaHei"/>
                <w:b w:val="0"/>
                <w:sz w:val="18"/>
              </w:rPr>
              <w:t>拒绝数</w:t>
            </w:r>
          </w:p>
        </w:tc>
        <w:tc>
          <w:tcPr>
            <w:tcW w:type="dxa" w:w="2160"/>
            <w:tcMar>
              <w:top w:w="80" w:type="dxa"/>
              <w:start w:w="120" w:type="dxa"/>
              <w:bottom w:w="80" w:type="dxa"/>
              <w:end w:w="120" w:type="dxa"/>
            </w:tcMar>
            <w:vAlign w:val="center"/>
          </w:tcPr>
          <w:p>
            <w:pPr>
              <w:jc w:val="right"/>
            </w:pPr>
            <w:r>
              <w:rPr>
                <w:rFonts w:ascii="Calibri" w:hAnsi="Calibri" w:eastAsia="Microsoft YaHei"/>
                <w:b w:val="0"/>
                <w:sz w:val="18"/>
              </w:rPr>
              <w:t>0</w:t>
            </w:r>
          </w:p>
        </w:tc>
      </w:tr>
      <w:tr>
        <w:tc>
          <w:tcPr>
            <w:tcW w:type="dxa" w:w="3168"/>
            <w:tcMar>
              <w:top w:w="80" w:type="dxa"/>
              <w:start w:w="120" w:type="dxa"/>
              <w:bottom w:w="80" w:type="dxa"/>
              <w:end w:w="120" w:type="dxa"/>
            </w:tcMar>
            <w:vAlign w:val="center"/>
          </w:tcPr>
          <w:p>
            <w:pPr>
              <w:jc w:val="center"/>
            </w:pPr>
            <w:r>
              <w:rPr>
                <w:rFonts w:ascii="Calibri" w:hAnsi="Calibri" w:eastAsia="Microsoft YaHei"/>
                <w:b w:val="0"/>
                <w:sz w:val="18"/>
              </w:rPr>
              <w:t>通过率</w:t>
            </w:r>
          </w:p>
        </w:tc>
        <w:tc>
          <w:tcPr>
            <w:tcW w:type="dxa" w:w="2160"/>
            <w:tcMar>
              <w:top w:w="80" w:type="dxa"/>
              <w:start w:w="120" w:type="dxa"/>
              <w:bottom w:w="80" w:type="dxa"/>
              <w:end w:w="120" w:type="dxa"/>
            </w:tcMar>
            <w:vAlign w:val="center"/>
          </w:tcPr>
          <w:p>
            <w:pPr>
              <w:jc w:val="right"/>
            </w:pPr>
            <w:r>
              <w:rPr>
                <w:rFonts w:ascii="Calibri" w:hAnsi="Calibri" w:eastAsia="Microsoft YaHei"/>
                <w:b w:val="0"/>
                <w:sz w:val="18"/>
              </w:rPr>
              <w:t>100.00%</w:t>
            </w:r>
          </w:p>
        </w:tc>
      </w:tr>
      <w:tr>
        <w:tc>
          <w:tcPr>
            <w:tcW w:type="dxa" w:w="3168"/>
            <w:tcMar>
              <w:top w:w="80" w:type="dxa"/>
              <w:start w:w="120" w:type="dxa"/>
              <w:bottom w:w="80" w:type="dxa"/>
              <w:end w:w="120" w:type="dxa"/>
            </w:tcMar>
            <w:vAlign w:val="center"/>
          </w:tcPr>
          <w:p>
            <w:pPr>
              <w:jc w:val="center"/>
            </w:pPr>
            <w:r>
              <w:rPr>
                <w:rFonts w:ascii="Calibri" w:hAnsi="Calibri" w:eastAsia="Microsoft YaHei"/>
                <w:b w:val="0"/>
                <w:sz w:val="18"/>
              </w:rPr>
              <w:t>幻觉代理率</w:t>
            </w:r>
          </w:p>
        </w:tc>
        <w:tc>
          <w:tcPr>
            <w:tcW w:type="dxa" w:w="2160"/>
            <w:tcMar>
              <w:top w:w="80" w:type="dxa"/>
              <w:start w:w="120" w:type="dxa"/>
              <w:bottom w:w="80" w:type="dxa"/>
              <w:end w:w="120" w:type="dxa"/>
            </w:tcMar>
            <w:vAlign w:val="center"/>
          </w:tcPr>
          <w:p>
            <w:pPr>
              <w:jc w:val="right"/>
            </w:pPr>
            <w:r>
              <w:rPr>
                <w:rFonts w:ascii="Calibri" w:hAnsi="Calibri" w:eastAsia="Microsoft YaHei"/>
                <w:b w:val="0"/>
                <w:sz w:val="18"/>
              </w:rPr>
              <w:t>0.00%</w:t>
            </w:r>
          </w:p>
        </w:tc>
      </w:tr>
    </w:tbl>
    <w:p>
      <w:pPr>
        <w:spacing w:after="80"/>
      </w:pPr>
    </w:p>
    <w:p>
      <w:pPr>
        <w:spacing w:before="280" w:after="120"/>
      </w:pPr>
      <w:r>
        <w:rPr>
          <w:rFonts w:ascii="Calibri" w:hAnsi="Calibri" w:eastAsia="Microsoft YaHei"/>
          <w:b/>
          <w:color w:val="2E74B5"/>
          <w:sz w:val="32"/>
        </w:rPr>
        <w:t>六、止损触发归因</w:t>
      </w:r>
    </w:p>
    <w:p>
      <w:pPr>
        <w:spacing w:after="120" w:line="264" w:lineRule="auto"/>
      </w:pPr>
      <w:r>
        <w:rPr>
          <w:rFonts w:ascii="Calibri" w:hAnsi="Calibri" w:eastAsia="Microsoft YaHei"/>
          <w:b w:val="0"/>
          <w:sz w:val="21"/>
        </w:rPr>
        <w:t>体育事件策略的最大风险不是单笔亏损本身，而是错误地把“事件会发生”理解为“现在就值得交易”。系统使用风险诊断实验识别止损集中出现的场景：一类是建仓窗口过早，事件注意力尚未形成；另一类是事件类型与当前股票池的产业链映射较弱。</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3528"/>
            <w:shd w:fill="F2F4F7"/>
            <w:tcMar>
              <w:top w:w="80" w:type="dxa"/>
              <w:start w:w="120" w:type="dxa"/>
              <w:bottom w:w="80" w:type="dxa"/>
              <w:end w:w="120" w:type="dxa"/>
            </w:tcMar>
            <w:vAlign w:val="center"/>
          </w:tcPr>
          <w:p>
            <w:pPr>
              <w:jc w:val="center"/>
            </w:pPr>
            <w:r>
              <w:rPr>
                <w:rFonts w:ascii="Calibri" w:hAnsi="Calibri" w:eastAsia="Microsoft YaHei"/>
                <w:b/>
                <w:color w:val="1F4D78"/>
                <w:sz w:val="18"/>
              </w:rPr>
              <w:t>诊断事件</w:t>
            </w:r>
          </w:p>
        </w:tc>
        <w:tc>
          <w:tcPr>
            <w:tcW w:type="dxa" w:w="1800"/>
            <w:shd w:fill="F2F4F7"/>
            <w:tcMar>
              <w:top w:w="80" w:type="dxa"/>
              <w:start w:w="120" w:type="dxa"/>
              <w:bottom w:w="80" w:type="dxa"/>
              <w:end w:w="120" w:type="dxa"/>
            </w:tcMar>
            <w:vAlign w:val="center"/>
          </w:tcPr>
          <w:p>
            <w:pPr>
              <w:jc w:val="center"/>
            </w:pPr>
            <w:r>
              <w:rPr>
                <w:rFonts w:ascii="Calibri" w:hAnsi="Calibri" w:eastAsia="Microsoft YaHei"/>
                <w:b/>
                <w:color w:val="1F4D78"/>
                <w:sz w:val="18"/>
              </w:rPr>
              <w:t>退出类型</w:t>
            </w:r>
          </w:p>
        </w:tc>
        <w:tc>
          <w:tcPr>
            <w:tcW w:type="dxa" w:w="1224"/>
            <w:shd w:fill="F2F4F7"/>
            <w:tcMar>
              <w:top w:w="80" w:type="dxa"/>
              <w:start w:w="120" w:type="dxa"/>
              <w:bottom w:w="80" w:type="dxa"/>
              <w:end w:w="120" w:type="dxa"/>
            </w:tcMar>
            <w:vAlign w:val="center"/>
          </w:tcPr>
          <w:p>
            <w:pPr>
              <w:jc w:val="center"/>
            </w:pPr>
            <w:r>
              <w:rPr>
                <w:rFonts w:ascii="Calibri" w:hAnsi="Calibri" w:eastAsia="Microsoft YaHei"/>
                <w:b/>
                <w:color w:val="1F4D78"/>
                <w:sz w:val="18"/>
              </w:rPr>
              <w:t>交易数</w:t>
            </w:r>
          </w:p>
        </w:tc>
        <w:tc>
          <w:tcPr>
            <w:tcW w:type="dxa" w:w="2088"/>
            <w:shd w:fill="F2F4F7"/>
            <w:tcMar>
              <w:top w:w="80" w:type="dxa"/>
              <w:start w:w="120" w:type="dxa"/>
              <w:bottom w:w="80" w:type="dxa"/>
              <w:end w:w="120" w:type="dxa"/>
            </w:tcMar>
            <w:vAlign w:val="center"/>
          </w:tcPr>
          <w:p>
            <w:pPr>
              <w:jc w:val="center"/>
            </w:pPr>
            <w:r>
              <w:rPr>
                <w:rFonts w:ascii="Calibri" w:hAnsi="Calibri" w:eastAsia="Microsoft YaHei"/>
                <w:b/>
                <w:color w:val="1F4D78"/>
                <w:sz w:val="18"/>
              </w:rPr>
              <w:t>净 PnL</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event_exit</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1</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34,698.44</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stop_loss</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2</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-20,049.16</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PARIS_OLYMPICS_2024_OPEN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stop_loss</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3</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-24,695.12</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UEFA_EURO_2024_OPEN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event_exit</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3</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37,088.19</w:t>
            </w:r>
          </w:p>
        </w:tc>
      </w:tr>
    </w:tbl>
    <w:p>
      <w:pPr>
        <w:spacing w:after="80"/>
      </w:pP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2022 世界杯的早期窗口中，部分股票在 T-90 左右触发止损，说明事件预热尚未真正进入交易阶段，固定日历建仓容易过早暴露在市场噪声中。</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2024 巴黎奥运会在当前 A 股体育候选池中映射较弱，诊断实验中三笔全部止损；事件研究也显示其 T-60 到 T-10 的 CAAR 为负。</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固定 8% 止损没有考虑个股波动差异，高波动主题股容易被正常波动洗出；止损规则必须与趋势确认、事件适配度和波动率管理同时使用。</w:t>
      </w:r>
    </w:p>
    <w:p>
      <w:pPr>
        <w:spacing w:after="120" w:line="264" w:lineRule="auto"/>
      </w:pPr>
      <w:r>
        <w:rPr>
          <w:rFonts w:ascii="Calibri" w:hAnsi="Calibri" w:eastAsia="Microsoft YaHei"/>
          <w:b w:val="0"/>
          <w:sz w:val="21"/>
        </w:rPr>
        <w:t>Kaminski 和 Lo 的止损研究表明，止损规则是否有效取决于收益过程是否存在趋势和状态转换；Moskowitz、Ooi 和 Pedersen 的时间序列动量研究支持在入场时加入趋势确认；Moreira 和 Muir 的波动率管理思想则说明风险暴露应随波动率变化动态调整。系统因此将固定日历建仓扩展为事件适配度、入场窗口、波动率自适应止损和止损率惩罚共同作用的风险框架。</w:t>
      </w:r>
    </w:p>
    <w:p>
      <w:pPr>
        <w:spacing w:before="280" w:after="120"/>
      </w:pPr>
      <w:r>
        <w:rPr>
          <w:rFonts w:ascii="Calibri" w:hAnsi="Calibri" w:eastAsia="Microsoft YaHei"/>
          <w:b/>
          <w:color w:val="2E74B5"/>
          <w:sz w:val="32"/>
        </w:rPr>
        <w:t>七、模型设计</w:t>
      </w:r>
    </w:p>
    <w:p>
      <w:pPr>
        <w:spacing w:after="120" w:line="264" w:lineRule="auto"/>
      </w:pPr>
      <w:r>
        <w:rPr>
          <w:rFonts w:ascii="Calibri" w:hAnsi="Calibri" w:eastAsia="Microsoft YaHei"/>
          <w:b w:val="0"/>
          <w:sz w:val="21"/>
        </w:rPr>
        <w:t>模型采用符号约束 RankIC。RankIC 用历史事件样本估计因子与未来净超额收益的排序关系；符号约束和理论先验用于防止小样本噪声把事件暴露、动量、流动性等应为正向的因子学成反向权重。事件暴露同时作为交易资格门槛，弱相关股票即使短期成交活跃，也不会自动获得高仓位。</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shd w:fill="F2F4F7"/>
            <w:tcMar>
              <w:top w:w="80" w:type="dxa"/>
              <w:start w:w="120" w:type="dxa"/>
              <w:bottom w:w="80" w:type="dxa"/>
              <w:end w:w="120" w:type="dxa"/>
            </w:tcMar>
            <w:vAlign w:val="center"/>
          </w:tcPr>
          <w:p>
            <w:pPr>
              <w:jc w:val="center"/>
            </w:pPr>
            <w:r>
              <w:rPr>
                <w:rFonts w:ascii="Calibri" w:hAnsi="Calibri" w:eastAsia="Microsoft YaHei"/>
                <w:b/>
                <w:color w:val="1F4D78"/>
                <w:sz w:val="18"/>
              </w:rPr>
              <w:t>因子</w:t>
            </w:r>
          </w:p>
        </w:tc>
        <w:tc>
          <w:tcPr>
            <w:tcW w:type="dxa" w:w="1440"/>
            <w:shd w:fill="F2F4F7"/>
            <w:tcMar>
              <w:top w:w="80" w:type="dxa"/>
              <w:start w:w="120" w:type="dxa"/>
              <w:bottom w:w="80" w:type="dxa"/>
              <w:end w:w="120" w:type="dxa"/>
            </w:tcMar>
            <w:vAlign w:val="center"/>
          </w:tcPr>
          <w:p>
            <w:pPr>
              <w:jc w:val="center"/>
            </w:pPr>
            <w:r>
              <w:rPr>
                <w:rFonts w:ascii="Calibri" w:hAnsi="Calibri" w:eastAsia="Microsoft YaHei"/>
                <w:b/>
                <w:color w:val="1F4D78"/>
                <w:sz w:val="18"/>
              </w:rPr>
              <w:t>权重</w:t>
            </w:r>
          </w:p>
        </w:tc>
        <w:tc>
          <w:tcPr>
            <w:tcW w:type="dxa" w:w="5688"/>
            <w:shd w:fill="F2F4F7"/>
            <w:tcMar>
              <w:top w:w="80" w:type="dxa"/>
              <w:start w:w="120" w:type="dxa"/>
              <w:bottom w:w="80" w:type="dxa"/>
              <w:end w:w="120" w:type="dxa"/>
            </w:tcMar>
            <w:vAlign w:val="center"/>
          </w:tcPr>
          <w:p>
            <w:pPr>
              <w:jc w:val="center"/>
            </w:pPr>
            <w:r>
              <w:rPr>
                <w:rFonts w:ascii="Calibri" w:hAnsi="Calibri" w:eastAsia="Microsoft YaHei"/>
                <w:b/>
                <w:color w:val="1F4D78"/>
                <w:sz w:val="18"/>
              </w:rPr>
              <w:t>含义</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Exposure</w:t>
            </w:r>
          </w:p>
        </w:tc>
        <w:tc>
          <w:tcPr>
            <w:tcW w:type="dxa" w:w="1440"/>
            <w:tcMar>
              <w:top w:w="80" w:type="dxa"/>
              <w:start w:w="120" w:type="dxa"/>
              <w:bottom w:w="80" w:type="dxa"/>
              <w:end w:w="120" w:type="dxa"/>
            </w:tcMar>
            <w:vAlign w:val="center"/>
          </w:tcPr>
          <w:p>
            <w:pPr>
              <w:jc w:val="right"/>
            </w:pPr>
            <w:r>
              <w:rPr>
                <w:rFonts w:ascii="Calibri" w:hAnsi="Calibri" w:eastAsia="Microsoft YaHei"/>
                <w:b w:val="0"/>
                <w:sz w:val="18"/>
              </w:rPr>
              <w:t>0.165</w:t>
            </w:r>
          </w:p>
        </w:tc>
        <w:tc>
          <w:tcPr>
            <w:tcW w:type="dxa" w:w="5688"/>
            <w:tcMar>
              <w:top w:w="80" w:type="dxa"/>
              <w:start w:w="120" w:type="dxa"/>
              <w:bottom w:w="80" w:type="dxa"/>
              <w:end w:w="120" w:type="dxa"/>
            </w:tcMar>
            <w:vAlign w:val="center"/>
          </w:tcPr>
          <w:p>
            <w:pPr>
              <w:jc w:val="left"/>
            </w:pPr>
            <w:r>
              <w:rPr>
                <w:rFonts w:ascii="Calibri" w:hAnsi="Calibri" w:eastAsia="Microsoft YaHei"/>
                <w:b w:val="0"/>
                <w:sz w:val="18"/>
              </w:rPr>
              <w:t>事件产业链关系强度</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Attention</w:t>
            </w:r>
          </w:p>
        </w:tc>
        <w:tc>
          <w:tcPr>
            <w:tcW w:type="dxa" w:w="1440"/>
            <w:tcMar>
              <w:top w:w="80" w:type="dxa"/>
              <w:start w:w="120" w:type="dxa"/>
              <w:bottom w:w="80" w:type="dxa"/>
              <w:end w:w="120" w:type="dxa"/>
            </w:tcMar>
            <w:vAlign w:val="center"/>
          </w:tcPr>
          <w:p>
            <w:pPr>
              <w:jc w:val="right"/>
            </w:pPr>
            <w:r>
              <w:rPr>
                <w:rFonts w:ascii="Calibri" w:hAnsi="Calibri" w:eastAsia="Microsoft YaHei"/>
                <w:b w:val="0"/>
                <w:sz w:val="18"/>
              </w:rPr>
              <w:t>0.258</w:t>
            </w:r>
          </w:p>
        </w:tc>
        <w:tc>
          <w:tcPr>
            <w:tcW w:type="dxa" w:w="5688"/>
            <w:tcMar>
              <w:top w:w="80" w:type="dxa"/>
              <w:start w:w="120" w:type="dxa"/>
              <w:bottom w:w="80" w:type="dxa"/>
              <w:end w:w="120" w:type="dxa"/>
            </w:tcMar>
            <w:vAlign w:val="center"/>
          </w:tcPr>
          <w:p>
            <w:pPr>
              <w:jc w:val="left"/>
            </w:pPr>
            <w:r>
              <w:rPr>
                <w:rFonts w:ascii="Calibri" w:hAnsi="Calibri" w:eastAsia="Microsoft YaHei"/>
                <w:b w:val="0"/>
                <w:sz w:val="18"/>
              </w:rPr>
              <w:t>成交额注意力冲击</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Momentum</w:t>
            </w:r>
          </w:p>
        </w:tc>
        <w:tc>
          <w:tcPr>
            <w:tcW w:type="dxa" w:w="1440"/>
            <w:tcMar>
              <w:top w:w="80" w:type="dxa"/>
              <w:start w:w="120" w:type="dxa"/>
              <w:bottom w:w="80" w:type="dxa"/>
              <w:end w:w="120" w:type="dxa"/>
            </w:tcMar>
            <w:vAlign w:val="center"/>
          </w:tcPr>
          <w:p>
            <w:pPr>
              <w:jc w:val="right"/>
            </w:pPr>
            <w:r>
              <w:rPr>
                <w:rFonts w:ascii="Calibri" w:hAnsi="Calibri" w:eastAsia="Microsoft YaHei"/>
                <w:b w:val="0"/>
                <w:sz w:val="18"/>
              </w:rPr>
              <w:t>0.116</w:t>
            </w:r>
          </w:p>
        </w:tc>
        <w:tc>
          <w:tcPr>
            <w:tcW w:type="dxa" w:w="5688"/>
            <w:tcMar>
              <w:top w:w="80" w:type="dxa"/>
              <w:start w:w="120" w:type="dxa"/>
              <w:bottom w:w="80" w:type="dxa"/>
              <w:end w:w="120" w:type="dxa"/>
            </w:tcMar>
            <w:vAlign w:val="center"/>
          </w:tcPr>
          <w:p>
            <w:pPr>
              <w:jc w:val="left"/>
            </w:pPr>
            <w:r>
              <w:rPr>
                <w:rFonts w:ascii="Calibri" w:hAnsi="Calibri" w:eastAsia="Microsoft YaHei"/>
                <w:b w:val="0"/>
                <w:sz w:val="18"/>
              </w:rPr>
              <w:t>20 日价格趋势</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Liquidity</w:t>
            </w:r>
          </w:p>
        </w:tc>
        <w:tc>
          <w:tcPr>
            <w:tcW w:type="dxa" w:w="1440"/>
            <w:tcMar>
              <w:top w:w="80" w:type="dxa"/>
              <w:start w:w="120" w:type="dxa"/>
              <w:bottom w:w="80" w:type="dxa"/>
              <w:end w:w="120" w:type="dxa"/>
            </w:tcMar>
            <w:vAlign w:val="center"/>
          </w:tcPr>
          <w:p>
            <w:pPr>
              <w:jc w:val="right"/>
            </w:pPr>
            <w:r>
              <w:rPr>
                <w:rFonts w:ascii="Calibri" w:hAnsi="Calibri" w:eastAsia="Microsoft YaHei"/>
                <w:b w:val="0"/>
                <w:sz w:val="18"/>
              </w:rPr>
              <w:t>0.055</w:t>
            </w:r>
          </w:p>
        </w:tc>
        <w:tc>
          <w:tcPr>
            <w:tcW w:type="dxa" w:w="5688"/>
            <w:tcMar>
              <w:top w:w="80" w:type="dxa"/>
              <w:start w:w="120" w:type="dxa"/>
              <w:bottom w:w="80" w:type="dxa"/>
              <w:end w:w="120" w:type="dxa"/>
            </w:tcMar>
            <w:vAlign w:val="center"/>
          </w:tcPr>
          <w:p>
            <w:pPr>
              <w:jc w:val="left"/>
            </w:pPr>
            <w:r>
              <w:rPr>
                <w:rFonts w:ascii="Calibri" w:hAnsi="Calibri" w:eastAsia="Microsoft YaHei"/>
                <w:b w:val="0"/>
                <w:sz w:val="18"/>
              </w:rPr>
              <w:t>交易可执行性</w:t>
            </w:r>
          </w:p>
        </w:tc>
      </w:tr>
      <w:tr>
        <w:tc>
          <w:tcPr>
            <w:tcW w:type="dxa" w:w="2088"/>
            <w:tcMar>
              <w:top w:w="80" w:type="dxa"/>
              <w:start w:w="120" w:type="dxa"/>
              <w:bottom w:w="80" w:type="dxa"/>
              <w:end w:w="120" w:type="dxa"/>
            </w:tcMar>
            <w:vAlign w:val="center"/>
          </w:tcPr>
          <w:p>
            <w:pPr>
              <w:jc w:val="center"/>
            </w:pPr>
            <w:r>
              <w:rPr>
                <w:rFonts w:ascii="Calibri" w:hAnsi="Calibri" w:eastAsia="Microsoft YaHei"/>
                <w:b w:val="0"/>
                <w:sz w:val="18"/>
              </w:rPr>
              <w:t>Low Volatility</w:t>
            </w:r>
          </w:p>
        </w:tc>
        <w:tc>
          <w:tcPr>
            <w:tcW w:type="dxa" w:w="1440"/>
            <w:tcMar>
              <w:top w:w="80" w:type="dxa"/>
              <w:start w:w="120" w:type="dxa"/>
              <w:bottom w:w="80" w:type="dxa"/>
              <w:end w:w="120" w:type="dxa"/>
            </w:tcMar>
            <w:vAlign w:val="center"/>
          </w:tcPr>
          <w:p>
            <w:pPr>
              <w:jc w:val="right"/>
            </w:pPr>
            <w:r>
              <w:rPr>
                <w:rFonts w:ascii="Calibri" w:hAnsi="Calibri" w:eastAsia="Microsoft YaHei"/>
                <w:b w:val="0"/>
                <w:sz w:val="18"/>
              </w:rPr>
              <w:t>0.407</w:t>
            </w:r>
          </w:p>
        </w:tc>
        <w:tc>
          <w:tcPr>
            <w:tcW w:type="dxa" w:w="5688"/>
            <w:tcMar>
              <w:top w:w="80" w:type="dxa"/>
              <w:start w:w="120" w:type="dxa"/>
              <w:bottom w:w="80" w:type="dxa"/>
              <w:end w:w="120" w:type="dxa"/>
            </w:tcMar>
            <w:vAlign w:val="center"/>
          </w:tcPr>
          <w:p>
            <w:pPr>
              <w:jc w:val="left"/>
            </w:pPr>
            <w:r>
              <w:rPr>
                <w:rFonts w:ascii="Calibri" w:hAnsi="Calibri" w:eastAsia="Microsoft YaHei"/>
                <w:b w:val="0"/>
                <w:sz w:val="18"/>
              </w:rPr>
              <w:t>风险控制倾向</w:t>
            </w:r>
          </w:p>
        </w:tc>
      </w:tr>
    </w:tbl>
    <w:p>
      <w:pPr>
        <w:spacing w:after="80"/>
      </w:pPr>
    </w:p>
    <w:p>
      <w:pPr>
        <w:spacing w:after="120" w:line="264" w:lineRule="auto"/>
      </w:pPr>
      <w:r>
        <w:rPr>
          <w:rFonts w:ascii="Calibri" w:hAnsi="Calibri" w:eastAsia="Microsoft YaHei"/>
          <w:b w:val="0"/>
          <w:sz w:val="21"/>
        </w:rPr>
        <w:t>风险控制部分由四个模块组成：第一，事件适配度低于门槛时不交易；第二，建仓窗口由超参数搜索决定，而不是默认越早越好；第三，个股止损采用 `max(固定止损, 波动率倍数 * 20 日波动率)`，并设置最大止损上限；第四，超参数选择函数惩罚止损率，使高收益但频繁止损的参数组合不会被优先选择。</w:t>
      </w:r>
    </w:p>
    <w:p>
      <w:pPr>
        <w:spacing w:before="280" w:after="120"/>
      </w:pPr>
      <w:r>
        <w:rPr>
          <w:rFonts w:ascii="Calibri" w:hAnsi="Calibri" w:eastAsia="Microsoft YaHei"/>
          <w:b/>
          <w:color w:val="2E74B5"/>
          <w:sz w:val="32"/>
        </w:rPr>
        <w:t>八、超参数分析</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024"/>
            <w:shd w:fill="F2F4F7"/>
            <w:tcMar>
              <w:top w:w="80" w:type="dxa"/>
              <w:start w:w="120" w:type="dxa"/>
              <w:bottom w:w="80" w:type="dxa"/>
              <w:end w:w="120" w:type="dxa"/>
            </w:tcMar>
            <w:vAlign w:val="center"/>
          </w:tcPr>
          <w:p>
            <w:pPr>
              <w:jc w:val="center"/>
            </w:pPr>
            <w:r>
              <w:rPr>
                <w:rFonts w:ascii="Calibri" w:hAnsi="Calibri" w:eastAsia="Microsoft YaHei"/>
                <w:b/>
                <w:color w:val="1F4D78"/>
                <w:sz w:val="18"/>
              </w:rPr>
              <w:t>参数</w:t>
            </w:r>
          </w:p>
        </w:tc>
        <w:tc>
          <w:tcPr>
            <w:tcW w:type="dxa" w:w="1584"/>
            <w:shd w:fill="F2F4F7"/>
            <w:tcMar>
              <w:top w:w="80" w:type="dxa"/>
              <w:start w:w="120" w:type="dxa"/>
              <w:bottom w:w="80" w:type="dxa"/>
              <w:end w:w="120" w:type="dxa"/>
            </w:tcMar>
            <w:vAlign w:val="center"/>
          </w:tcPr>
          <w:p>
            <w:pPr>
              <w:jc w:val="center"/>
            </w:pPr>
            <w:r>
              <w:rPr>
                <w:rFonts w:ascii="Calibri" w:hAnsi="Calibri" w:eastAsia="Microsoft YaHei"/>
                <w:b/>
                <w:color w:val="1F4D78"/>
                <w:sz w:val="18"/>
              </w:rPr>
              <w:t>选择值</w:t>
            </w:r>
          </w:p>
        </w:tc>
        <w:tc>
          <w:tcPr>
            <w:tcW w:type="dxa" w:w="4608"/>
            <w:shd w:fill="F2F4F7"/>
            <w:tcMar>
              <w:top w:w="80" w:type="dxa"/>
              <w:start w:w="120" w:type="dxa"/>
              <w:bottom w:w="80" w:type="dxa"/>
              <w:end w:w="120" w:type="dxa"/>
            </w:tcMar>
            <w:vAlign w:val="center"/>
          </w:tcPr>
          <w:p>
            <w:pPr>
              <w:jc w:val="center"/>
            </w:pPr>
            <w:r>
              <w:rPr>
                <w:rFonts w:ascii="Calibri" w:hAnsi="Calibri" w:eastAsia="Microsoft YaHei"/>
                <w:b/>
                <w:color w:val="1F4D78"/>
                <w:sz w:val="18"/>
              </w:rPr>
              <w:t>解释</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attention_lookback</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20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注意力冲击观察窗口</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momentum_lookback</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20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价格动量窗口</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entry_days_before_event</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60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赛前建仓窗口</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exit_days_before_event</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10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赛前退出窗口</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top_k</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3</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组合候选数量</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stop_loss</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8.00%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个股止损线</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stop_vol_multiplier</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5.0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波动率自适应止损倍数</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max_effective_stop_loss</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12.00%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动态止损上限</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min_exposure_for_trade</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0.45</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交易暴露门槛</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min_event_fit_for_trade</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0.7</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事件适配度门槛</w:t>
            </w:r>
          </w:p>
        </w:tc>
      </w:tr>
      <w:tr>
        <w:tc>
          <w:tcPr>
            <w:tcW w:type="dxa" w:w="3024"/>
            <w:tcMar>
              <w:top w:w="80" w:type="dxa"/>
              <w:start w:w="120" w:type="dxa"/>
              <w:bottom w:w="80" w:type="dxa"/>
              <w:end w:w="120" w:type="dxa"/>
            </w:tcMar>
            <w:vAlign w:val="center"/>
          </w:tcPr>
          <w:p>
            <w:pPr>
              <w:jc w:val="center"/>
            </w:pPr>
            <w:r>
              <w:rPr>
                <w:rFonts w:ascii="Calibri" w:hAnsi="Calibri" w:eastAsia="Microsoft YaHei"/>
                <w:b w:val="0"/>
                <w:sz w:val="18"/>
              </w:rPr>
              <w:t>attention_z_cap</w:t>
            </w:r>
          </w:p>
        </w:tc>
        <w:tc>
          <w:tcPr>
            <w:tcW w:type="dxa" w:w="1584"/>
            <w:tcMar>
              <w:top w:w="80" w:type="dxa"/>
              <w:start w:w="120" w:type="dxa"/>
              <w:bottom w:w="80" w:type="dxa"/>
              <w:end w:w="120" w:type="dxa"/>
            </w:tcMar>
            <w:vAlign w:val="center"/>
          </w:tcPr>
          <w:p>
            <w:pPr>
              <w:jc w:val="center"/>
            </w:pPr>
            <w:r>
              <w:rPr>
                <w:rFonts w:ascii="Calibri" w:hAnsi="Calibri" w:eastAsia="Microsoft YaHei"/>
                <w:b w:val="0"/>
                <w:sz w:val="18"/>
              </w:rPr>
              <w:t>1.0</w:t>
            </w:r>
          </w:p>
        </w:tc>
        <w:tc>
          <w:tcPr>
            <w:tcW w:type="dxa" w:w="4608"/>
            <w:tcMar>
              <w:top w:w="80" w:type="dxa"/>
              <w:start w:w="120" w:type="dxa"/>
              <w:bottom w:w="80" w:type="dxa"/>
              <w:end w:w="120" w:type="dxa"/>
            </w:tcMar>
            <w:vAlign w:val="center"/>
          </w:tcPr>
          <w:p>
            <w:pPr>
              <w:jc w:val="left"/>
            </w:pPr>
            <w:r>
              <w:rPr>
                <w:rFonts w:ascii="Calibri" w:hAnsi="Calibri" w:eastAsia="Microsoft YaHei"/>
                <w:b w:val="0"/>
                <w:sz w:val="18"/>
              </w:rPr>
              <w:t>注意力拥挤上限</w:t>
            </w:r>
          </w:p>
        </w:tc>
      </w:tr>
    </w:tbl>
    <w:p>
      <w:pPr>
        <w:spacing w:after="80"/>
      </w:pPr>
    </w:p>
    <w:p>
      <w:pPr>
        <w:spacing w:after="120" w:line="264" w:lineRule="auto"/>
      </w:pPr>
      <w:r>
        <w:rPr>
          <w:rFonts w:ascii="Calibri" w:hAnsi="Calibri" w:eastAsia="Microsoft YaHei"/>
          <w:b w:val="0"/>
          <w:sz w:val="21"/>
        </w:rPr>
        <w:t>本次超参数网格共 128 组，按时间顺序进行扩展窗口验证。系统先用 2022 世界杯训练，再验证 2024 欧洲杯；随后用前两个事件训练，再验证 2024 巴黎奥运会。选择标准同时考虑扩展窗口验证、全样本稳健性、交易成本和止损率，避免只追求单个事件的最高收益。</w:t>
      </w:r>
    </w:p>
    <w:p>
      <w:pPr>
        <w:spacing w:before="280" w:after="120"/>
      </w:pPr>
      <w:r>
        <w:rPr>
          <w:rFonts w:ascii="Calibri" w:hAnsi="Calibri" w:eastAsia="Microsoft YaHei"/>
          <w:b/>
          <w:color w:val="2E74B5"/>
          <w:sz w:val="32"/>
        </w:rPr>
        <w:t>九、回测结果</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736"/>
            <w:shd w:fill="F2F4F7"/>
            <w:tcMar>
              <w:top w:w="80" w:type="dxa"/>
              <w:start w:w="120" w:type="dxa"/>
              <w:bottom w:w="80" w:type="dxa"/>
              <w:end w:w="120" w:type="dxa"/>
            </w:tcMar>
            <w:vAlign w:val="center"/>
          </w:tcPr>
          <w:p>
            <w:pPr>
              <w:jc w:val="center"/>
            </w:pPr>
            <w:r>
              <w:rPr>
                <w:rFonts w:ascii="Calibri" w:hAnsi="Calibri" w:eastAsia="Microsoft YaHei"/>
                <w:b/>
                <w:color w:val="1F4D78"/>
                <w:sz w:val="18"/>
              </w:rPr>
              <w:t>指标</w:t>
            </w:r>
          </w:p>
        </w:tc>
        <w:tc>
          <w:tcPr>
            <w:tcW w:type="dxa" w:w="3096"/>
            <w:shd w:fill="F2F4F7"/>
            <w:tcMar>
              <w:top w:w="80" w:type="dxa"/>
              <w:start w:w="120" w:type="dxa"/>
              <w:bottom w:w="80" w:type="dxa"/>
              <w:end w:w="120" w:type="dxa"/>
            </w:tcMar>
            <w:vAlign w:val="center"/>
          </w:tcPr>
          <w:p>
            <w:pPr>
              <w:jc w:val="center"/>
            </w:pPr>
            <w:r>
              <w:rPr>
                <w:rFonts w:ascii="Calibri" w:hAnsi="Calibri" w:eastAsia="Microsoft YaHei"/>
                <w:b/>
                <w:color w:val="1F4D78"/>
                <w:sz w:val="18"/>
              </w:rPr>
              <w:t>历史事件回测</w:t>
            </w:r>
          </w:p>
        </w:tc>
        <w:tc>
          <w:tcPr>
            <w:tcW w:type="dxa" w:w="3096"/>
            <w:shd w:fill="F2F4F7"/>
            <w:tcMar>
              <w:top w:w="80" w:type="dxa"/>
              <w:start w:w="120" w:type="dxa"/>
              <w:bottom w:w="80" w:type="dxa"/>
              <w:end w:w="120" w:type="dxa"/>
            </w:tcMar>
            <w:vAlign w:val="center"/>
          </w:tcPr>
          <w:p>
            <w:pPr>
              <w:jc w:val="center"/>
            </w:pPr>
            <w:r>
              <w:rPr>
                <w:rFonts w:ascii="Calibri" w:hAnsi="Calibri" w:eastAsia="Microsoft YaHei"/>
                <w:b/>
                <w:color w:val="1F4D78"/>
                <w:sz w:val="18"/>
              </w:rPr>
              <w:t>扩展窗口验证</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交易笔数</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6</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3</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净收益率</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11.04%</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2.30%</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平均单笔毛收益</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18.26%</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7.26%</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胜率</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100.00%</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100.00%</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止损率</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0.00%</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0.00%</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总交易成本</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2,530.06</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1,112.86</w:t>
            </w:r>
          </w:p>
        </w:tc>
      </w:tr>
      <w:tr>
        <w:tc>
          <w:tcPr>
            <w:tcW w:type="dxa" w:w="2736"/>
            <w:tcMar>
              <w:top w:w="80" w:type="dxa"/>
              <w:start w:w="120" w:type="dxa"/>
              <w:bottom w:w="80" w:type="dxa"/>
              <w:end w:w="120" w:type="dxa"/>
            </w:tcMar>
            <w:vAlign w:val="center"/>
          </w:tcPr>
          <w:p>
            <w:pPr>
              <w:jc w:val="center"/>
            </w:pPr>
            <w:r>
              <w:rPr>
                <w:rFonts w:ascii="Calibri" w:hAnsi="Calibri" w:eastAsia="Microsoft YaHei"/>
                <w:b w:val="0"/>
                <w:sz w:val="18"/>
              </w:rPr>
              <w:t>成本 / 初始资金</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0.25%</w:t>
            </w:r>
          </w:p>
        </w:tc>
        <w:tc>
          <w:tcPr>
            <w:tcW w:type="dxa" w:w="3096"/>
            <w:tcMar>
              <w:top w:w="80" w:type="dxa"/>
              <w:start w:w="120" w:type="dxa"/>
              <w:bottom w:w="80" w:type="dxa"/>
              <w:end w:w="120" w:type="dxa"/>
            </w:tcMar>
            <w:vAlign w:val="center"/>
          </w:tcPr>
          <w:p>
            <w:pPr>
              <w:jc w:val="right"/>
            </w:pPr>
            <w:r>
              <w:rPr>
                <w:rFonts w:ascii="Calibri" w:hAnsi="Calibri" w:eastAsia="Microsoft YaHei"/>
                <w:b w:val="0"/>
                <w:sz w:val="18"/>
              </w:rPr>
              <w:t>0.11%</w:t>
            </w:r>
          </w:p>
        </w:tc>
      </w:tr>
    </w:tbl>
    <w:p>
      <w:pPr>
        <w:spacing w:after="80"/>
      </w:pPr>
    </w:p>
    <w:p>
      <w:pPr>
        <w:spacing w:after="120" w:line="264" w:lineRule="auto"/>
      </w:pPr>
      <w:r>
        <w:rPr>
          <w:rFonts w:ascii="Calibri" w:hAnsi="Calibri" w:eastAsia="Microsoft YaHei"/>
          <w:b w:val="0"/>
          <w:sz w:val="21"/>
        </w:rPr>
        <w:t>历史事件回测和扩展窗口验证均为正，且当前交易集合没有触发止损。巴黎奥运会未进入交易集合，不代表系统不支持奥运会，而是表示当前股票池与该事件的产业链适配度不足；若后续建立专门的奥运会旅游、场馆、体育用品和转播候选池，系统可按同一流程重新评估。</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3528"/>
            <w:shd w:fill="F2F4F7"/>
            <w:tcMar>
              <w:top w:w="80" w:type="dxa"/>
              <w:start w:w="120" w:type="dxa"/>
              <w:bottom w:w="80" w:type="dxa"/>
              <w:end w:w="120" w:type="dxa"/>
            </w:tcMar>
            <w:vAlign w:val="center"/>
          </w:tcPr>
          <w:p>
            <w:pPr>
              <w:jc w:val="center"/>
            </w:pPr>
            <w:r>
              <w:rPr>
                <w:rFonts w:ascii="Calibri" w:hAnsi="Calibri" w:eastAsia="Microsoft YaHei"/>
                <w:b/>
                <w:color w:val="1F4D78"/>
                <w:sz w:val="18"/>
              </w:rPr>
              <w:t>事件</w:t>
            </w:r>
          </w:p>
        </w:tc>
        <w:tc>
          <w:tcPr>
            <w:tcW w:type="dxa" w:w="1800"/>
            <w:shd w:fill="F2F4F7"/>
            <w:tcMar>
              <w:top w:w="80" w:type="dxa"/>
              <w:start w:w="120" w:type="dxa"/>
              <w:bottom w:w="80" w:type="dxa"/>
              <w:end w:w="120" w:type="dxa"/>
            </w:tcMar>
            <w:vAlign w:val="center"/>
          </w:tcPr>
          <w:p>
            <w:pPr>
              <w:jc w:val="center"/>
            </w:pPr>
            <w:r>
              <w:rPr>
                <w:rFonts w:ascii="Calibri" w:hAnsi="Calibri" w:eastAsia="Microsoft YaHei"/>
                <w:b/>
                <w:color w:val="1F4D78"/>
                <w:sz w:val="18"/>
              </w:rPr>
              <w:t>退出类型</w:t>
            </w:r>
          </w:p>
        </w:tc>
        <w:tc>
          <w:tcPr>
            <w:tcW w:type="dxa" w:w="1224"/>
            <w:shd w:fill="F2F4F7"/>
            <w:tcMar>
              <w:top w:w="80" w:type="dxa"/>
              <w:start w:w="120" w:type="dxa"/>
              <w:bottom w:w="80" w:type="dxa"/>
              <w:end w:w="120" w:type="dxa"/>
            </w:tcMar>
            <w:vAlign w:val="center"/>
          </w:tcPr>
          <w:p>
            <w:pPr>
              <w:jc w:val="center"/>
            </w:pPr>
            <w:r>
              <w:rPr>
                <w:rFonts w:ascii="Calibri" w:hAnsi="Calibri" w:eastAsia="Microsoft YaHei"/>
                <w:b/>
                <w:color w:val="1F4D78"/>
                <w:sz w:val="18"/>
              </w:rPr>
              <w:t>交易数</w:t>
            </w:r>
          </w:p>
        </w:tc>
        <w:tc>
          <w:tcPr>
            <w:tcW w:type="dxa" w:w="2088"/>
            <w:shd w:fill="F2F4F7"/>
            <w:tcMar>
              <w:top w:w="80" w:type="dxa"/>
              <w:start w:w="120" w:type="dxa"/>
              <w:bottom w:w="80" w:type="dxa"/>
              <w:end w:w="120" w:type="dxa"/>
            </w:tcMar>
            <w:vAlign w:val="center"/>
          </w:tcPr>
          <w:p>
            <w:pPr>
              <w:jc w:val="center"/>
            </w:pPr>
            <w:r>
              <w:rPr>
                <w:rFonts w:ascii="Calibri" w:hAnsi="Calibri" w:eastAsia="Microsoft YaHei"/>
                <w:b/>
                <w:color w:val="1F4D78"/>
                <w:sz w:val="18"/>
              </w:rPr>
              <w:t>净 PnL</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event_exit</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3</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86,761.93</w:t>
            </w:r>
          </w:p>
        </w:tc>
      </w:tr>
      <w:tr>
        <w:tc>
          <w:tcPr>
            <w:tcW w:type="dxa" w:w="3528"/>
            <w:tcMar>
              <w:top w:w="80" w:type="dxa"/>
              <w:start w:w="120" w:type="dxa"/>
              <w:bottom w:w="80" w:type="dxa"/>
              <w:end w:w="120" w:type="dxa"/>
            </w:tcMar>
            <w:vAlign w:val="center"/>
          </w:tcPr>
          <w:p>
            <w:pPr>
              <w:jc w:val="left"/>
            </w:pPr>
            <w:r>
              <w:rPr>
                <w:rFonts w:ascii="Calibri" w:hAnsi="Calibri" w:eastAsia="Microsoft YaHei"/>
                <w:b w:val="0"/>
                <w:sz w:val="18"/>
              </w:rPr>
              <w:t>UEFA_EURO_2024_OPEN</w:t>
            </w:r>
          </w:p>
        </w:tc>
        <w:tc>
          <w:tcPr>
            <w:tcW w:type="dxa" w:w="1800"/>
            <w:tcMar>
              <w:top w:w="80" w:type="dxa"/>
              <w:start w:w="120" w:type="dxa"/>
              <w:bottom w:w="80" w:type="dxa"/>
              <w:end w:w="120" w:type="dxa"/>
            </w:tcMar>
            <w:vAlign w:val="center"/>
          </w:tcPr>
          <w:p>
            <w:pPr>
              <w:jc w:val="center"/>
            </w:pPr>
            <w:r>
              <w:rPr>
                <w:rFonts w:ascii="Calibri" w:hAnsi="Calibri" w:eastAsia="Microsoft YaHei"/>
                <w:b w:val="0"/>
                <w:sz w:val="18"/>
              </w:rPr>
              <w:t>event_exit</w:t>
            </w:r>
          </w:p>
        </w:tc>
        <w:tc>
          <w:tcPr>
            <w:tcW w:type="dxa" w:w="1224"/>
            <w:tcMar>
              <w:top w:w="80" w:type="dxa"/>
              <w:start w:w="120" w:type="dxa"/>
              <w:bottom w:w="80" w:type="dxa"/>
              <w:end w:w="120" w:type="dxa"/>
            </w:tcMar>
            <w:vAlign w:val="center"/>
          </w:tcPr>
          <w:p>
            <w:pPr>
              <w:jc w:val="center"/>
            </w:pPr>
            <w:r>
              <w:rPr>
                <w:rFonts w:ascii="Calibri" w:hAnsi="Calibri" w:eastAsia="Microsoft YaHei"/>
                <w:b w:val="0"/>
                <w:sz w:val="18"/>
              </w:rPr>
              <w:t>3</w:t>
            </w:r>
          </w:p>
        </w:tc>
        <w:tc>
          <w:tcPr>
            <w:tcW w:type="dxa" w:w="2088"/>
            <w:tcMar>
              <w:top w:w="80" w:type="dxa"/>
              <w:start w:w="120" w:type="dxa"/>
              <w:bottom w:w="80" w:type="dxa"/>
              <w:end w:w="120" w:type="dxa"/>
            </w:tcMar>
            <w:vAlign w:val="center"/>
          </w:tcPr>
          <w:p>
            <w:pPr>
              <w:jc w:val="right"/>
            </w:pPr>
            <w:r>
              <w:rPr>
                <w:rFonts w:ascii="Calibri" w:hAnsi="Calibri" w:eastAsia="Microsoft YaHei"/>
                <w:b w:val="0"/>
                <w:sz w:val="18"/>
              </w:rPr>
              <w:t>23,635.01</w:t>
            </w:r>
          </w:p>
        </w:tc>
      </w:tr>
    </w:tbl>
    <w:p>
      <w:pPr>
        <w:spacing w:after="80"/>
      </w:pPr>
    </w:p>
    <w:p>
      <w:pPr>
        <w:spacing w:before="280" w:after="120"/>
      </w:pPr>
      <w:r>
        <w:rPr>
          <w:rFonts w:ascii="Calibri" w:hAnsi="Calibri" w:eastAsia="Microsoft YaHei"/>
          <w:b/>
          <w:color w:val="2E74B5"/>
          <w:sz w:val="32"/>
        </w:rPr>
        <w:t>十、事件研究结果</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3384"/>
            <w:shd w:fill="F2F4F7"/>
            <w:tcMar>
              <w:top w:w="80" w:type="dxa"/>
              <w:start w:w="120" w:type="dxa"/>
              <w:bottom w:w="80" w:type="dxa"/>
              <w:end w:w="120" w:type="dxa"/>
            </w:tcMar>
            <w:vAlign w:val="center"/>
          </w:tcPr>
          <w:p>
            <w:pPr>
              <w:jc w:val="center"/>
            </w:pPr>
            <w:r>
              <w:rPr>
                <w:rFonts w:ascii="Calibri" w:hAnsi="Calibri" w:eastAsia="Microsoft YaHei"/>
                <w:b/>
                <w:color w:val="1F4D78"/>
                <w:sz w:val="18"/>
              </w:rPr>
              <w:t>事件</w:t>
            </w:r>
          </w:p>
        </w:tc>
        <w:tc>
          <w:tcPr>
            <w:tcW w:type="dxa" w:w="1872"/>
            <w:shd w:fill="F2F4F7"/>
            <w:tcMar>
              <w:top w:w="80" w:type="dxa"/>
              <w:start w:w="120" w:type="dxa"/>
              <w:bottom w:w="80" w:type="dxa"/>
              <w:end w:w="120" w:type="dxa"/>
            </w:tcMar>
            <w:vAlign w:val="center"/>
          </w:tcPr>
          <w:p>
            <w:pPr>
              <w:jc w:val="center"/>
            </w:pPr>
            <w:r>
              <w:rPr>
                <w:rFonts w:ascii="Calibri" w:hAnsi="Calibri" w:eastAsia="Microsoft YaHei"/>
                <w:b/>
                <w:color w:val="1F4D78"/>
                <w:sz w:val="18"/>
              </w:rPr>
              <w:t>窗口</w:t>
            </w:r>
          </w:p>
        </w:tc>
        <w:tc>
          <w:tcPr>
            <w:tcW w:type="dxa" w:w="1584"/>
            <w:shd w:fill="F2F4F7"/>
            <w:tcMar>
              <w:top w:w="80" w:type="dxa"/>
              <w:start w:w="120" w:type="dxa"/>
              <w:bottom w:w="80" w:type="dxa"/>
              <w:end w:w="120" w:type="dxa"/>
            </w:tcMar>
            <w:vAlign w:val="center"/>
          </w:tcPr>
          <w:p>
            <w:pPr>
              <w:jc w:val="center"/>
            </w:pPr>
            <w:r>
              <w:rPr>
                <w:rFonts w:ascii="Calibri" w:hAnsi="Calibri" w:eastAsia="Microsoft YaHei"/>
                <w:b/>
                <w:color w:val="1F4D78"/>
                <w:sz w:val="18"/>
              </w:rPr>
              <w:t>CAAR</w:t>
            </w:r>
          </w:p>
        </w:tc>
        <w:tc>
          <w:tcPr>
            <w:tcW w:type="dxa" w:w="1944"/>
            <w:shd w:fill="F2F4F7"/>
            <w:tcMar>
              <w:top w:w="80" w:type="dxa"/>
              <w:start w:w="120" w:type="dxa"/>
              <w:bottom w:w="80" w:type="dxa"/>
              <w:end w:w="120" w:type="dxa"/>
            </w:tcMar>
            <w:vAlign w:val="center"/>
          </w:tcPr>
          <w:p>
            <w:pPr>
              <w:jc w:val="center"/>
            </w:pPr>
            <w:r>
              <w:rPr>
                <w:rFonts w:ascii="Calibri" w:hAnsi="Calibri" w:eastAsia="Microsoft YaHei"/>
                <w:b/>
                <w:color w:val="1F4D78"/>
                <w:sz w:val="18"/>
              </w:rPr>
              <w:t>正 CAR 比例</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T-10_T+10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-8.45%</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10.00%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T-30_T-10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18.39%</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100.00%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FIFA_WC_2022_OPEN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T-60_T-10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26.54%</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90.00%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PARIS_OLYMPICS_2024_OPEN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T-10_T+10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3.60%</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70.00%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PARIS_OLYMPICS_2024_OPEN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T-30_T-10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0.27%</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60.00%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PARIS_OLYMPICS_2024_OPEN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T-60_T-10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-5.00%</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30.00%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UEFA_EURO_2024_OPEN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T-10_T+10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-3.90%</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40.00%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UEFA_EURO_2024_OPEN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T-30_T-10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-0.30%</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60.00%</w:t>
            </w:r>
          </w:p>
        </w:tc>
      </w:tr>
      <w:tr>
        <w:tc>
          <w:tcPr>
            <w:tcW w:type="dxa" w:w="3384"/>
            <w:tcMar>
              <w:top w:w="80" w:type="dxa"/>
              <w:start w:w="120" w:type="dxa"/>
              <w:bottom w:w="80" w:type="dxa"/>
              <w:end w:w="120" w:type="dxa"/>
            </w:tcMar>
            <w:vAlign w:val="center"/>
          </w:tcPr>
          <w:p>
            <w:pPr>
              <w:jc w:val="left"/>
            </w:pPr>
            <w:r>
              <w:rPr>
                <w:rFonts w:ascii="Calibri" w:hAnsi="Calibri" w:eastAsia="Microsoft YaHei"/>
                <w:b w:val="0"/>
                <w:sz w:val="18"/>
              </w:rPr>
              <w:t>UEFA_EURO_2024_OPEN</w:t>
            </w:r>
          </w:p>
        </w:tc>
        <w:tc>
          <w:tcPr>
            <w:tcW w:type="dxa" w:w="1872"/>
            <w:tcMar>
              <w:top w:w="80" w:type="dxa"/>
              <w:start w:w="120" w:type="dxa"/>
              <w:bottom w:w="80" w:type="dxa"/>
              <w:end w:w="120" w:type="dxa"/>
            </w:tcMar>
            <w:vAlign w:val="center"/>
          </w:tcPr>
          <w:p>
            <w:pPr>
              <w:jc w:val="center"/>
            </w:pPr>
            <w:r>
              <w:rPr>
                <w:rFonts w:ascii="Calibri" w:hAnsi="Calibri" w:eastAsia="Microsoft YaHei"/>
                <w:b w:val="0"/>
                <w:sz w:val="18"/>
              </w:rPr>
              <w:t>T-60_T-10</w:t>
            </w:r>
          </w:p>
        </w:tc>
        <w:tc>
          <w:tcPr>
            <w:tcW w:type="dxa" w:w="1584"/>
            <w:tcMar>
              <w:top w:w="80" w:type="dxa"/>
              <w:start w:w="120" w:type="dxa"/>
              <w:bottom w:w="80" w:type="dxa"/>
              <w:end w:w="120" w:type="dxa"/>
            </w:tcMar>
            <w:vAlign w:val="center"/>
          </w:tcPr>
          <w:p>
            <w:pPr>
              <w:jc w:val="right"/>
            </w:pPr>
            <w:r>
              <w:rPr>
                <w:rFonts w:ascii="Calibri" w:hAnsi="Calibri" w:eastAsia="Microsoft YaHei"/>
                <w:b w:val="0"/>
                <w:sz w:val="18"/>
              </w:rPr>
              <w:t>3.18%</w:t>
            </w:r>
          </w:p>
        </w:tc>
        <w:tc>
          <w:tcPr>
            <w:tcW w:type="dxa" w:w="1944"/>
            <w:tcMar>
              <w:top w:w="80" w:type="dxa"/>
              <w:start w:w="120" w:type="dxa"/>
              <w:bottom w:w="80" w:type="dxa"/>
              <w:end w:w="120" w:type="dxa"/>
            </w:tcMar>
            <w:vAlign w:val="center"/>
          </w:tcPr>
          <w:p>
            <w:pPr>
              <w:jc w:val="right"/>
            </w:pPr>
            <w:r>
              <w:rPr>
                <w:rFonts w:ascii="Calibri" w:hAnsi="Calibri" w:eastAsia="Microsoft YaHei"/>
                <w:b w:val="0"/>
                <w:sz w:val="18"/>
              </w:rPr>
              <w:t>70.00%</w:t>
            </w:r>
          </w:p>
        </w:tc>
      </w:tr>
    </w:tbl>
    <w:p>
      <w:pPr>
        <w:spacing w:after="80"/>
      </w:pPr>
    </w:p>
    <w:p>
      <w:pPr>
        <w:spacing w:after="120" w:line="264" w:lineRule="auto"/>
      </w:pPr>
      <w:r>
        <w:rPr>
          <w:rFonts w:ascii="Calibri" w:hAnsi="Calibri" w:eastAsia="Microsoft YaHei"/>
          <w:b w:val="0"/>
          <w:sz w:val="21"/>
        </w:rPr>
        <w:t>事件研究显示，2022 世界杯在 T-60 到 T-10 和 T-30 到 T-10 窗口具有明显正异常收益，而 T-10 到 T+10 转为负值，符合赛前预热和临近兑现的交易假设。欧洲杯信号较弱，巴黎奥运会与当前 A 股候选池的赛前映射并不稳定。</w:t>
      </w:r>
    </w:p>
    <w:p>
      <w:pPr>
        <w:spacing w:before="280" w:after="120"/>
      </w:pPr>
      <w:r>
        <w:rPr>
          <w:rFonts w:ascii="Calibri" w:hAnsi="Calibri" w:eastAsia="Microsoft YaHei"/>
          <w:b/>
          <w:color w:val="2E74B5"/>
          <w:sz w:val="32"/>
        </w:rPr>
        <w:t>十一、2026-05-26 模拟交易配置</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shd w:fill="F2F4F7"/>
            <w:tcMar>
              <w:top w:w="80" w:type="dxa"/>
              <w:start w:w="120" w:type="dxa"/>
              <w:bottom w:w="80" w:type="dxa"/>
              <w:end w:w="120" w:type="dxa"/>
            </w:tcMar>
            <w:vAlign w:val="center"/>
          </w:tcPr>
          <w:p>
            <w:pPr>
              <w:jc w:val="center"/>
            </w:pPr>
            <w:r>
              <w:rPr>
                <w:rFonts w:ascii="Calibri" w:hAnsi="Calibri" w:eastAsia="Microsoft YaHei"/>
                <w:b/>
                <w:color w:val="1F4D78"/>
                <w:sz w:val="18"/>
              </w:rPr>
              <w:t>项目</w:t>
            </w:r>
          </w:p>
        </w:tc>
        <w:tc>
          <w:tcPr>
            <w:tcW w:type="dxa" w:w="5904"/>
            <w:shd w:fill="F2F4F7"/>
            <w:tcMar>
              <w:top w:w="80" w:type="dxa"/>
              <w:start w:w="120" w:type="dxa"/>
              <w:bottom w:w="80" w:type="dxa"/>
              <w:end w:w="120" w:type="dxa"/>
            </w:tcMar>
            <w:vAlign w:val="center"/>
          </w:tcPr>
          <w:p>
            <w:pPr>
              <w:jc w:val="center"/>
            </w:pPr>
            <w:r>
              <w:rPr>
                <w:rFonts w:ascii="Calibri" w:hAnsi="Calibri" w:eastAsia="Microsoft YaHei"/>
                <w:b/>
                <w:color w:val="1F4D78"/>
                <w:sz w:val="18"/>
              </w:rPr>
              <w:t>配置</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初始资金</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1,000,000 元</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事件</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2026 FIFA 世界杯开幕</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决策日</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2026-05-26 收盘后</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订单日</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2026-05-27</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事件策略仓位上限</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30% 保守兜底</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系统目标仓位</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18.09%</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预计买入金额</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178,384.00</w:t>
            </w:r>
          </w:p>
        </w:tc>
      </w:tr>
      <w:tr>
        <w:tc>
          <w:tcPr>
            <w:tcW w:type="dxa" w:w="2880"/>
            <w:tcMar>
              <w:top w:w="80" w:type="dxa"/>
              <w:start w:w="120" w:type="dxa"/>
              <w:bottom w:w="80" w:type="dxa"/>
              <w:end w:w="120" w:type="dxa"/>
            </w:tcMar>
            <w:vAlign w:val="center"/>
          </w:tcPr>
          <w:p>
            <w:pPr>
              <w:jc w:val="center"/>
            </w:pPr>
            <w:r>
              <w:rPr>
                <w:rFonts w:ascii="Calibri" w:hAnsi="Calibri" w:eastAsia="Microsoft YaHei"/>
                <w:b w:val="0"/>
                <w:sz w:val="18"/>
              </w:rPr>
              <w:t>预计交易成本</w:t>
            </w:r>
          </w:p>
        </w:tc>
        <w:tc>
          <w:tcPr>
            <w:tcW w:type="dxa" w:w="5904"/>
            <w:tcMar>
              <w:top w:w="80" w:type="dxa"/>
              <w:start w:w="120" w:type="dxa"/>
              <w:bottom w:w="80" w:type="dxa"/>
              <w:end w:w="120" w:type="dxa"/>
            </w:tcMar>
            <w:vAlign w:val="center"/>
          </w:tcPr>
          <w:p>
            <w:pPr>
              <w:jc w:val="left"/>
            </w:pPr>
            <w:r>
              <w:rPr>
                <w:rFonts w:ascii="Calibri" w:hAnsi="Calibri" w:eastAsia="Microsoft YaHei"/>
                <w:b w:val="0"/>
                <w:sz w:val="18"/>
              </w:rPr>
              <w:t>219.11</w:t>
            </w:r>
          </w:p>
        </w:tc>
      </w:tr>
    </w:tbl>
    <w:p>
      <w:pPr>
        <w:spacing w:after="80"/>
      </w:pP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37"/>
        <w:gridCol w:w="1337"/>
        <w:gridCol w:w="1337"/>
        <w:gridCol w:w="1337"/>
        <w:gridCol w:w="1337"/>
        <w:gridCol w:w="1337"/>
        <w:gridCol w:w="1337"/>
      </w:tblGrid>
      <w:tr>
        <w:tc>
          <w:tcPr>
            <w:tcW w:type="dxa" w:w="1512"/>
            <w:shd w:fill="F2F4F7"/>
            <w:tcMar>
              <w:top w:w="80" w:type="dxa"/>
              <w:start w:w="120" w:type="dxa"/>
              <w:bottom w:w="80" w:type="dxa"/>
              <w:end w:w="120" w:type="dxa"/>
            </w:tcMar>
            <w:vAlign w:val="center"/>
          </w:tcPr>
          <w:p>
            <w:pPr>
              <w:jc w:val="center"/>
            </w:pPr>
            <w:r>
              <w:rPr>
                <w:rFonts w:ascii="Calibri" w:hAnsi="Calibri" w:eastAsia="Microsoft YaHei"/>
                <w:b/>
                <w:color w:val="1F4D78"/>
                <w:sz w:val="17"/>
              </w:rPr>
              <w:t>股票</w:t>
            </w:r>
          </w:p>
        </w:tc>
        <w:tc>
          <w:tcPr>
            <w:tcW w:type="dxa" w:w="1440"/>
            <w:shd w:fill="F2F4F7"/>
            <w:tcMar>
              <w:top w:w="80" w:type="dxa"/>
              <w:start w:w="120" w:type="dxa"/>
              <w:bottom w:w="80" w:type="dxa"/>
              <w:end w:w="120" w:type="dxa"/>
            </w:tcMar>
            <w:vAlign w:val="center"/>
          </w:tcPr>
          <w:p>
            <w:pPr>
              <w:jc w:val="center"/>
            </w:pPr>
            <w:r>
              <w:rPr>
                <w:rFonts w:ascii="Calibri" w:hAnsi="Calibri" w:eastAsia="Microsoft YaHei"/>
                <w:b/>
                <w:color w:val="1F4D78"/>
                <w:sz w:val="17"/>
              </w:rPr>
              <w:t>公司</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color w:val="1F4D78"/>
                <w:sz w:val="17"/>
              </w:rPr>
              <w:t>权重</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color w:val="1F4D78"/>
                <w:sz w:val="17"/>
              </w:rPr>
              <w:t>收盘价</w:t>
            </w:r>
          </w:p>
        </w:tc>
        <w:tc>
          <w:tcPr>
            <w:tcW w:type="dxa" w:w="1224"/>
            <w:shd w:fill="F2F4F7"/>
            <w:tcMar>
              <w:top w:w="80" w:type="dxa"/>
              <w:start w:w="120" w:type="dxa"/>
              <w:bottom w:w="80" w:type="dxa"/>
              <w:end w:w="120" w:type="dxa"/>
            </w:tcMar>
            <w:vAlign w:val="center"/>
          </w:tcPr>
          <w:p>
            <w:pPr>
              <w:jc w:val="center"/>
            </w:pPr>
            <w:r>
              <w:rPr>
                <w:rFonts w:ascii="Calibri" w:hAnsi="Calibri" w:eastAsia="Microsoft YaHei"/>
                <w:b/>
                <w:color w:val="1F4D78"/>
                <w:sz w:val="17"/>
              </w:rPr>
              <w:t>股数</w:t>
            </w:r>
          </w:p>
        </w:tc>
        <w:tc>
          <w:tcPr>
            <w:tcW w:type="dxa" w:w="1512"/>
            <w:shd w:fill="F2F4F7"/>
            <w:tcMar>
              <w:top w:w="80" w:type="dxa"/>
              <w:start w:w="120" w:type="dxa"/>
              <w:bottom w:w="80" w:type="dxa"/>
              <w:end w:w="120" w:type="dxa"/>
            </w:tcMar>
            <w:vAlign w:val="center"/>
          </w:tcPr>
          <w:p>
            <w:pPr>
              <w:jc w:val="center"/>
            </w:pPr>
            <w:r>
              <w:rPr>
                <w:rFonts w:ascii="Calibri" w:hAnsi="Calibri" w:eastAsia="Microsoft YaHei"/>
                <w:b/>
                <w:color w:val="1F4D78"/>
                <w:sz w:val="17"/>
              </w:rPr>
              <w:t>金额</w:t>
            </w:r>
          </w:p>
        </w:tc>
        <w:tc>
          <w:tcPr>
            <w:tcW w:type="dxa" w:w="1224"/>
            <w:shd w:fill="F2F4F7"/>
            <w:tcMar>
              <w:top w:w="80" w:type="dxa"/>
              <w:start w:w="120" w:type="dxa"/>
              <w:bottom w:w="80" w:type="dxa"/>
              <w:end w:w="120" w:type="dxa"/>
            </w:tcMar>
            <w:vAlign w:val="center"/>
          </w:tcPr>
          <w:p>
            <w:pPr>
              <w:jc w:val="center"/>
            </w:pPr>
            <w:r>
              <w:rPr>
                <w:rFonts w:ascii="Calibri" w:hAnsi="Calibri" w:eastAsia="Microsoft YaHei"/>
                <w:b/>
                <w:color w:val="1F4D78"/>
                <w:sz w:val="17"/>
              </w:rPr>
              <w:t>成本</w:t>
            </w:r>
          </w:p>
        </w:tc>
      </w:tr>
      <w:tr>
        <w:tc>
          <w:tcPr>
            <w:tcW w:type="dxa" w:w="1512"/>
            <w:tcMar>
              <w:top w:w="80" w:type="dxa"/>
              <w:start w:w="120" w:type="dxa"/>
              <w:bottom w:w="80" w:type="dxa"/>
              <w:end w:w="120" w:type="dxa"/>
            </w:tcMar>
            <w:vAlign w:val="center"/>
          </w:tcPr>
          <w:p>
            <w:pPr>
              <w:jc w:val="center"/>
            </w:pPr>
            <w:r>
              <w:rPr>
                <w:rFonts w:ascii="Calibri" w:hAnsi="Calibri" w:eastAsia="Microsoft YaHei"/>
                <w:b w:val="0"/>
                <w:sz w:val="17"/>
              </w:rPr>
              <w:t>600060.SH</w:t>
            </w:r>
          </w:p>
        </w:tc>
        <w:tc>
          <w:tcPr>
            <w:tcW w:type="dxa" w:w="1440"/>
            <w:tcMar>
              <w:top w:w="80" w:type="dxa"/>
              <w:start w:w="120" w:type="dxa"/>
              <w:bottom w:w="80" w:type="dxa"/>
              <w:end w:w="120" w:type="dxa"/>
            </w:tcMar>
            <w:vAlign w:val="center"/>
          </w:tcPr>
          <w:p>
            <w:pPr>
              <w:jc w:val="center"/>
            </w:pPr>
            <w:r>
              <w:rPr>
                <w:rFonts w:ascii="Calibri" w:hAnsi="Calibri" w:eastAsia="Microsoft YaHei"/>
                <w:b w:val="0"/>
                <w:sz w:val="17"/>
              </w:rPr>
              <w:t>海信视像</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12.00%</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26.80</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4400</w:t>
            </w:r>
          </w:p>
        </w:tc>
        <w:tc>
          <w:tcPr>
            <w:tcW w:type="dxa" w:w="1512"/>
            <w:tcMar>
              <w:top w:w="80" w:type="dxa"/>
              <w:start w:w="120" w:type="dxa"/>
              <w:bottom w:w="80" w:type="dxa"/>
              <w:end w:w="120" w:type="dxa"/>
            </w:tcMar>
            <w:vAlign w:val="center"/>
          </w:tcPr>
          <w:p>
            <w:pPr>
              <w:jc w:val="right"/>
            </w:pPr>
            <w:r>
              <w:rPr>
                <w:rFonts w:ascii="Calibri" w:hAnsi="Calibri" w:eastAsia="Microsoft YaHei"/>
                <w:b w:val="0"/>
                <w:sz w:val="17"/>
              </w:rPr>
              <w:t>117,920.00</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153.30</w:t>
            </w:r>
          </w:p>
        </w:tc>
      </w:tr>
      <w:tr>
        <w:tc>
          <w:tcPr>
            <w:tcW w:type="dxa" w:w="1512"/>
            <w:tcMar>
              <w:top w:w="80" w:type="dxa"/>
              <w:start w:w="120" w:type="dxa"/>
              <w:bottom w:w="80" w:type="dxa"/>
              <w:end w:w="120" w:type="dxa"/>
            </w:tcMar>
            <w:vAlign w:val="center"/>
          </w:tcPr>
          <w:p>
            <w:pPr>
              <w:jc w:val="center"/>
            </w:pPr>
            <w:r>
              <w:rPr>
                <w:rFonts w:ascii="Calibri" w:hAnsi="Calibri" w:eastAsia="Microsoft YaHei"/>
                <w:b w:val="0"/>
                <w:sz w:val="17"/>
              </w:rPr>
              <w:t>605099.SH</w:t>
            </w:r>
          </w:p>
        </w:tc>
        <w:tc>
          <w:tcPr>
            <w:tcW w:type="dxa" w:w="1440"/>
            <w:tcMar>
              <w:top w:w="80" w:type="dxa"/>
              <w:start w:w="120" w:type="dxa"/>
              <w:bottom w:w="80" w:type="dxa"/>
              <w:end w:w="120" w:type="dxa"/>
            </w:tcMar>
            <w:vAlign w:val="center"/>
          </w:tcPr>
          <w:p>
            <w:pPr>
              <w:jc w:val="center"/>
            </w:pPr>
            <w:r>
              <w:rPr>
                <w:rFonts w:ascii="Calibri" w:hAnsi="Calibri" w:eastAsia="Microsoft YaHei"/>
                <w:b w:val="0"/>
                <w:sz w:val="17"/>
              </w:rPr>
              <w:t>共创草坪</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3.50%</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43.61</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800</w:t>
            </w:r>
          </w:p>
        </w:tc>
        <w:tc>
          <w:tcPr>
            <w:tcW w:type="dxa" w:w="1512"/>
            <w:tcMar>
              <w:top w:w="80" w:type="dxa"/>
              <w:start w:w="120" w:type="dxa"/>
              <w:bottom w:w="80" w:type="dxa"/>
              <w:end w:w="120" w:type="dxa"/>
            </w:tcMar>
            <w:vAlign w:val="center"/>
          </w:tcPr>
          <w:p>
            <w:pPr>
              <w:jc w:val="right"/>
            </w:pPr>
            <w:r>
              <w:rPr>
                <w:rFonts w:ascii="Calibri" w:hAnsi="Calibri" w:eastAsia="Microsoft YaHei"/>
                <w:b w:val="0"/>
                <w:sz w:val="17"/>
              </w:rPr>
              <w:t>34,888.00</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45.35</w:t>
            </w:r>
          </w:p>
        </w:tc>
      </w:tr>
      <w:tr>
        <w:tc>
          <w:tcPr>
            <w:tcW w:type="dxa" w:w="1512"/>
            <w:tcMar>
              <w:top w:w="80" w:type="dxa"/>
              <w:start w:w="120" w:type="dxa"/>
              <w:bottom w:w="80" w:type="dxa"/>
              <w:end w:w="120" w:type="dxa"/>
            </w:tcMar>
            <w:vAlign w:val="center"/>
          </w:tcPr>
          <w:p>
            <w:pPr>
              <w:jc w:val="center"/>
            </w:pPr>
            <w:r>
              <w:rPr>
                <w:rFonts w:ascii="Calibri" w:hAnsi="Calibri" w:eastAsia="Microsoft YaHei"/>
                <w:b w:val="0"/>
                <w:sz w:val="17"/>
              </w:rPr>
              <w:t>600158.SH</w:t>
            </w:r>
          </w:p>
        </w:tc>
        <w:tc>
          <w:tcPr>
            <w:tcW w:type="dxa" w:w="1440"/>
            <w:tcMar>
              <w:top w:w="80" w:type="dxa"/>
              <w:start w:w="120" w:type="dxa"/>
              <w:bottom w:w="80" w:type="dxa"/>
              <w:end w:w="120" w:type="dxa"/>
            </w:tcMar>
            <w:vAlign w:val="center"/>
          </w:tcPr>
          <w:p>
            <w:pPr>
              <w:jc w:val="center"/>
            </w:pPr>
            <w:r>
              <w:rPr>
                <w:rFonts w:ascii="Calibri" w:hAnsi="Calibri" w:eastAsia="Microsoft YaHei"/>
                <w:b w:val="0"/>
                <w:sz w:val="17"/>
              </w:rPr>
              <w:t>中体产业</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2.59%</w:t>
            </w:r>
          </w:p>
        </w:tc>
        <w:tc>
          <w:tcPr>
            <w:tcW w:type="dxa" w:w="1152"/>
            <w:tcMar>
              <w:top w:w="80" w:type="dxa"/>
              <w:start w:w="120" w:type="dxa"/>
              <w:bottom w:w="80" w:type="dxa"/>
              <w:end w:w="120" w:type="dxa"/>
            </w:tcMar>
            <w:vAlign w:val="center"/>
          </w:tcPr>
          <w:p>
            <w:pPr>
              <w:jc w:val="right"/>
            </w:pPr>
            <w:r>
              <w:rPr>
                <w:rFonts w:ascii="Calibri" w:hAnsi="Calibri" w:eastAsia="Microsoft YaHei"/>
                <w:b w:val="0"/>
                <w:sz w:val="17"/>
              </w:rPr>
              <w:t>11.12</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2300</w:t>
            </w:r>
          </w:p>
        </w:tc>
        <w:tc>
          <w:tcPr>
            <w:tcW w:type="dxa" w:w="1512"/>
            <w:tcMar>
              <w:top w:w="80" w:type="dxa"/>
              <w:start w:w="120" w:type="dxa"/>
              <w:bottom w:w="80" w:type="dxa"/>
              <w:end w:w="120" w:type="dxa"/>
            </w:tcMar>
            <w:vAlign w:val="center"/>
          </w:tcPr>
          <w:p>
            <w:pPr>
              <w:jc w:val="right"/>
            </w:pPr>
            <w:r>
              <w:rPr>
                <w:rFonts w:ascii="Calibri" w:hAnsi="Calibri" w:eastAsia="Microsoft YaHei"/>
                <w:b w:val="0"/>
                <w:sz w:val="17"/>
              </w:rPr>
              <w:t>25,576.00</w:t>
            </w:r>
          </w:p>
        </w:tc>
        <w:tc>
          <w:tcPr>
            <w:tcW w:type="dxa" w:w="1224"/>
            <w:tcMar>
              <w:top w:w="80" w:type="dxa"/>
              <w:start w:w="120" w:type="dxa"/>
              <w:bottom w:w="80" w:type="dxa"/>
              <w:end w:w="120" w:type="dxa"/>
            </w:tcMar>
            <w:vAlign w:val="center"/>
          </w:tcPr>
          <w:p>
            <w:pPr>
              <w:jc w:val="right"/>
            </w:pPr>
            <w:r>
              <w:rPr>
                <w:rFonts w:ascii="Calibri" w:hAnsi="Calibri" w:eastAsia="Microsoft YaHei"/>
                <w:b w:val="0"/>
                <w:sz w:val="17"/>
              </w:rPr>
              <w:t>20.46</w:t>
            </w:r>
          </w:p>
        </w:tc>
      </w:tr>
    </w:tbl>
    <w:p>
      <w:pPr>
        <w:spacing w:after="80"/>
      </w:pPr>
    </w:p>
    <w:p>
      <w:pPr>
        <w:spacing w:after="120" w:line="264" w:lineRule="auto"/>
      </w:pPr>
      <w:r>
        <w:rPr>
          <w:rFonts w:ascii="Calibri" w:hAnsi="Calibri" w:eastAsia="Microsoft YaHei"/>
          <w:b w:val="0"/>
          <w:sz w:val="21"/>
        </w:rPr>
        <w:t>模拟盘没有满仓追入，实际订单集中在海信视像、共创草坪和中体产业。原因是系统在临近开幕窗口引入了注意力拥挤上限、事件暴露门槛和低波动约束，弱相关或风险贡献较差的股票会被降权或拒单。</w:t>
      </w:r>
    </w:p>
    <w:p>
      <w:pPr>
        <w:spacing w:before="280" w:after="120"/>
      </w:pPr>
      <w:r>
        <w:rPr>
          <w:rFonts w:ascii="Calibri" w:hAnsi="Calibri" w:eastAsia="Microsoft YaHei"/>
          <w:b/>
          <w:color w:val="2E74B5"/>
          <w:sz w:val="32"/>
        </w:rPr>
        <w:t>十二、市场约束与成本</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160"/>
            <w:shd w:fill="F2F4F7"/>
            <w:tcMar>
              <w:top w:w="80" w:type="dxa"/>
              <w:start w:w="120" w:type="dxa"/>
              <w:bottom w:w="80" w:type="dxa"/>
              <w:end w:w="120" w:type="dxa"/>
            </w:tcMar>
            <w:vAlign w:val="center"/>
          </w:tcPr>
          <w:p>
            <w:pPr>
              <w:jc w:val="center"/>
            </w:pPr>
            <w:r>
              <w:rPr>
                <w:rFonts w:ascii="Calibri" w:hAnsi="Calibri" w:eastAsia="Microsoft YaHei"/>
                <w:b/>
                <w:color w:val="1F4D78"/>
                <w:sz w:val="18"/>
              </w:rPr>
              <w:t>约束</w:t>
            </w:r>
          </w:p>
        </w:tc>
        <w:tc>
          <w:tcPr>
            <w:tcW w:type="dxa" w:w="7056"/>
            <w:shd w:fill="F2F4F7"/>
            <w:tcMar>
              <w:top w:w="80" w:type="dxa"/>
              <w:start w:w="120" w:type="dxa"/>
              <w:bottom w:w="80" w:type="dxa"/>
              <w:end w:w="120" w:type="dxa"/>
            </w:tcMar>
            <w:vAlign w:val="center"/>
          </w:tcPr>
          <w:p>
            <w:pPr>
              <w:jc w:val="center"/>
            </w:pPr>
            <w:r>
              <w:rPr>
                <w:rFonts w:ascii="Calibri" w:hAnsi="Calibri" w:eastAsia="Microsoft YaHei"/>
                <w:b/>
                <w:color w:val="1F4D78"/>
                <w:sz w:val="18"/>
              </w:rPr>
              <w:t>系统处理</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A 股 T+1</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回测持仓跨日，模拟订单按下一交易日执行</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100 股整数手</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目标股数向下取整，不足一手自动拒单</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涨跌停</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主板 10%、创业板 20% 规则纳入约束</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佣金</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双边 0.03%，最低 5 元</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印花税</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卖出单边 0.05%</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滑点</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按 20 日成交额分层估计</w:t>
            </w:r>
          </w:p>
        </w:tc>
      </w:tr>
      <w:tr>
        <w:tc>
          <w:tcPr>
            <w:tcW w:type="dxa" w:w="2160"/>
            <w:tcMar>
              <w:top w:w="80" w:type="dxa"/>
              <w:start w:w="120" w:type="dxa"/>
              <w:bottom w:w="80" w:type="dxa"/>
              <w:end w:w="120" w:type="dxa"/>
            </w:tcMar>
            <w:vAlign w:val="center"/>
          </w:tcPr>
          <w:p>
            <w:pPr>
              <w:jc w:val="center"/>
            </w:pPr>
            <w:r>
              <w:rPr>
                <w:rFonts w:ascii="Calibri" w:hAnsi="Calibri" w:eastAsia="Microsoft YaHei"/>
                <w:b w:val="0"/>
                <w:sz w:val="18"/>
              </w:rPr>
              <w:t>仓位</w:t>
            </w:r>
          </w:p>
        </w:tc>
        <w:tc>
          <w:tcPr>
            <w:tcW w:type="dxa" w:w="7056"/>
            <w:tcMar>
              <w:top w:w="80" w:type="dxa"/>
              <w:start w:w="120" w:type="dxa"/>
              <w:bottom w:w="80" w:type="dxa"/>
              <w:end w:w="120" w:type="dxa"/>
            </w:tcMar>
            <w:vAlign w:val="center"/>
          </w:tcPr>
          <w:p>
            <w:pPr>
              <w:jc w:val="left"/>
            </w:pPr>
            <w:r>
              <w:rPr>
                <w:rFonts w:ascii="Calibri" w:hAnsi="Calibri" w:eastAsia="Microsoft YaHei"/>
                <w:b w:val="0"/>
                <w:sz w:val="18"/>
              </w:rPr>
              <w:t>单股 12%、行业 25%、事件兜底 30%</w:t>
            </w:r>
          </w:p>
        </w:tc>
      </w:tr>
    </w:tbl>
    <w:p>
      <w:pPr>
        <w:spacing w:after="80"/>
      </w:pPr>
    </w:p>
    <w:p>
      <w:pPr>
        <w:spacing w:before="280" w:after="120"/>
      </w:pPr>
      <w:r>
        <w:rPr>
          <w:rFonts w:ascii="Calibri" w:hAnsi="Calibri" w:eastAsia="Microsoft YaHei"/>
          <w:b/>
          <w:color w:val="2E74B5"/>
          <w:sz w:val="32"/>
        </w:rPr>
        <w:t>十三、风险与后续计划</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样本量仍有限，结项前需要加入更多体育事件和事件前置节点。</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当前注意力因子使用成交额冲击代理，后续接入搜索指数、新闻数量和社媒讨论量。</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Agent 证据集需要扩展为人工标注样本，评估准确率、召回率和幻觉率。</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模拟盘从 2026-05-27 开始记录每日持仓、净值、交易成本、止盈止损和信号变化。</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结项报告需要回顾模拟持仓效果，解释收益或亏损来自事件、因子、成本还是风控。</w:t>
      </w:r>
    </w:p>
    <w:p>
      <w:pPr>
        <w:spacing w:before="280" w:after="120"/>
      </w:pPr>
      <w:r>
        <w:rPr>
          <w:rFonts w:ascii="Calibri" w:hAnsi="Calibri" w:eastAsia="Microsoft YaHei"/>
          <w:b/>
          <w:color w:val="2E74B5"/>
          <w:sz w:val="32"/>
        </w:rPr>
        <w:t>十四、产物索引</w:t>
      </w:r>
    </w:p>
    <w:tbl>
      <w:tblPr>
        <w:tblStyle w:val="TableGrid"/>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16"/>
            <w:shd w:fill="F2F4F7"/>
            <w:tcMar>
              <w:top w:w="80" w:type="dxa"/>
              <w:start w:w="120" w:type="dxa"/>
              <w:bottom w:w="80" w:type="dxa"/>
              <w:end w:w="120" w:type="dxa"/>
            </w:tcMar>
            <w:vAlign w:val="center"/>
          </w:tcPr>
          <w:p>
            <w:pPr>
              <w:jc w:val="center"/>
            </w:pPr>
            <w:r>
              <w:rPr>
                <w:rFonts w:ascii="Calibri" w:hAnsi="Calibri" w:eastAsia="Microsoft YaHei"/>
                <w:b/>
                <w:color w:val="1F4D78"/>
                <w:sz w:val="17"/>
              </w:rPr>
              <w:t>产物</w:t>
            </w:r>
          </w:p>
        </w:tc>
        <w:tc>
          <w:tcPr>
            <w:tcW w:type="dxa" w:w="7200"/>
            <w:shd w:fill="F2F4F7"/>
            <w:tcMar>
              <w:top w:w="80" w:type="dxa"/>
              <w:start w:w="120" w:type="dxa"/>
              <w:bottom w:w="80" w:type="dxa"/>
              <w:end w:w="120" w:type="dxa"/>
            </w:tcMar>
            <w:vAlign w:val="center"/>
          </w:tcPr>
          <w:p>
            <w:pPr>
              <w:jc w:val="center"/>
            </w:pPr>
            <w:r>
              <w:rPr>
                <w:rFonts w:ascii="Calibri" w:hAnsi="Calibri" w:eastAsia="Microsoft YaHei"/>
                <w:b/>
                <w:color w:val="1F4D78"/>
                <w:sz w:val="17"/>
              </w:rPr>
              <w:t>路径</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系统代码</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quant_sports_event/</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配置</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configs/strategy.json, configs/events.json, configs/universe.json</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测试</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tests/test_system.py</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行情快照</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outputs/data_snapshots/2026-05-26/</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回测交易</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outputs/results/backtest_trades_2026-05-26.csv</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扩展验证</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outputs/results/walk_forward_trades_2026-05-26.csv</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模拟订单</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outputs/results/paper_orders_2026-05-27.csv</w:t>
            </w:r>
          </w:p>
        </w:tc>
      </w:tr>
      <w:tr>
        <w:tc>
          <w:tcPr>
            <w:tcW w:type="dxa" w:w="2016"/>
            <w:tcMar>
              <w:top w:w="80" w:type="dxa"/>
              <w:start w:w="120" w:type="dxa"/>
              <w:bottom w:w="80" w:type="dxa"/>
              <w:end w:w="120" w:type="dxa"/>
            </w:tcMar>
            <w:vAlign w:val="center"/>
          </w:tcPr>
          <w:p>
            <w:pPr>
              <w:jc w:val="center"/>
            </w:pPr>
            <w:r>
              <w:rPr>
                <w:rFonts w:ascii="Calibri" w:hAnsi="Calibri" w:eastAsia="Microsoft YaHei"/>
                <w:b w:val="0"/>
                <w:sz w:val="17"/>
              </w:rPr>
              <w:t>运行摘要</w:t>
            </w:r>
          </w:p>
        </w:tc>
        <w:tc>
          <w:tcPr>
            <w:tcW w:type="dxa" w:w="7200"/>
            <w:tcMar>
              <w:top w:w="80" w:type="dxa"/>
              <w:start w:w="120" w:type="dxa"/>
              <w:bottom w:w="80" w:type="dxa"/>
              <w:end w:w="120" w:type="dxa"/>
            </w:tcMar>
            <w:vAlign w:val="center"/>
          </w:tcPr>
          <w:p>
            <w:pPr>
              <w:jc w:val="left"/>
            </w:pPr>
            <w:r>
              <w:rPr>
                <w:rFonts w:ascii="Calibri" w:hAnsi="Calibri" w:eastAsia="Microsoft YaHei"/>
                <w:b w:val="0"/>
                <w:sz w:val="17"/>
              </w:rPr>
              <w:t>outputs/results/run_summary_2026-05-26.json</w:t>
            </w:r>
          </w:p>
        </w:tc>
      </w:tr>
    </w:tbl>
    <w:p>
      <w:pPr>
        <w:spacing w:after="80"/>
      </w:pPr>
    </w:p>
    <w:p>
      <w:pPr>
        <w:spacing w:before="280" w:after="120"/>
      </w:pPr>
      <w:r>
        <w:rPr>
          <w:rFonts w:ascii="Calibri" w:hAnsi="Calibri" w:eastAsia="Microsoft YaHei"/>
          <w:b/>
          <w:color w:val="2E74B5"/>
          <w:sz w:val="32"/>
        </w:rPr>
        <w:t>十五、参考文献与来源</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MacKinlay, A. C. (1997). Event Studies in Economics and Finance.</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Edmans, A., García, D., &amp; Norli, Ø. (2007). Sports Sentiment and Stock Returns.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Tetlock, P. C. (2007). Giving Content to Investor Sentiment.</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Jegadeesh, N., &amp; Titman, S. (1993). Returns to Buying Winners and Selling Losers.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Fama, E. F., &amp; French, K. R. (1993). Common Risk Factors in the Returns on Stocks and Bonds.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Carhart, M. M. (1997). On Persistence in Mutual Fund Performance.</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Kaminski, K. M., &amp; Lo, A. W. (2014). When Do Stop-Loss Rules Stop Losses?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Moskowitz, T. J., Ooi, Y. H., &amp; Pedersen, L. H. (2012). Time Series Momentum.</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Moreira, A., &amp; Muir, T. (2017). Volatility-Managed Portfolios.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Yao et al. (2023). ReAct: Synergizing Reasoning and Acting in Language Models.</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Gou et al. (2024). CRITIC: Large Language Models Can Self-Correct with Tool-Interactive Critiquing.</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Shanghai Stock Exchange. Stock Trading Mechanism.</w:t>
      </w:r>
    </w:p>
    <w:p>
      <w:pPr>
        <w:spacing w:after="80"/>
        <w:ind w:left="360" w:hanging="216"/>
      </w:pPr>
      <w:r>
        <w:rPr>
          <w:rFonts w:ascii="Calibri" w:hAnsi="Calibri" w:eastAsia="Microsoft YaHei"/>
          <w:b/>
          <w:color w:val="1F4D78"/>
          <w:sz w:val="21"/>
        </w:rPr>
        <w:t xml:space="preserve">• </w:t>
      </w:r>
      <w:r>
        <w:rPr>
          <w:rFonts w:ascii="Calibri" w:hAnsi="Calibri" w:eastAsia="Microsoft YaHei"/>
          <w:b w:val="0"/>
          <w:sz w:val="21"/>
        </w:rPr>
        <w:t>FIFA World Cup 2026 Match Schedule.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64" w:lineRule="auto"/>
      <w:jc w:val="center"/>
    </w:pPr>
    <w:r>
      <w:rPr>
        <w:rFonts w:ascii="Calibri" w:hAnsi="Calibri" w:eastAsia="Microsoft YaHei"/>
        <w:b w:val="0"/>
        <w:color w:val="666666"/>
        <w:sz w:val="18"/>
      </w:rPr>
      <w:t>QuantInvest · 2026-05-26 数据冻结</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64" w:lineRule="auto"/>
      <w:jc w:val="right"/>
    </w:pPr>
    <w:r>
      <w:rPr>
        <w:rFonts w:ascii="Calibri" w:hAnsi="Calibri" w:eastAsia="Microsoft YaHei"/>
        <w:b w:val="0"/>
        <w:color w:val="666666"/>
        <w:sz w:val="18"/>
      </w:rPr>
      <w:t>体育大事件事件驱动量化投资系统 · 中期报告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