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91" w:rsidRDefault="00047091" w:rsidP="00047091">
      <w:pPr>
        <w:spacing w:after="120" w:line="240" w:lineRule="auto"/>
        <w:ind w:firstLine="0"/>
        <w:jc w:val="right"/>
      </w:pPr>
      <w:r>
        <w:t>Лесных Кирилл, БСЦ-153</w:t>
      </w:r>
    </w:p>
    <w:p w:rsidR="00740A58" w:rsidRPr="00304D0D" w:rsidRDefault="006B1EE8" w:rsidP="00304D0D">
      <w:pPr>
        <w:pStyle w:val="1"/>
      </w:pPr>
      <w:r w:rsidRPr="00304D0D">
        <w:t>Отчет о выполнении домашнего задания №1</w:t>
      </w:r>
    </w:p>
    <w:p w:rsidR="006B1EE8" w:rsidRPr="00F432D4" w:rsidRDefault="00304D0D" w:rsidP="00F432D4">
      <w:pPr>
        <w:pStyle w:val="2"/>
      </w:pPr>
      <w:r w:rsidRPr="00F432D4">
        <w:t>Краткое описание данных</w:t>
      </w:r>
    </w:p>
    <w:p w:rsidR="00304D0D" w:rsidRDefault="008A41A5" w:rsidP="001B02E6">
      <w:r>
        <w:t>Приведенная</w:t>
      </w:r>
      <w:r w:rsidR="00F432D4">
        <w:t xml:space="preserve"> база данных представляет собой результаты </w:t>
      </w:r>
      <w:r w:rsidR="00B773F0">
        <w:t>панельного исследования</w:t>
      </w:r>
      <w:r w:rsidR="001B02E6">
        <w:t xml:space="preserve"> </w:t>
      </w:r>
      <w:proofErr w:type="spellStart"/>
      <w:r w:rsidR="001B02E6">
        <w:t>National</w:t>
      </w:r>
      <w:proofErr w:type="spellEnd"/>
      <w:r w:rsidR="001B02E6">
        <w:t xml:space="preserve"> </w:t>
      </w:r>
      <w:proofErr w:type="spellStart"/>
      <w:r w:rsidR="001B02E6">
        <w:t>Longitudinal</w:t>
      </w:r>
      <w:proofErr w:type="spellEnd"/>
      <w:r w:rsidR="001B02E6">
        <w:t xml:space="preserve"> </w:t>
      </w:r>
      <w:proofErr w:type="spellStart"/>
      <w:r w:rsidR="001B02E6">
        <w:t>Survey</w:t>
      </w:r>
      <w:proofErr w:type="spellEnd"/>
      <w:r w:rsidR="001B02E6">
        <w:t xml:space="preserve"> </w:t>
      </w:r>
      <w:proofErr w:type="spellStart"/>
      <w:r w:rsidR="001B02E6">
        <w:t>of</w:t>
      </w:r>
      <w:proofErr w:type="spellEnd"/>
      <w:r w:rsidR="001B02E6">
        <w:t xml:space="preserve"> </w:t>
      </w:r>
      <w:proofErr w:type="spellStart"/>
      <w:r w:rsidR="001B02E6">
        <w:t>Youth</w:t>
      </w:r>
      <w:proofErr w:type="spellEnd"/>
      <w:r w:rsidR="001B02E6">
        <w:t xml:space="preserve"> 1979–</w:t>
      </w:r>
      <w:r w:rsidR="001B02E6">
        <w:t>1994</w:t>
      </w:r>
      <w:r w:rsidR="001B02E6">
        <w:t xml:space="preserve"> (NLSY79)</w:t>
      </w:r>
      <w:r w:rsidR="00B773F0">
        <w:t xml:space="preserve">, </w:t>
      </w:r>
      <w:r w:rsidR="002A7245">
        <w:t xml:space="preserve">целью которого </w:t>
      </w:r>
      <w:r w:rsidR="0052179B">
        <w:t xml:space="preserve">являлось установление взаимосвязи между уровнем дохода и </w:t>
      </w:r>
      <w:r w:rsidR="006304E3">
        <w:t xml:space="preserve">рядом социально-демографических характеристик, </w:t>
      </w:r>
      <w:r w:rsidR="0052179B">
        <w:t>таки</w:t>
      </w:r>
      <w:r w:rsidR="006304E3">
        <w:t xml:space="preserve">х, </w:t>
      </w:r>
      <w:r w:rsidR="0052179B">
        <w:t>как пол, возраст, расовая принадлежность</w:t>
      </w:r>
      <w:r w:rsidR="00F23330">
        <w:t xml:space="preserve"> и, что более важно, </w:t>
      </w:r>
      <w:r w:rsidR="00D56630">
        <w:t>уровень</w:t>
      </w:r>
      <w:r w:rsidR="00F23330">
        <w:t xml:space="preserve"> образования</w:t>
      </w:r>
      <w:r w:rsidR="00A20C61">
        <w:t xml:space="preserve"> и уровень дохода. </w:t>
      </w:r>
      <w:r w:rsidR="001B02E6">
        <w:t>Выборку составляют молодые люди</w:t>
      </w:r>
      <w:r w:rsidR="002D53F4">
        <w:t xml:space="preserve"> в количестве 540 людей </w:t>
      </w:r>
      <w:r w:rsidR="001B02E6">
        <w:t>от 14 до 21 года.</w:t>
      </w:r>
    </w:p>
    <w:p w:rsidR="00304D0D" w:rsidRDefault="00304D0D" w:rsidP="00F432D4">
      <w:pPr>
        <w:pStyle w:val="2"/>
      </w:pPr>
      <w:r>
        <w:t xml:space="preserve">Распределение </w:t>
      </w:r>
      <w:r w:rsidR="009D3EDF">
        <w:t>переменных</w:t>
      </w:r>
    </w:p>
    <w:p w:rsidR="009D3EDF" w:rsidRDefault="005E18EC" w:rsidP="009D3EDF">
      <w:r>
        <w:t xml:space="preserve">Было проанализировано распределение следующих переменных: </w:t>
      </w:r>
      <w:r w:rsidRPr="00E8211C">
        <w:rPr>
          <w:b/>
        </w:rPr>
        <w:t>ASVABC</w:t>
      </w:r>
      <w:r w:rsidRPr="005E18EC">
        <w:t xml:space="preserve">, </w:t>
      </w:r>
      <w:r w:rsidRPr="00E8211C">
        <w:rPr>
          <w:b/>
        </w:rPr>
        <w:t>HEIGHT</w:t>
      </w:r>
      <w:r>
        <w:t>,</w:t>
      </w:r>
      <w:r w:rsidRPr="005E18EC">
        <w:t xml:space="preserve"> </w:t>
      </w:r>
      <w:r w:rsidRPr="00E8211C">
        <w:rPr>
          <w:b/>
        </w:rPr>
        <w:t>WEIGHT85</w:t>
      </w:r>
      <w:r w:rsidRPr="005E18EC">
        <w:t xml:space="preserve">, </w:t>
      </w:r>
      <w:r w:rsidRPr="00E8211C">
        <w:rPr>
          <w:b/>
        </w:rPr>
        <w:t>WEIGHT02</w:t>
      </w:r>
      <w:r w:rsidRPr="005E18EC">
        <w:t xml:space="preserve">, </w:t>
      </w:r>
      <w:r w:rsidRPr="00E8211C">
        <w:rPr>
          <w:b/>
        </w:rPr>
        <w:t>W_EXP</w:t>
      </w:r>
      <w:r w:rsidRPr="005E18EC">
        <w:t xml:space="preserve">, </w:t>
      </w:r>
      <w:r w:rsidRPr="00E8211C">
        <w:rPr>
          <w:b/>
        </w:rPr>
        <w:t>EARNINGS</w:t>
      </w:r>
      <w:r w:rsidRPr="005E18EC">
        <w:t xml:space="preserve">, </w:t>
      </w:r>
      <w:r w:rsidRPr="00E8211C">
        <w:rPr>
          <w:b/>
          <w:lang w:val="en-US"/>
        </w:rPr>
        <w:t>S</w:t>
      </w:r>
      <w:r w:rsidRPr="005E18EC">
        <w:t>.</w:t>
      </w:r>
    </w:p>
    <w:p w:rsidR="005E18EC" w:rsidRDefault="005E18EC" w:rsidP="009D3EDF">
      <w:r>
        <w:t>Перечисленные переменные измеряют следующие характеристики:</w:t>
      </w:r>
    </w:p>
    <w:p w:rsidR="005E18EC" w:rsidRPr="00D426EF" w:rsidRDefault="005E18EC" w:rsidP="005E18EC">
      <w:r w:rsidRPr="00E8211C">
        <w:rPr>
          <w:b/>
          <w:lang w:val="en-US"/>
        </w:rPr>
        <w:t>ASVABC</w:t>
      </w:r>
      <w:r w:rsidRPr="008726FF">
        <w:t xml:space="preserve"> – </w:t>
      </w:r>
      <w:r w:rsidR="00D426EF">
        <w:t xml:space="preserve">Суммарная переменная по </w:t>
      </w:r>
      <w:r w:rsidR="008726FF">
        <w:t xml:space="preserve">знаниям арифметики, знанию слов и пониманию </w:t>
      </w:r>
      <w:r w:rsidR="00F26397">
        <w:t>текстового</w:t>
      </w:r>
      <w:r w:rsidR="008726FF">
        <w:t xml:space="preserve"> материала</w:t>
      </w:r>
      <w:r w:rsidR="00F26397">
        <w:t>.</w:t>
      </w:r>
    </w:p>
    <w:p w:rsidR="005E18EC" w:rsidRPr="008726FF" w:rsidRDefault="005E18EC" w:rsidP="005E18EC">
      <w:r w:rsidRPr="00E8211C">
        <w:rPr>
          <w:b/>
          <w:lang w:val="en-US"/>
        </w:rPr>
        <w:t>HEIGHT</w:t>
      </w:r>
      <w:r w:rsidRPr="008726FF">
        <w:t xml:space="preserve"> – </w:t>
      </w:r>
      <w:r w:rsidR="008726FF">
        <w:t>Рост</w:t>
      </w:r>
      <w:r w:rsidRPr="008726FF">
        <w:t xml:space="preserve">, </w:t>
      </w:r>
      <w:r w:rsidR="008726FF">
        <w:t>в дюймах</w:t>
      </w:r>
      <w:r w:rsidRPr="008726FF">
        <w:t xml:space="preserve">, </w:t>
      </w:r>
      <w:r w:rsidR="008726FF">
        <w:t>в</w:t>
      </w:r>
      <w:r w:rsidRPr="008726FF">
        <w:t xml:space="preserve"> 1985</w:t>
      </w:r>
      <w:r w:rsidR="008726FF">
        <w:t xml:space="preserve"> году</w:t>
      </w:r>
      <w:r w:rsidR="00F26397">
        <w:t>.</w:t>
      </w:r>
    </w:p>
    <w:p w:rsidR="005E18EC" w:rsidRPr="008726FF" w:rsidRDefault="005E18EC" w:rsidP="005E18EC">
      <w:r w:rsidRPr="00E8211C">
        <w:rPr>
          <w:b/>
          <w:lang w:val="en-US"/>
        </w:rPr>
        <w:t>WEIGHT</w:t>
      </w:r>
      <w:r w:rsidRPr="00E8211C">
        <w:rPr>
          <w:b/>
        </w:rPr>
        <w:t>85</w:t>
      </w:r>
      <w:r w:rsidRPr="008726FF">
        <w:t xml:space="preserve"> – </w:t>
      </w:r>
      <w:r w:rsidR="008726FF">
        <w:t>Вес</w:t>
      </w:r>
      <w:r w:rsidRPr="008726FF">
        <w:t xml:space="preserve">, </w:t>
      </w:r>
      <w:r w:rsidR="008726FF">
        <w:t>в фунтах</w:t>
      </w:r>
      <w:r w:rsidRPr="008726FF">
        <w:t xml:space="preserve">, </w:t>
      </w:r>
      <w:r w:rsidR="008726FF">
        <w:t>в 1985 году</w:t>
      </w:r>
      <w:r w:rsidR="00F26397">
        <w:t>.</w:t>
      </w:r>
    </w:p>
    <w:p w:rsidR="008726FF" w:rsidRPr="008726FF" w:rsidRDefault="005E18EC" w:rsidP="008726FF">
      <w:r w:rsidRPr="00E8211C">
        <w:rPr>
          <w:b/>
          <w:lang w:val="en-US"/>
        </w:rPr>
        <w:t>WEIGHT</w:t>
      </w:r>
      <w:r w:rsidRPr="00E8211C">
        <w:rPr>
          <w:b/>
        </w:rPr>
        <w:t>02</w:t>
      </w:r>
      <w:r w:rsidRPr="008726FF">
        <w:t xml:space="preserve"> – </w:t>
      </w:r>
      <w:r w:rsidR="008726FF">
        <w:t>Вес</w:t>
      </w:r>
      <w:r w:rsidR="008726FF" w:rsidRPr="008726FF">
        <w:t xml:space="preserve">, </w:t>
      </w:r>
      <w:r w:rsidR="008726FF">
        <w:t>в фунтах</w:t>
      </w:r>
      <w:r w:rsidR="008726FF" w:rsidRPr="008726FF">
        <w:t xml:space="preserve">, </w:t>
      </w:r>
      <w:r w:rsidR="008726FF">
        <w:t xml:space="preserve">в </w:t>
      </w:r>
      <w:r w:rsidR="008726FF">
        <w:t>2002</w:t>
      </w:r>
      <w:r w:rsidR="008726FF">
        <w:t xml:space="preserve"> году</w:t>
      </w:r>
      <w:r w:rsidR="00F26397">
        <w:t>.</w:t>
      </w:r>
    </w:p>
    <w:p w:rsidR="005E18EC" w:rsidRPr="00F26397" w:rsidRDefault="005E18EC" w:rsidP="005E18EC">
      <w:r w:rsidRPr="00E8211C">
        <w:rPr>
          <w:b/>
          <w:lang w:val="en-US"/>
        </w:rPr>
        <w:t>EARNINGS</w:t>
      </w:r>
      <w:r w:rsidRPr="00F26397">
        <w:t xml:space="preserve"> – </w:t>
      </w:r>
      <w:r w:rsidR="008726FF">
        <w:t>Текущий</w:t>
      </w:r>
      <w:r w:rsidR="008726FF" w:rsidRPr="00F26397">
        <w:t xml:space="preserve"> </w:t>
      </w:r>
      <w:r w:rsidR="008726FF">
        <w:t>часовой</w:t>
      </w:r>
      <w:r w:rsidR="008726FF" w:rsidRPr="00F26397">
        <w:t xml:space="preserve"> </w:t>
      </w:r>
      <w:r w:rsidR="008726FF">
        <w:t>заработок</w:t>
      </w:r>
      <w:r w:rsidR="008726FF" w:rsidRPr="00F26397">
        <w:t xml:space="preserve"> </w:t>
      </w:r>
      <w:r w:rsidR="008726FF">
        <w:t>в</w:t>
      </w:r>
      <w:r w:rsidR="008726FF" w:rsidRPr="00F26397">
        <w:t xml:space="preserve"> $</w:t>
      </w:r>
      <w:r w:rsidR="005D27F5" w:rsidRPr="00F26397">
        <w:t xml:space="preserve"> </w:t>
      </w:r>
      <w:r w:rsidR="005D27F5">
        <w:t>в</w:t>
      </w:r>
      <w:r w:rsidR="005D27F5" w:rsidRPr="00F26397">
        <w:t xml:space="preserve"> 2002 </w:t>
      </w:r>
      <w:r w:rsidR="005D27F5">
        <w:t>году</w:t>
      </w:r>
      <w:r w:rsidR="00F26397">
        <w:t>.</w:t>
      </w:r>
    </w:p>
    <w:p w:rsidR="005E18EC" w:rsidRPr="005D27F5" w:rsidRDefault="005D27F5" w:rsidP="005E18EC">
      <w:r w:rsidRPr="00E8211C">
        <w:rPr>
          <w:b/>
          <w:lang w:val="en-US"/>
        </w:rPr>
        <w:t>S</w:t>
      </w:r>
      <w:r w:rsidR="005E18EC" w:rsidRPr="005D27F5">
        <w:t xml:space="preserve"> –</w:t>
      </w:r>
      <w:r w:rsidR="005E18EC" w:rsidRPr="00D426EF">
        <w:rPr>
          <w:lang w:val="en-US"/>
        </w:rPr>
        <w:t> </w:t>
      </w:r>
      <w:r>
        <w:t>Количество</w:t>
      </w:r>
      <w:r w:rsidRPr="005D27F5">
        <w:t xml:space="preserve"> </w:t>
      </w:r>
      <w:r>
        <w:t>лет</w:t>
      </w:r>
      <w:r w:rsidRPr="005D27F5">
        <w:t xml:space="preserve"> </w:t>
      </w:r>
      <w:r>
        <w:t>обучения, по состоянию на 2002 году</w:t>
      </w:r>
      <w:r w:rsidR="00F26397">
        <w:t>.</w:t>
      </w:r>
    </w:p>
    <w:p w:rsidR="005E18EC" w:rsidRDefault="0097775D" w:rsidP="005E18EC">
      <w:r>
        <w:rPr>
          <w:b/>
          <w:lang w:val="en-US"/>
        </w:rPr>
        <w:t>W</w:t>
      </w:r>
      <w:r w:rsidRPr="0097775D">
        <w:rPr>
          <w:b/>
        </w:rPr>
        <w:t>_</w:t>
      </w:r>
      <w:r w:rsidR="005E18EC" w:rsidRPr="00E8211C">
        <w:rPr>
          <w:b/>
          <w:lang w:val="en-US"/>
        </w:rPr>
        <w:t>EXP</w:t>
      </w:r>
      <w:r w:rsidR="005E18EC" w:rsidRPr="00F26397">
        <w:t xml:space="preserve"> – </w:t>
      </w:r>
      <w:r w:rsidR="00F26397">
        <w:t>Полное</w:t>
      </w:r>
      <w:r w:rsidR="00F26397" w:rsidRPr="00F26397">
        <w:t xml:space="preserve"> </w:t>
      </w:r>
      <w:r w:rsidR="00F26397">
        <w:t>количество</w:t>
      </w:r>
      <w:r w:rsidR="00F26397" w:rsidRPr="00F26397">
        <w:t xml:space="preserve"> </w:t>
      </w:r>
      <w:r w:rsidR="00F26397">
        <w:t>лет</w:t>
      </w:r>
      <w:r w:rsidR="00F26397" w:rsidRPr="00F26397">
        <w:t xml:space="preserve"> </w:t>
      </w:r>
      <w:r w:rsidR="00F26397">
        <w:t>опыта</w:t>
      </w:r>
      <w:r w:rsidR="00F26397" w:rsidRPr="00F26397">
        <w:t xml:space="preserve"> </w:t>
      </w:r>
      <w:r w:rsidR="00F26397">
        <w:t>работы</w:t>
      </w:r>
      <w:r w:rsidR="00F26397" w:rsidRPr="00F26397">
        <w:t xml:space="preserve"> </w:t>
      </w:r>
      <w:r w:rsidR="00F26397">
        <w:t>вне</w:t>
      </w:r>
      <w:r w:rsidR="00F26397" w:rsidRPr="00F26397">
        <w:t xml:space="preserve"> </w:t>
      </w:r>
      <w:r w:rsidR="00F26397">
        <w:t>школы</w:t>
      </w:r>
      <w:r w:rsidR="00F26397" w:rsidRPr="00F26397">
        <w:t xml:space="preserve"> </w:t>
      </w:r>
      <w:r w:rsidR="00F26397">
        <w:t>в</w:t>
      </w:r>
      <w:r w:rsidR="00F26397" w:rsidRPr="00F26397">
        <w:t xml:space="preserve"> 2002 </w:t>
      </w:r>
      <w:r w:rsidR="00F26397">
        <w:t>году.</w:t>
      </w:r>
    </w:p>
    <w:p w:rsidR="004E25CD" w:rsidRDefault="002C535C" w:rsidP="005E18EC">
      <w:r>
        <w:t xml:space="preserve">Среди вышеперечисленных переменных </w:t>
      </w:r>
      <w:r w:rsidR="00EF7ABE">
        <w:t xml:space="preserve">не все имеют визуальное отделимое нормальное распределение. Таковым обладают переменные </w:t>
      </w:r>
      <w:r w:rsidR="003E279E" w:rsidRPr="00E8211C">
        <w:rPr>
          <w:b/>
          <w:lang w:val="en-US"/>
        </w:rPr>
        <w:t>HEIGHT</w:t>
      </w:r>
      <w:r w:rsidR="003E279E" w:rsidRPr="00E8211C">
        <w:t xml:space="preserve">, </w:t>
      </w:r>
      <w:r w:rsidR="003E279E" w:rsidRPr="00E8211C">
        <w:rPr>
          <w:b/>
          <w:lang w:val="en-US"/>
        </w:rPr>
        <w:t>WEIGHT</w:t>
      </w:r>
      <w:r w:rsidR="003E279E" w:rsidRPr="00E8211C">
        <w:rPr>
          <w:b/>
        </w:rPr>
        <w:t>85</w:t>
      </w:r>
      <w:r w:rsidR="003E279E" w:rsidRPr="00E8211C">
        <w:t xml:space="preserve">, </w:t>
      </w:r>
      <w:r w:rsidR="003E279E" w:rsidRPr="00E8211C">
        <w:rPr>
          <w:b/>
          <w:lang w:val="en-US"/>
        </w:rPr>
        <w:t>WEIGHT</w:t>
      </w:r>
      <w:r w:rsidR="003E279E" w:rsidRPr="00E8211C">
        <w:rPr>
          <w:b/>
        </w:rPr>
        <w:t>02</w:t>
      </w:r>
      <w:r w:rsidR="00EC4055">
        <w:t xml:space="preserve">. </w:t>
      </w:r>
      <w:r w:rsidR="00C337B1">
        <w:t>Данное распределение можно объяснить тем, что физические характеристики людей обладают некоторым средним значением</w:t>
      </w:r>
      <w:r w:rsidR="00B83550">
        <w:t xml:space="preserve">, </w:t>
      </w:r>
      <w:r w:rsidR="004E25CD">
        <w:t xml:space="preserve">некоторые </w:t>
      </w:r>
      <w:r w:rsidR="00B83550">
        <w:t xml:space="preserve">значения роста и веса </w:t>
      </w:r>
      <w:r w:rsidR="004E25CD">
        <w:t xml:space="preserve">гораздо часто встречаются по сравнению с другими </w:t>
      </w:r>
      <w:r w:rsidR="00B83550">
        <w:t>среди всех людей</w:t>
      </w:r>
      <w:r w:rsidR="004E25CD">
        <w:t>, поэтому распределяются нормально</w:t>
      </w:r>
      <w:r w:rsidR="00CE0446">
        <w:t xml:space="preserve"> </w:t>
      </w:r>
      <w:r w:rsidR="00CE0446">
        <w:t>(</w:t>
      </w:r>
      <w:r w:rsidR="00CE0446">
        <w:rPr>
          <w:i/>
        </w:rPr>
        <w:t>График 1</w:t>
      </w:r>
      <w:r w:rsidR="00CE0446">
        <w:t>)</w:t>
      </w:r>
      <w:r w:rsidR="004E25CD">
        <w:t>.</w:t>
      </w:r>
    </w:p>
    <w:p w:rsidR="004E25CD" w:rsidRDefault="00E8211C" w:rsidP="005E18EC">
      <w:r>
        <w:t xml:space="preserve">Менее визуально выраженным нормальным распределением, </w:t>
      </w:r>
      <w:r w:rsidR="00ED6AE5">
        <w:t xml:space="preserve">но </w:t>
      </w:r>
      <w:r>
        <w:t xml:space="preserve">имеющим смещение в ту или иную сторону, обладают </w:t>
      </w:r>
      <w:r w:rsidRPr="00E8211C">
        <w:rPr>
          <w:b/>
          <w:lang w:val="en-US"/>
        </w:rPr>
        <w:t>EARNINGS</w:t>
      </w:r>
      <w:r w:rsidRPr="00E8211C">
        <w:t>,</w:t>
      </w:r>
      <w:r>
        <w:t xml:space="preserve"> </w:t>
      </w:r>
      <w:r w:rsidR="0097775D" w:rsidRPr="00E8211C">
        <w:rPr>
          <w:b/>
          <w:lang w:val="en-US"/>
        </w:rPr>
        <w:t>ASVABC</w:t>
      </w:r>
      <w:r w:rsidR="0097775D">
        <w:rPr>
          <w:b/>
        </w:rPr>
        <w:t xml:space="preserve"> </w:t>
      </w:r>
      <w:r w:rsidR="0097775D">
        <w:t xml:space="preserve">и </w:t>
      </w:r>
      <w:r w:rsidR="0097775D">
        <w:rPr>
          <w:b/>
          <w:lang w:val="en-US"/>
        </w:rPr>
        <w:t>W</w:t>
      </w:r>
      <w:r w:rsidR="0097775D" w:rsidRPr="0097775D">
        <w:rPr>
          <w:b/>
        </w:rPr>
        <w:t>_</w:t>
      </w:r>
      <w:r w:rsidR="0097775D" w:rsidRPr="00E8211C">
        <w:rPr>
          <w:b/>
          <w:lang w:val="en-US"/>
        </w:rPr>
        <w:t>EXP</w:t>
      </w:r>
      <w:r w:rsidR="0097775D">
        <w:t>.</w:t>
      </w:r>
      <w:r w:rsidR="00C56D5B">
        <w:t xml:space="preserve"> </w:t>
      </w:r>
      <w:r w:rsidR="00781A90">
        <w:t>Распределение уровня заработка говорит о том, что большая часть выборки обладает схожим размером дохода, но в выборке присутствует доля людей, чей заработок значительно превосходит средний уровень (</w:t>
      </w:r>
      <w:r w:rsidR="00EE7DB3">
        <w:t>может превосходить в 5 или 6 раз</w:t>
      </w:r>
      <w:r w:rsidR="00781A90">
        <w:t>)</w:t>
      </w:r>
      <w:r w:rsidR="00EE7DB3">
        <w:t>. Уровень арифметики, набора слов и восприятия текста говорит о вербальных способностях людей,</w:t>
      </w:r>
      <w:r w:rsidR="00021103">
        <w:t xml:space="preserve"> этот показатель говорит о том, что большая доля выборки обладает </w:t>
      </w:r>
      <w:r w:rsidR="00B61589">
        <w:t>значением этого показателя на уровне</w:t>
      </w:r>
      <w:r w:rsidR="00021103">
        <w:t xml:space="preserve"> </w:t>
      </w:r>
      <w:r w:rsidR="00B61589">
        <w:t>«в</w:t>
      </w:r>
      <w:r w:rsidR="00021103">
        <w:t>ыше среднего</w:t>
      </w:r>
      <w:r w:rsidR="00B61589">
        <w:t xml:space="preserve">». </w:t>
      </w:r>
      <w:r w:rsidR="009550D2">
        <w:t xml:space="preserve">Распределение количества лет опыта работы говорит о том, </w:t>
      </w:r>
      <w:r w:rsidR="00363D79">
        <w:t xml:space="preserve">значительная часть выборки представляет собой работающих людей, </w:t>
      </w:r>
      <w:r w:rsidR="00363D79">
        <w:lastRenderedPageBreak/>
        <w:t xml:space="preserve">поэтому </w:t>
      </w:r>
      <w:r w:rsidR="0046004A">
        <w:t xml:space="preserve">наиболее </w:t>
      </w:r>
      <w:r w:rsidR="00F32AAD">
        <w:t>часто встречающееся значение этого показателя смещено на графике в правую сторону</w:t>
      </w:r>
      <w:r w:rsidR="00CE0446">
        <w:t xml:space="preserve"> </w:t>
      </w:r>
      <w:r w:rsidR="00CE0446">
        <w:t>(</w:t>
      </w:r>
      <w:r w:rsidR="00CE0446">
        <w:rPr>
          <w:i/>
        </w:rPr>
        <w:t>График 1</w:t>
      </w:r>
      <w:r w:rsidR="00CE0446">
        <w:t>)</w:t>
      </w:r>
      <w:r w:rsidR="00F32AAD">
        <w:t>.</w:t>
      </w:r>
    </w:p>
    <w:p w:rsidR="002C535C" w:rsidRDefault="00ED6AE5" w:rsidP="005E18EC">
      <w:r>
        <w:t>Что касается</w:t>
      </w:r>
      <w:r w:rsidR="00C015EE">
        <w:t xml:space="preserve"> распределени</w:t>
      </w:r>
      <w:r w:rsidR="00047CA8">
        <w:t xml:space="preserve">я для </w:t>
      </w:r>
      <w:r w:rsidR="00047CA8" w:rsidRPr="00047CA8">
        <w:rPr>
          <w:b/>
          <w:lang w:val="en-US"/>
        </w:rPr>
        <w:t>S</w:t>
      </w:r>
      <w:r w:rsidR="00047CA8" w:rsidRPr="00047CA8">
        <w:t xml:space="preserve">, </w:t>
      </w:r>
      <w:r w:rsidR="00047CA8">
        <w:t>его тоже можно в определенной степени считать</w:t>
      </w:r>
      <w:r w:rsidR="00C015EE">
        <w:t xml:space="preserve"> нормальным</w:t>
      </w:r>
      <w:r w:rsidR="00047CA8">
        <w:t>, но в нем наблюдается четкий перевес одного центрального значения по сравнению с другими</w:t>
      </w:r>
      <w:r w:rsidR="00C015EE">
        <w:t xml:space="preserve">. </w:t>
      </w:r>
      <w:r w:rsidR="0046004A">
        <w:t xml:space="preserve">Это можно объяснить тем, что для большего количества людей характерно одно количество лет обучения, которое складывается из фиксированного количества лет обучения в школе и фиксированного количества лет в университете </w:t>
      </w:r>
      <w:r w:rsidR="00C56D5B">
        <w:t>(</w:t>
      </w:r>
      <w:r w:rsidR="00C56D5B">
        <w:rPr>
          <w:i/>
        </w:rPr>
        <w:t>График</w:t>
      </w:r>
      <w:r w:rsidR="0046004A">
        <w:rPr>
          <w:i/>
        </w:rPr>
        <w:t> </w:t>
      </w:r>
      <w:r w:rsidR="00C56D5B">
        <w:rPr>
          <w:i/>
        </w:rPr>
        <w:t>1</w:t>
      </w:r>
      <w:r w:rsidR="00C56D5B">
        <w:t>)</w:t>
      </w:r>
      <w:r w:rsidR="0046004A">
        <w:t>.</w:t>
      </w:r>
    </w:p>
    <w:p w:rsidR="001606E4" w:rsidRPr="008871A3" w:rsidRDefault="001606E4" w:rsidP="001606E4">
      <w:r>
        <w:t xml:space="preserve">Выводы, сделанные на основе данных гистограмм, также подтверждаются </w:t>
      </w:r>
      <w:r>
        <w:rPr>
          <w:lang w:val="en-US"/>
        </w:rPr>
        <w:t>QQ</w:t>
      </w:r>
      <w:r w:rsidRPr="00C015EE">
        <w:t>-</w:t>
      </w:r>
      <w:r>
        <w:t>графиками</w:t>
      </w:r>
      <w:r w:rsidR="008C67BB">
        <w:t xml:space="preserve"> (</w:t>
      </w:r>
      <w:r w:rsidR="000B00A2">
        <w:t xml:space="preserve">коды их построения </w:t>
      </w:r>
      <w:r w:rsidR="00EF0EF7">
        <w:t xml:space="preserve">приведены </w:t>
      </w:r>
      <w:r w:rsidR="008C67BB">
        <w:t xml:space="preserve">в файле </w:t>
      </w:r>
      <w:r w:rsidR="008C67BB" w:rsidRPr="008C67BB">
        <w:rPr>
          <w:i/>
        </w:rPr>
        <w:t>153_</w:t>
      </w:r>
      <w:proofErr w:type="spellStart"/>
      <w:r w:rsidR="008C67BB" w:rsidRPr="008C67BB">
        <w:rPr>
          <w:i/>
          <w:lang w:val="en-US"/>
        </w:rPr>
        <w:t>Lesnykh</w:t>
      </w:r>
      <w:proofErr w:type="spellEnd"/>
      <w:r w:rsidR="008C67BB" w:rsidRPr="008C67BB">
        <w:rPr>
          <w:i/>
        </w:rPr>
        <w:t>_</w:t>
      </w:r>
      <w:r w:rsidR="008C67BB" w:rsidRPr="008C67BB">
        <w:rPr>
          <w:i/>
          <w:lang w:val="en-US"/>
        </w:rPr>
        <w:t>HW</w:t>
      </w:r>
      <w:r w:rsidR="008C67BB" w:rsidRPr="008C67BB">
        <w:rPr>
          <w:i/>
        </w:rPr>
        <w:t>_</w:t>
      </w:r>
      <w:proofErr w:type="gramStart"/>
      <w:r w:rsidR="008C67BB" w:rsidRPr="008C67BB">
        <w:rPr>
          <w:i/>
        </w:rPr>
        <w:t>1.</w:t>
      </w:r>
      <w:proofErr w:type="spellStart"/>
      <w:r w:rsidR="008C67BB" w:rsidRPr="008C67BB">
        <w:rPr>
          <w:i/>
          <w:lang w:val="en-US"/>
        </w:rPr>
        <w:t>ipynb</w:t>
      </w:r>
      <w:proofErr w:type="spellEnd"/>
      <w:proofErr w:type="gramEnd"/>
      <w:r w:rsidR="008C67BB">
        <w:t>)</w:t>
      </w:r>
      <w:r w:rsidR="00EF0EF7">
        <w:t xml:space="preserve">. Нормальное распределение характерно для всех переменных, </w:t>
      </w:r>
      <w:r w:rsidR="00080E5D">
        <w:t>однако в одних оно является более выраженным, в других в меньшей степени.</w:t>
      </w:r>
    </w:p>
    <w:p w:rsidR="001606E4" w:rsidRDefault="00080E5D" w:rsidP="005E18EC">
      <w:r>
        <w:t>Иные графики, описывающие распределение и по</w:t>
      </w:r>
      <w:r w:rsidR="00C07645">
        <w:t>строенные</w:t>
      </w:r>
      <w:r>
        <w:t xml:space="preserve"> в ходе выполнения задания</w:t>
      </w:r>
      <w:r w:rsidR="00C07645">
        <w:t>, (</w:t>
      </w:r>
      <w:r w:rsidR="00C07645" w:rsidRPr="00C07645">
        <w:rPr>
          <w:i/>
        </w:rPr>
        <w:t>гистограммы в виде кривых</w:t>
      </w:r>
      <w:r w:rsidR="00C07645">
        <w:t>, «</w:t>
      </w:r>
      <w:r w:rsidR="00C07645">
        <w:rPr>
          <w:i/>
        </w:rPr>
        <w:t>ящики</w:t>
      </w:r>
      <w:r w:rsidR="00C07645" w:rsidRPr="00C07645">
        <w:rPr>
          <w:i/>
        </w:rPr>
        <w:t xml:space="preserve"> с усами</w:t>
      </w:r>
      <w:r w:rsidR="00C07645">
        <w:rPr>
          <w:i/>
        </w:rPr>
        <w:t>»</w:t>
      </w:r>
      <w:r w:rsidR="00C07645">
        <w:t>) подтверждают вышесказанные выводы.</w:t>
      </w:r>
      <w:r w:rsidR="00F033A6">
        <w:t xml:space="preserve"> </w:t>
      </w:r>
    </w:p>
    <w:p w:rsidR="000B2336" w:rsidRDefault="00A90F00" w:rsidP="003E279E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87592" cy="3024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260" cy="30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9E" w:rsidRDefault="003E279E" w:rsidP="0088347A">
      <w:pPr>
        <w:spacing w:after="120" w:line="240" w:lineRule="auto"/>
        <w:ind w:firstLine="0"/>
        <w:jc w:val="center"/>
      </w:pPr>
      <w:r w:rsidRPr="003E279E">
        <w:rPr>
          <w:i/>
        </w:rPr>
        <w:t>График 1.</w:t>
      </w:r>
      <w:r>
        <w:t xml:space="preserve"> Столбчатые гистограммы</w:t>
      </w:r>
    </w:p>
    <w:p w:rsidR="0088347A" w:rsidRDefault="0088347A" w:rsidP="0088347A">
      <w:r>
        <w:t xml:space="preserve">Таким образом, для перечисленных переменных из приведенной части базы данных характерно нормальное распределение. Но </w:t>
      </w:r>
      <w:r w:rsidR="00826FE5">
        <w:t xml:space="preserve">для ряда переменных оно </w:t>
      </w:r>
      <w:r w:rsidR="0046004A">
        <w:t>является более визуально выраженным, для других в меньшей степени, что можно объяснить сме</w:t>
      </w:r>
      <w:r w:rsidR="001C71A7">
        <w:t>щ</w:t>
      </w:r>
      <w:r w:rsidR="0046004A">
        <w:t>ением в ту или иную сторону.</w:t>
      </w:r>
      <w:r w:rsidR="00826FE5">
        <w:t xml:space="preserve"> </w:t>
      </w:r>
    </w:p>
    <w:p w:rsidR="009D3EDF" w:rsidRDefault="009D3EDF" w:rsidP="00F432D4">
      <w:pPr>
        <w:pStyle w:val="2"/>
      </w:pPr>
      <w:r>
        <w:t>Зависимости между переменными</w:t>
      </w:r>
    </w:p>
    <w:p w:rsidR="0097061E" w:rsidRDefault="00EB7A31" w:rsidP="0046004A">
      <w:r>
        <w:t xml:space="preserve">Зависимости между переменными в данной работе можно проанализировать с помощью </w:t>
      </w:r>
      <w:r w:rsidR="00A6254B">
        <w:t>таблиц корреляций и диаграмм рассеяния.</w:t>
      </w:r>
    </w:p>
    <w:p w:rsidR="0046004A" w:rsidRDefault="0097061E" w:rsidP="0046004A">
      <w:r>
        <w:lastRenderedPageBreak/>
        <w:t>Прежде чем приступать к анализу связей, с</w:t>
      </w:r>
      <w:r w:rsidR="00EE63B6">
        <w:t xml:space="preserve">тоит отметить, что в данной работе </w:t>
      </w:r>
      <w:r w:rsidR="00BB5B65">
        <w:t xml:space="preserve">выводы о </w:t>
      </w:r>
      <w:r w:rsidR="00EE63B6">
        <w:t>зависимост</w:t>
      </w:r>
      <w:r w:rsidR="00BB5B65">
        <w:t>ях</w:t>
      </w:r>
      <w:r w:rsidR="00EE63B6">
        <w:t xml:space="preserve"> между переменными </w:t>
      </w:r>
      <w:r w:rsidR="00BB5B65">
        <w:t>строятся исключительно только на визуальном анализе построенных графиков и диаграм</w:t>
      </w:r>
      <w:r>
        <w:t>м, в данной работе не проверяются статистические значимости различий и взаимосвязей, поэтому выводы в данной работе являются лишь предположениями и приблизительными.</w:t>
      </w:r>
    </w:p>
    <w:p w:rsidR="00A6254B" w:rsidRPr="001C1F09" w:rsidRDefault="00A6254B" w:rsidP="0046004A">
      <w:r>
        <w:t>Таблица корреляций по всем переменным представлена далее (</w:t>
      </w:r>
      <w:r w:rsidRPr="00176B20">
        <w:rPr>
          <w:i/>
        </w:rPr>
        <w:t>График 2</w:t>
      </w:r>
      <w:r>
        <w:t>).</w:t>
      </w:r>
      <w:r w:rsidR="001C1F09" w:rsidRPr="001C1F09">
        <w:t xml:space="preserve"> </w:t>
      </w:r>
    </w:p>
    <w:p w:rsidR="00A6254B" w:rsidRDefault="00440ACA" w:rsidP="00440ACA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64605" cy="329711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069" cy="33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09" w:rsidRPr="001C1F09" w:rsidRDefault="001C1F09" w:rsidP="001C1F09">
      <w:pPr>
        <w:spacing w:after="120" w:line="240" w:lineRule="auto"/>
        <w:ind w:firstLine="0"/>
        <w:jc w:val="center"/>
      </w:pPr>
      <w:r w:rsidRPr="003E279E">
        <w:rPr>
          <w:i/>
        </w:rPr>
        <w:t xml:space="preserve">График </w:t>
      </w:r>
      <w:r w:rsidRPr="001C1F09">
        <w:rPr>
          <w:i/>
        </w:rPr>
        <w:t>2</w:t>
      </w:r>
      <w:r w:rsidRPr="003E279E">
        <w:rPr>
          <w:i/>
        </w:rPr>
        <w:t>.</w:t>
      </w:r>
      <w:r>
        <w:t xml:space="preserve"> </w:t>
      </w:r>
      <w:r>
        <w:t>Корреляционная матрица</w:t>
      </w:r>
    </w:p>
    <w:p w:rsidR="001C1F09" w:rsidRDefault="001C1F09" w:rsidP="001C1F09">
      <w:r>
        <w:t>Согласно данной матрице</w:t>
      </w:r>
      <w:r w:rsidR="00147098">
        <w:t xml:space="preserve">, наибольшая </w:t>
      </w:r>
      <w:r w:rsidR="008B4CAD">
        <w:t xml:space="preserve">положительная </w:t>
      </w:r>
      <w:r w:rsidR="00147098">
        <w:t>корреляционная связь</w:t>
      </w:r>
      <w:r w:rsidR="00BC618F">
        <w:rPr>
          <w:rStyle w:val="aa"/>
        </w:rPr>
        <w:footnoteReference w:customMarkFollows="1" w:id="1"/>
        <w:t>*</w:t>
      </w:r>
      <w:r w:rsidR="00BC618F">
        <w:t xml:space="preserve"> </w:t>
      </w:r>
      <w:r w:rsidR="00EE63B6">
        <w:t>характерна</w:t>
      </w:r>
      <w:r w:rsidR="00B1064D">
        <w:t xml:space="preserve"> для пар переменных </w:t>
      </w:r>
      <w:r w:rsidR="00B1064D">
        <w:rPr>
          <w:b/>
          <w:lang w:val="en-US"/>
        </w:rPr>
        <w:t>S</w:t>
      </w:r>
      <w:r w:rsidR="00B1064D" w:rsidRPr="00B1064D">
        <w:rPr>
          <w:b/>
        </w:rPr>
        <w:t xml:space="preserve"> – </w:t>
      </w:r>
      <w:r w:rsidR="00B1064D">
        <w:rPr>
          <w:b/>
          <w:lang w:val="en-US"/>
        </w:rPr>
        <w:t>AS</w:t>
      </w:r>
      <w:r w:rsidR="00F91159">
        <w:rPr>
          <w:b/>
          <w:lang w:val="en-US"/>
        </w:rPr>
        <w:t>VABC</w:t>
      </w:r>
      <w:r w:rsidR="00F91159" w:rsidRPr="00F91159">
        <w:t xml:space="preserve">, </w:t>
      </w:r>
      <w:r w:rsidR="00F91159">
        <w:rPr>
          <w:b/>
          <w:lang w:val="en-US"/>
        </w:rPr>
        <w:t>S</w:t>
      </w:r>
      <w:r w:rsidR="00F91159" w:rsidRPr="00F91159">
        <w:rPr>
          <w:b/>
        </w:rPr>
        <w:t xml:space="preserve"> – </w:t>
      </w:r>
      <w:r w:rsidR="00F91159">
        <w:rPr>
          <w:b/>
          <w:lang w:val="en-US"/>
        </w:rPr>
        <w:t>EARNINGS</w:t>
      </w:r>
      <w:r w:rsidR="009B130A" w:rsidRPr="009B130A">
        <w:t xml:space="preserve"> </w:t>
      </w:r>
      <w:r w:rsidR="009B130A">
        <w:t xml:space="preserve">и </w:t>
      </w:r>
      <w:r w:rsidR="009B130A">
        <w:rPr>
          <w:b/>
          <w:lang w:val="en-US"/>
        </w:rPr>
        <w:t>ASVABC</w:t>
      </w:r>
      <w:r w:rsidR="009B130A" w:rsidRPr="009B130A">
        <w:rPr>
          <w:b/>
        </w:rPr>
        <w:t xml:space="preserve"> – </w:t>
      </w:r>
      <w:r w:rsidR="009B130A">
        <w:rPr>
          <w:b/>
          <w:lang w:val="en-US"/>
        </w:rPr>
        <w:t>EARNINGS</w:t>
      </w:r>
      <w:r w:rsidR="00AB1C84">
        <w:t xml:space="preserve">, отрицательная корреляционная связь характерна для </w:t>
      </w:r>
      <w:r w:rsidR="00BB2DE8">
        <w:t xml:space="preserve">пары </w:t>
      </w:r>
      <w:r w:rsidR="00BB2DE8" w:rsidRPr="00BB2DE8">
        <w:rPr>
          <w:b/>
          <w:lang w:val="en-US"/>
        </w:rPr>
        <w:t>S</w:t>
      </w:r>
      <w:r w:rsidR="00BB2DE8" w:rsidRPr="00BB2DE8">
        <w:rPr>
          <w:b/>
        </w:rPr>
        <w:t xml:space="preserve"> – </w:t>
      </w:r>
      <w:r w:rsidR="00BB2DE8" w:rsidRPr="00BB2DE8">
        <w:rPr>
          <w:b/>
          <w:lang w:val="en-US"/>
        </w:rPr>
        <w:t>W</w:t>
      </w:r>
      <w:r w:rsidR="00BB2DE8" w:rsidRPr="00BB2DE8">
        <w:rPr>
          <w:b/>
        </w:rPr>
        <w:t>_</w:t>
      </w:r>
      <w:r w:rsidR="00BB2DE8" w:rsidRPr="00BB2DE8">
        <w:rPr>
          <w:b/>
          <w:lang w:val="en-US"/>
        </w:rPr>
        <w:t>EXP</w:t>
      </w:r>
      <w:r w:rsidR="00BB2DE8" w:rsidRPr="00BB2DE8">
        <w:t>.</w:t>
      </w:r>
    </w:p>
    <w:p w:rsidR="00BB2DE8" w:rsidRDefault="001E423B" w:rsidP="001C1F09">
      <w:r>
        <w:t xml:space="preserve">Положительную связь между </w:t>
      </w:r>
      <w:r>
        <w:rPr>
          <w:b/>
          <w:lang w:val="en-US"/>
        </w:rPr>
        <w:t>S</w:t>
      </w:r>
      <w:r w:rsidRPr="00B1064D">
        <w:rPr>
          <w:b/>
        </w:rPr>
        <w:t xml:space="preserve"> – </w:t>
      </w:r>
      <w:r>
        <w:rPr>
          <w:b/>
          <w:lang w:val="en-US"/>
        </w:rPr>
        <w:t>ASVABC</w:t>
      </w:r>
      <w:r>
        <w:rPr>
          <w:b/>
        </w:rPr>
        <w:t xml:space="preserve"> </w:t>
      </w:r>
      <w:r>
        <w:t xml:space="preserve">можно объяснить тем, что </w:t>
      </w:r>
      <w:r w:rsidR="007210F6">
        <w:t xml:space="preserve">люди, которые </w:t>
      </w:r>
      <w:r w:rsidR="00835773">
        <w:t xml:space="preserve">больше лет потратили на учебу, имеют больший уровень общих вербальных навыков решения математических примеров, </w:t>
      </w:r>
      <w:r w:rsidR="00C42243">
        <w:t>словарного запаса и текстового анализа</w:t>
      </w:r>
      <w:r w:rsidR="00835773">
        <w:t>.</w:t>
      </w:r>
    </w:p>
    <w:p w:rsidR="00C42243" w:rsidRDefault="00C42243" w:rsidP="00C42243">
      <w:r>
        <w:t xml:space="preserve">Положительную связь между </w:t>
      </w:r>
      <w:r>
        <w:rPr>
          <w:b/>
          <w:lang w:val="en-US"/>
        </w:rPr>
        <w:t>S</w:t>
      </w:r>
      <w:r w:rsidRPr="00F91159">
        <w:rPr>
          <w:b/>
        </w:rPr>
        <w:t xml:space="preserve"> – </w:t>
      </w:r>
      <w:r>
        <w:rPr>
          <w:b/>
          <w:lang w:val="en-US"/>
        </w:rPr>
        <w:t>EARNINGS</w:t>
      </w:r>
      <w:r w:rsidRPr="009B130A">
        <w:t xml:space="preserve"> </w:t>
      </w:r>
      <w:r>
        <w:t xml:space="preserve">можно объяснить тем, что люди, которые больше лет потратили на учебу, </w:t>
      </w:r>
      <w:r>
        <w:t>являются более образованными</w:t>
      </w:r>
      <w:r w:rsidR="000858F4">
        <w:t xml:space="preserve"> и, следовательно, являются более способными занимать </w:t>
      </w:r>
      <w:r w:rsidR="008F06D9">
        <w:t>высок</w:t>
      </w:r>
      <w:r w:rsidR="00F31F3A">
        <w:t>ооплачиваемые</w:t>
      </w:r>
      <w:r w:rsidR="008F06D9">
        <w:t xml:space="preserve"> должности</w:t>
      </w:r>
      <w:r w:rsidR="00F31F3A">
        <w:t>.</w:t>
      </w:r>
    </w:p>
    <w:p w:rsidR="00C42243" w:rsidRDefault="00F31F3A" w:rsidP="00F31F3A">
      <w:r>
        <w:t xml:space="preserve">Положительную связь между </w:t>
      </w:r>
      <w:r>
        <w:rPr>
          <w:b/>
          <w:lang w:val="en-US"/>
        </w:rPr>
        <w:t>ASVABC</w:t>
      </w:r>
      <w:r w:rsidRPr="009B130A">
        <w:rPr>
          <w:b/>
        </w:rPr>
        <w:t xml:space="preserve"> </w:t>
      </w:r>
      <w:r w:rsidRPr="00F91159">
        <w:rPr>
          <w:b/>
        </w:rPr>
        <w:t xml:space="preserve">– </w:t>
      </w:r>
      <w:r>
        <w:rPr>
          <w:b/>
          <w:lang w:val="en-US"/>
        </w:rPr>
        <w:t>EARNINGS</w:t>
      </w:r>
      <w:r w:rsidRPr="009B130A">
        <w:t xml:space="preserve"> </w:t>
      </w:r>
      <w:r>
        <w:t xml:space="preserve">можно объяснить тем, что люди, которые </w:t>
      </w:r>
      <w:r w:rsidR="006E6AF2">
        <w:t xml:space="preserve">обладают более высоким уровнем </w:t>
      </w:r>
      <w:r w:rsidR="006E6AF2">
        <w:t>общих вербальных навыков решения математических примеров, словарного запаса и текстового анализа</w:t>
      </w:r>
      <w:r>
        <w:t xml:space="preserve">, являются более </w:t>
      </w:r>
      <w:r w:rsidR="006E6AF2">
        <w:t xml:space="preserve">способными занимать </w:t>
      </w:r>
      <w:r>
        <w:t>высокооплачиваемые должности.</w:t>
      </w:r>
    </w:p>
    <w:p w:rsidR="006E6AF2" w:rsidRDefault="006E6AF2" w:rsidP="006E6AF2">
      <w:r>
        <w:lastRenderedPageBreak/>
        <w:t>Отрицательную</w:t>
      </w:r>
      <w:r>
        <w:t xml:space="preserve"> связь между </w:t>
      </w:r>
      <w:r w:rsidR="00E4530E" w:rsidRPr="00BB2DE8">
        <w:rPr>
          <w:b/>
          <w:lang w:val="en-US"/>
        </w:rPr>
        <w:t>S</w:t>
      </w:r>
      <w:r w:rsidR="00E4530E" w:rsidRPr="00BB2DE8">
        <w:rPr>
          <w:b/>
        </w:rPr>
        <w:t xml:space="preserve"> – </w:t>
      </w:r>
      <w:r w:rsidR="00E4530E" w:rsidRPr="00BB2DE8">
        <w:rPr>
          <w:b/>
          <w:lang w:val="en-US"/>
        </w:rPr>
        <w:t>W</w:t>
      </w:r>
      <w:r w:rsidR="00E4530E" w:rsidRPr="00BB2DE8">
        <w:rPr>
          <w:b/>
        </w:rPr>
        <w:t>_</w:t>
      </w:r>
      <w:r w:rsidR="00E4530E" w:rsidRPr="00BB2DE8">
        <w:rPr>
          <w:b/>
          <w:lang w:val="en-US"/>
        </w:rPr>
        <w:t>EXP</w:t>
      </w:r>
      <w:r w:rsidR="00E4530E">
        <w:t xml:space="preserve"> </w:t>
      </w:r>
      <w:r>
        <w:t xml:space="preserve">можно объяснить тем, что </w:t>
      </w:r>
      <w:r w:rsidR="00864622">
        <w:t xml:space="preserve">у </w:t>
      </w:r>
      <w:r>
        <w:t>люд</w:t>
      </w:r>
      <w:r w:rsidR="00864622">
        <w:t xml:space="preserve">ей, </w:t>
      </w:r>
      <w:r>
        <w:t xml:space="preserve">которые больше лет потратили на учебу, </w:t>
      </w:r>
      <w:r w:rsidR="00864622">
        <w:t>оставалось меньше времени на работу.</w:t>
      </w:r>
      <w:r w:rsidR="004A791D">
        <w:t xml:space="preserve"> Это утверждение работает и в обратную сторону.</w:t>
      </w:r>
    </w:p>
    <w:p w:rsidR="00F033A6" w:rsidRDefault="004A791D" w:rsidP="00F033A6">
      <w:r>
        <w:t xml:space="preserve">Диаграммы рассеяния по приведенным выше парам </w:t>
      </w:r>
      <w:r w:rsidR="00B449A0">
        <w:t>также подтверждают сделанные выводы о характере связи (</w:t>
      </w:r>
      <w:r w:rsidR="005019E9">
        <w:t xml:space="preserve">диаграммы приведены в файле с кодом </w:t>
      </w:r>
      <w:r w:rsidR="005019E9" w:rsidRPr="008C67BB">
        <w:rPr>
          <w:i/>
        </w:rPr>
        <w:t>153_</w:t>
      </w:r>
      <w:proofErr w:type="spellStart"/>
      <w:r w:rsidR="005019E9" w:rsidRPr="008C67BB">
        <w:rPr>
          <w:i/>
          <w:lang w:val="en-US"/>
        </w:rPr>
        <w:t>Lesnykh</w:t>
      </w:r>
      <w:proofErr w:type="spellEnd"/>
      <w:r w:rsidR="005019E9" w:rsidRPr="008C67BB">
        <w:rPr>
          <w:i/>
        </w:rPr>
        <w:t>_</w:t>
      </w:r>
      <w:r w:rsidR="005019E9" w:rsidRPr="008C67BB">
        <w:rPr>
          <w:i/>
          <w:lang w:val="en-US"/>
        </w:rPr>
        <w:t>HW</w:t>
      </w:r>
      <w:r w:rsidR="005019E9" w:rsidRPr="008C67BB">
        <w:rPr>
          <w:i/>
        </w:rPr>
        <w:t>_</w:t>
      </w:r>
      <w:proofErr w:type="gramStart"/>
      <w:r w:rsidR="005019E9" w:rsidRPr="008C67BB">
        <w:rPr>
          <w:i/>
        </w:rPr>
        <w:t>1.</w:t>
      </w:r>
      <w:bookmarkStart w:id="0" w:name="_GoBack"/>
      <w:bookmarkEnd w:id="0"/>
      <w:proofErr w:type="spellStart"/>
      <w:r w:rsidR="005019E9" w:rsidRPr="008C67BB">
        <w:rPr>
          <w:i/>
          <w:lang w:val="en-US"/>
        </w:rPr>
        <w:t>ipynb</w:t>
      </w:r>
      <w:proofErr w:type="spellEnd"/>
      <w:proofErr w:type="gramEnd"/>
      <w:r w:rsidR="00B449A0">
        <w:t>)</w:t>
      </w:r>
      <w:r w:rsidR="005019E9">
        <w:t>.</w:t>
      </w:r>
    </w:p>
    <w:p w:rsidR="00EC5DFD" w:rsidRDefault="00EC5DFD" w:rsidP="00EC5DFD">
      <w:pPr>
        <w:pStyle w:val="2"/>
      </w:pPr>
      <w:r>
        <w:t xml:space="preserve">Распределение выборки по разным </w:t>
      </w:r>
      <w:r>
        <w:br/>
        <w:t>социально-демографическим характеристикам</w:t>
      </w:r>
    </w:p>
    <w:p w:rsidR="00EC5DFD" w:rsidRDefault="00EC5DFD" w:rsidP="00EC5DFD">
      <w:r>
        <w:t xml:space="preserve">Также, </w:t>
      </w:r>
      <w:r>
        <w:t>в работе был проведен</w:t>
      </w:r>
      <w:r>
        <w:t xml:space="preserve"> </w:t>
      </w:r>
      <w:r>
        <w:t xml:space="preserve">анализ </w:t>
      </w:r>
      <w:r>
        <w:t>распределени</w:t>
      </w:r>
      <w:r>
        <w:t>я</w:t>
      </w:r>
      <w:r>
        <w:t xml:space="preserve"> выборки по разным социально-демографическим признакам: </w:t>
      </w:r>
      <w:r w:rsidRPr="004F165D">
        <w:rPr>
          <w:i/>
        </w:rPr>
        <w:t>этническая принадлежность</w:t>
      </w:r>
      <w:r>
        <w:t xml:space="preserve">, </w:t>
      </w:r>
      <w:r w:rsidRPr="004F165D">
        <w:rPr>
          <w:i/>
        </w:rPr>
        <w:t>семейное положение</w:t>
      </w:r>
      <w:r>
        <w:t xml:space="preserve">, </w:t>
      </w:r>
      <w:r w:rsidRPr="004F165D">
        <w:rPr>
          <w:i/>
        </w:rPr>
        <w:t>религия</w:t>
      </w:r>
      <w:r>
        <w:t xml:space="preserve">. </w:t>
      </w:r>
      <w:r w:rsidR="004535DA">
        <w:t>Диаграммы по данному распределению представлены далее.</w:t>
      </w:r>
    </w:p>
    <w:p w:rsidR="004535DA" w:rsidRDefault="00D846A0" w:rsidP="00D846A0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93578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known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937" cy="16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B14A00" wp14:editId="0D70B52C">
            <wp:extent cx="2370680" cy="1584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known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74" cy="16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A0" w:rsidRDefault="00D846A0" w:rsidP="00D846A0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78186" cy="16637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94" cy="16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A0" w:rsidRDefault="00D846A0" w:rsidP="00CD3565">
      <w:pPr>
        <w:spacing w:after="120" w:line="240" w:lineRule="auto"/>
        <w:ind w:firstLine="0"/>
        <w:jc w:val="center"/>
      </w:pPr>
      <w:r w:rsidRPr="00CD3565">
        <w:rPr>
          <w:i/>
        </w:rPr>
        <w:t>График 3.</w:t>
      </w:r>
      <w:r>
        <w:t xml:space="preserve"> Распределение выборки по признакам </w:t>
      </w:r>
      <w:r w:rsidR="00CD3565">
        <w:br/>
        <w:t>этнической принадлежности, семейного положения и религии</w:t>
      </w:r>
    </w:p>
    <w:p w:rsidR="00CD3565" w:rsidRDefault="00CD3565" w:rsidP="00CD3565">
      <w:r>
        <w:t>На основе визуального анализа данных круговых диаграмм можно сделать следующие выводы о выборке:</w:t>
      </w:r>
    </w:p>
    <w:p w:rsidR="00CD3565" w:rsidRDefault="00CD3565" w:rsidP="00935802">
      <w:pPr>
        <w:pStyle w:val="ab"/>
        <w:numPr>
          <w:ilvl w:val="0"/>
          <w:numId w:val="2"/>
        </w:numPr>
        <w:ind w:left="697" w:hanging="357"/>
      </w:pPr>
      <w:r>
        <w:t xml:space="preserve">Большую часть выборки </w:t>
      </w:r>
      <w:r w:rsidR="00DE29F3">
        <w:t>составляет население с белым цветом кожи (</w:t>
      </w:r>
      <w:r w:rsidR="00DE29F3" w:rsidRPr="00640C85">
        <w:rPr>
          <w:b/>
        </w:rPr>
        <w:t>86,3%</w:t>
      </w:r>
      <w:r w:rsidR="00DE29F3">
        <w:t>)</w:t>
      </w:r>
      <w:r w:rsidR="00935802">
        <w:t>.</w:t>
      </w:r>
    </w:p>
    <w:p w:rsidR="00DE29F3" w:rsidRDefault="00DE29F3" w:rsidP="00935802">
      <w:pPr>
        <w:pStyle w:val="ab"/>
        <w:numPr>
          <w:ilvl w:val="0"/>
          <w:numId w:val="2"/>
        </w:numPr>
        <w:ind w:left="697" w:hanging="357"/>
      </w:pPr>
      <w:r>
        <w:t xml:space="preserve">Люди в браке составляют около половины выборки, доля разведенных составляет около </w:t>
      </w:r>
      <w:r w:rsidRPr="00640C85">
        <w:rPr>
          <w:b/>
        </w:rPr>
        <w:t>30%</w:t>
      </w:r>
      <w:r>
        <w:t xml:space="preserve">, а одиночки – всего </w:t>
      </w:r>
      <w:r w:rsidRPr="00640C85">
        <w:rPr>
          <w:b/>
        </w:rPr>
        <w:t>17,2%</w:t>
      </w:r>
      <w:r w:rsidR="00935802" w:rsidRPr="00640C85">
        <w:rPr>
          <w:b/>
        </w:rPr>
        <w:t>.</w:t>
      </w:r>
    </w:p>
    <w:p w:rsidR="00935802" w:rsidRDefault="00DE29F3" w:rsidP="00B6372F">
      <w:pPr>
        <w:pStyle w:val="ab"/>
        <w:numPr>
          <w:ilvl w:val="0"/>
          <w:numId w:val="2"/>
        </w:numPr>
        <w:ind w:left="697" w:hanging="357"/>
      </w:pPr>
      <w:r>
        <w:t xml:space="preserve">Около половины выборки составляют католики, </w:t>
      </w:r>
      <w:r w:rsidRPr="00640C85">
        <w:rPr>
          <w:b/>
        </w:rPr>
        <w:t>33,5 %</w:t>
      </w:r>
      <w:r>
        <w:t xml:space="preserve"> </w:t>
      </w:r>
      <w:r w:rsidR="00935802">
        <w:t xml:space="preserve">составляет доля евреев, </w:t>
      </w:r>
      <w:r w:rsidR="00935802" w:rsidRPr="00640C85">
        <w:rPr>
          <w:b/>
        </w:rPr>
        <w:t>4,1%</w:t>
      </w:r>
      <w:r w:rsidR="00935802">
        <w:t xml:space="preserve"> – атеисты, оставшаяся доля – иные религии.</w:t>
      </w:r>
    </w:p>
    <w:p w:rsidR="00B6372F" w:rsidRPr="00D846A0" w:rsidRDefault="00B6372F" w:rsidP="00B6372F">
      <w:r>
        <w:t>Таким образом, именно такие вышеперечисленные выводы можно сделать на основе проведенного анализа.</w:t>
      </w:r>
      <w:r w:rsidR="008A6D98">
        <w:t xml:space="preserve"> </w:t>
      </w:r>
      <w:r w:rsidR="00015944">
        <w:t>Стоит отметить, что все выводы являются предположениями, выдвинутыми только на основе визуального анализа графиков, статистическая значимость ни одного из утверждений не была проверена.</w:t>
      </w:r>
    </w:p>
    <w:sectPr w:rsidR="00B6372F" w:rsidRPr="00D846A0" w:rsidSect="00D654CE">
      <w:headerReference w:type="even" r:id="rId13"/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00D" w:rsidRDefault="00D2400D" w:rsidP="001971C1">
      <w:pPr>
        <w:spacing w:line="240" w:lineRule="auto"/>
      </w:pPr>
      <w:r>
        <w:separator/>
      </w:r>
    </w:p>
  </w:endnote>
  <w:endnote w:type="continuationSeparator" w:id="0">
    <w:p w:rsidR="00D2400D" w:rsidRDefault="00D2400D" w:rsidP="00197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1C1" w:rsidRPr="008463E6" w:rsidRDefault="001971C1" w:rsidP="006B1EE8">
    <w:pPr>
      <w:tabs>
        <w:tab w:val="left" w:pos="2375"/>
      </w:tabs>
      <w:snapToGrid w:val="0"/>
      <w:ind w:firstLine="0"/>
      <w:rPr>
        <w:color w:val="000000"/>
        <w:sz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00D" w:rsidRDefault="00D2400D" w:rsidP="001971C1">
      <w:pPr>
        <w:spacing w:line="240" w:lineRule="auto"/>
      </w:pPr>
      <w:r>
        <w:separator/>
      </w:r>
    </w:p>
  </w:footnote>
  <w:footnote w:type="continuationSeparator" w:id="0">
    <w:p w:rsidR="00D2400D" w:rsidRDefault="00D2400D" w:rsidP="001971C1">
      <w:pPr>
        <w:spacing w:line="240" w:lineRule="auto"/>
      </w:pPr>
      <w:r>
        <w:continuationSeparator/>
      </w:r>
    </w:p>
  </w:footnote>
  <w:footnote w:id="1">
    <w:p w:rsidR="00BC618F" w:rsidRPr="00BC618F" w:rsidRDefault="00BC618F" w:rsidP="00BC618F">
      <w:pPr>
        <w:pStyle w:val="a8"/>
        <w:ind w:left="227" w:hanging="227"/>
      </w:pPr>
      <w:r>
        <w:rPr>
          <w:rStyle w:val="aa"/>
        </w:rPr>
        <w:t>*</w:t>
      </w:r>
      <w:r>
        <w:t xml:space="preserve"> положительная </w:t>
      </w:r>
      <w:r>
        <w:t xml:space="preserve">корреляционная связь между </w:t>
      </w:r>
      <w:r>
        <w:rPr>
          <w:b/>
          <w:lang w:val="en-US"/>
        </w:rPr>
        <w:t>HEIGHT</w:t>
      </w:r>
      <w:r>
        <w:t xml:space="preserve"> и </w:t>
      </w:r>
      <w:r w:rsidRPr="00BC618F">
        <w:rPr>
          <w:b/>
          <w:lang w:val="en-US"/>
        </w:rPr>
        <w:t>WEIGHT</w:t>
      </w:r>
      <w:r>
        <w:t xml:space="preserve"> не рассматривается, она является вполне логичной и понятной, люди с большим физическим ростом будут обладать большим физическим весом, и наоборот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23630714"/>
      <w:docPartObj>
        <w:docPartGallery w:val="Page Numbers (Top of Page)"/>
        <w:docPartUnique/>
      </w:docPartObj>
    </w:sdtPr>
    <w:sdtContent>
      <w:p w:rsidR="00D654CE" w:rsidRDefault="00D654CE" w:rsidP="00CF4316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654CE" w:rsidRDefault="00D654CE" w:rsidP="00D654CE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487978335"/>
      <w:docPartObj>
        <w:docPartGallery w:val="Page Numbers (Top of Page)"/>
        <w:docPartUnique/>
      </w:docPartObj>
    </w:sdtPr>
    <w:sdtContent>
      <w:p w:rsidR="00D654CE" w:rsidRDefault="00D654CE" w:rsidP="00CF4316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D654CE" w:rsidRDefault="00D654CE" w:rsidP="00D654CE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548A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7C0490"/>
    <w:multiLevelType w:val="hybridMultilevel"/>
    <w:tmpl w:val="5150D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98"/>
    <w:rsid w:val="00015944"/>
    <w:rsid w:val="00021103"/>
    <w:rsid w:val="00047091"/>
    <w:rsid w:val="00047CA8"/>
    <w:rsid w:val="00072FC1"/>
    <w:rsid w:val="00080E5D"/>
    <w:rsid w:val="000858F4"/>
    <w:rsid w:val="00093809"/>
    <w:rsid w:val="000B00A2"/>
    <w:rsid w:val="000B2336"/>
    <w:rsid w:val="000C67B8"/>
    <w:rsid w:val="000C7634"/>
    <w:rsid w:val="0010528B"/>
    <w:rsid w:val="00134967"/>
    <w:rsid w:val="00146E27"/>
    <w:rsid w:val="00147098"/>
    <w:rsid w:val="001606E4"/>
    <w:rsid w:val="00176B20"/>
    <w:rsid w:val="001971C1"/>
    <w:rsid w:val="001A65DA"/>
    <w:rsid w:val="001B02E6"/>
    <w:rsid w:val="001B5160"/>
    <w:rsid w:val="001C1F09"/>
    <w:rsid w:val="001C71A7"/>
    <w:rsid w:val="001E423B"/>
    <w:rsid w:val="002A7245"/>
    <w:rsid w:val="002C535C"/>
    <w:rsid w:val="002D53F4"/>
    <w:rsid w:val="002E7C40"/>
    <w:rsid w:val="00304D0D"/>
    <w:rsid w:val="00363D79"/>
    <w:rsid w:val="003D057F"/>
    <w:rsid w:val="003E0798"/>
    <w:rsid w:val="003E279E"/>
    <w:rsid w:val="00440ACA"/>
    <w:rsid w:val="004535DA"/>
    <w:rsid w:val="00453E3A"/>
    <w:rsid w:val="0046004A"/>
    <w:rsid w:val="004A791D"/>
    <w:rsid w:val="004B196E"/>
    <w:rsid w:val="004E25CD"/>
    <w:rsid w:val="004F165D"/>
    <w:rsid w:val="005019E9"/>
    <w:rsid w:val="0052179B"/>
    <w:rsid w:val="005765D6"/>
    <w:rsid w:val="005D27F5"/>
    <w:rsid w:val="005E18EC"/>
    <w:rsid w:val="006304E3"/>
    <w:rsid w:val="00640C85"/>
    <w:rsid w:val="00662192"/>
    <w:rsid w:val="006B1EE8"/>
    <w:rsid w:val="006E6AF2"/>
    <w:rsid w:val="007210F6"/>
    <w:rsid w:val="00740A58"/>
    <w:rsid w:val="00781A90"/>
    <w:rsid w:val="007D4C39"/>
    <w:rsid w:val="00812490"/>
    <w:rsid w:val="00825067"/>
    <w:rsid w:val="00826FE5"/>
    <w:rsid w:val="00835773"/>
    <w:rsid w:val="008463E6"/>
    <w:rsid w:val="00864622"/>
    <w:rsid w:val="008726FF"/>
    <w:rsid w:val="0088347A"/>
    <w:rsid w:val="008871A3"/>
    <w:rsid w:val="008A41A5"/>
    <w:rsid w:val="008A6D98"/>
    <w:rsid w:val="008B4CAD"/>
    <w:rsid w:val="008C1B94"/>
    <w:rsid w:val="008C67BB"/>
    <w:rsid w:val="008E4C5C"/>
    <w:rsid w:val="008F06D9"/>
    <w:rsid w:val="00905749"/>
    <w:rsid w:val="00917E44"/>
    <w:rsid w:val="009206B0"/>
    <w:rsid w:val="00935802"/>
    <w:rsid w:val="009550D2"/>
    <w:rsid w:val="0097061E"/>
    <w:rsid w:val="0097775D"/>
    <w:rsid w:val="009B130A"/>
    <w:rsid w:val="009D3EDF"/>
    <w:rsid w:val="00A125AB"/>
    <w:rsid w:val="00A20C61"/>
    <w:rsid w:val="00A22636"/>
    <w:rsid w:val="00A2345E"/>
    <w:rsid w:val="00A6254B"/>
    <w:rsid w:val="00A90F00"/>
    <w:rsid w:val="00A93743"/>
    <w:rsid w:val="00A94675"/>
    <w:rsid w:val="00AB1C84"/>
    <w:rsid w:val="00AD2129"/>
    <w:rsid w:val="00AF0B79"/>
    <w:rsid w:val="00B01130"/>
    <w:rsid w:val="00B1064D"/>
    <w:rsid w:val="00B449A0"/>
    <w:rsid w:val="00B61589"/>
    <w:rsid w:val="00B6372F"/>
    <w:rsid w:val="00B773F0"/>
    <w:rsid w:val="00B83550"/>
    <w:rsid w:val="00BB1A39"/>
    <w:rsid w:val="00BB2DE8"/>
    <w:rsid w:val="00BB5B65"/>
    <w:rsid w:val="00BC618F"/>
    <w:rsid w:val="00BE7AF7"/>
    <w:rsid w:val="00C015EE"/>
    <w:rsid w:val="00C07645"/>
    <w:rsid w:val="00C337B1"/>
    <w:rsid w:val="00C42243"/>
    <w:rsid w:val="00C43B1A"/>
    <w:rsid w:val="00C510B8"/>
    <w:rsid w:val="00C56D5B"/>
    <w:rsid w:val="00C623E0"/>
    <w:rsid w:val="00CD3565"/>
    <w:rsid w:val="00CE0446"/>
    <w:rsid w:val="00D07857"/>
    <w:rsid w:val="00D2400D"/>
    <w:rsid w:val="00D426EF"/>
    <w:rsid w:val="00D56630"/>
    <w:rsid w:val="00D654CE"/>
    <w:rsid w:val="00D846A0"/>
    <w:rsid w:val="00D85D84"/>
    <w:rsid w:val="00DE29F3"/>
    <w:rsid w:val="00E43F15"/>
    <w:rsid w:val="00E4530E"/>
    <w:rsid w:val="00E57A03"/>
    <w:rsid w:val="00E65FE9"/>
    <w:rsid w:val="00E8211C"/>
    <w:rsid w:val="00E849A7"/>
    <w:rsid w:val="00EB2CED"/>
    <w:rsid w:val="00EB7A31"/>
    <w:rsid w:val="00EC4055"/>
    <w:rsid w:val="00EC5DFD"/>
    <w:rsid w:val="00ED6AE5"/>
    <w:rsid w:val="00EE212F"/>
    <w:rsid w:val="00EE63B6"/>
    <w:rsid w:val="00EE7DB3"/>
    <w:rsid w:val="00EF0EF7"/>
    <w:rsid w:val="00EF7ABE"/>
    <w:rsid w:val="00F033A6"/>
    <w:rsid w:val="00F11A63"/>
    <w:rsid w:val="00F23330"/>
    <w:rsid w:val="00F26397"/>
    <w:rsid w:val="00F31F3A"/>
    <w:rsid w:val="00F32AAD"/>
    <w:rsid w:val="00F432D4"/>
    <w:rsid w:val="00F9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740E"/>
  <w15:chartTrackingRefBased/>
  <w15:docId w15:val="{912ED497-3877-F347-86E1-0060BE25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1971C1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4D0D"/>
    <w:pPr>
      <w:keepNext/>
      <w:spacing w:after="120"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2D4"/>
    <w:pPr>
      <w:keepNext/>
      <w:spacing w:after="120" w:line="240" w:lineRule="auto"/>
      <w:ind w:firstLine="0"/>
      <w:jc w:val="center"/>
      <w:outlineLvl w:val="1"/>
    </w:pPr>
    <w:rPr>
      <w:rFonts w:eastAsiaTheme="majorEastAsia"/>
      <w:bCs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1C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1971C1"/>
    <w:rPr>
      <w:rFonts w:ascii="Times New Roman" w:hAnsi="Times New Roman"/>
      <w:sz w:val="24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1971C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1971C1"/>
    <w:rPr>
      <w:rFonts w:ascii="Times New Roman" w:hAnsi="Times New Roman"/>
      <w:sz w:val="24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04D0D"/>
    <w:rPr>
      <w:rFonts w:ascii="Times New Roman" w:eastAsiaTheme="majorEastAsia" w:hAnsi="Times New Roman"/>
      <w:b/>
      <w:bCs/>
      <w:color w:val="000000" w:themeColor="text1"/>
      <w:kern w:val="32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432D4"/>
    <w:rPr>
      <w:rFonts w:ascii="Times New Roman" w:eastAsiaTheme="majorEastAsia" w:hAnsi="Times New Roman"/>
      <w:bCs/>
      <w:i/>
      <w:iCs/>
      <w:sz w:val="24"/>
      <w:szCs w:val="24"/>
      <w:lang w:eastAsia="en-US"/>
    </w:rPr>
  </w:style>
  <w:style w:type="character" w:styleId="a7">
    <w:name w:val="page number"/>
    <w:basedOn w:val="a0"/>
    <w:uiPriority w:val="99"/>
    <w:semiHidden/>
    <w:unhideWhenUsed/>
    <w:rsid w:val="00D654CE"/>
  </w:style>
  <w:style w:type="paragraph" w:styleId="a8">
    <w:name w:val="footnote text"/>
    <w:basedOn w:val="a"/>
    <w:link w:val="a9"/>
    <w:uiPriority w:val="99"/>
    <w:semiHidden/>
    <w:unhideWhenUsed/>
    <w:rsid w:val="00BC618F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BC618F"/>
    <w:rPr>
      <w:rFonts w:ascii="Times New Roman" w:hAnsi="Times New Roman"/>
      <w:lang w:eastAsia="en-US"/>
    </w:rPr>
  </w:style>
  <w:style w:type="character" w:styleId="aa">
    <w:name w:val="footnote reference"/>
    <w:basedOn w:val="a0"/>
    <w:uiPriority w:val="99"/>
    <w:semiHidden/>
    <w:unhideWhenUsed/>
    <w:rsid w:val="00BC618F"/>
    <w:rPr>
      <w:vertAlign w:val="superscript"/>
    </w:rPr>
  </w:style>
  <w:style w:type="paragraph" w:styleId="ab">
    <w:name w:val="List Paragraph"/>
    <w:basedOn w:val="a"/>
    <w:uiPriority w:val="34"/>
    <w:qFormat/>
    <w:rsid w:val="0093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5D5C67-92AC-9F48-A4AF-A67CD18B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Лизочка PC</dc:creator>
  <cp:keywords/>
  <cp:lastModifiedBy>Лесных Кирилл Анатольевич</cp:lastModifiedBy>
  <cp:revision>19</cp:revision>
  <dcterms:created xsi:type="dcterms:W3CDTF">2018-11-26T17:56:00Z</dcterms:created>
  <dcterms:modified xsi:type="dcterms:W3CDTF">2018-11-26T20:14:00Z</dcterms:modified>
</cp:coreProperties>
</file>