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9.jpeg" ContentType="image/jpeg"/>
  <Override PartName="/word/media/image4.jpeg" ContentType="image/jpeg"/>
  <Override PartName="/word/media/image5.png" ContentType="image/png"/>
  <Override PartName="/word/media/image6.jpeg" ContentType="image/jpeg"/>
  <Override PartName="/word/media/image7.jpeg" ContentType="image/jpeg"/>
  <Override PartName="/word/media/image8.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
    </w:p>
    <w:tbl>
      <w:tblPr>
        <w:tblW w:w="10454" w:type="dxa"/>
        <w:jc w:val="center"/>
        <w:tblInd w:w="0" w:type="dxa"/>
        <w:tblLayout w:type="fixed"/>
        <w:tblCellMar>
          <w:top w:w="70" w:type="dxa"/>
          <w:left w:w="50" w:type="dxa"/>
          <w:bottom w:w="70" w:type="dxa"/>
          <w:right w:w="50" w:type="dxa"/>
        </w:tblCellMar>
      </w:tblPr>
      <w:tblGrid>
        <w:gridCol w:w="1861"/>
        <w:gridCol w:w="5771"/>
        <w:gridCol w:w="1389"/>
        <w:gridCol w:w="1433"/>
      </w:tblGrid>
      <w:tr>
        <w:trPr/>
        <w:tc>
          <w:tcPr>
            <w:tcW w:w="1861" w:type="dxa"/>
            <w:tcBorders>
              <w:top w:val="single" w:sz="8" w:space="0" w:color="000000"/>
              <w:left w:val="single" w:sz="8" w:space="0" w:color="000000"/>
              <w:bottom w:val="single" w:sz="8" w:space="0" w:color="000000"/>
              <w:right w:val="single" w:sz="8" w:space="0" w:color="000000"/>
            </w:tcBorders>
            <w:shd w:fill="F8F8F8" w:val="clear"/>
            <w:vAlign w:val="center"/>
          </w:tcPr>
          <w:p>
            <w:pPr>
              <w:pStyle w:val="Normal"/>
              <w:bidi w:val="0"/>
              <w:spacing w:before="0" w:after="200"/>
              <w:jc w:val="center"/>
              <w:rPr/>
            </w:pPr>
            <w:r>
              <w:rPr/>
              <w:drawing>
                <wp:inline distT="0" distB="0" distL="0" distR="0">
                  <wp:extent cx="777240" cy="6477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31" t="-38" r="-31" b="-38"/>
                          <a:stretch>
                            <a:fillRect/>
                          </a:stretch>
                        </pic:blipFill>
                        <pic:spPr bwMode="auto">
                          <a:xfrm>
                            <a:off x="0" y="0"/>
                            <a:ext cx="777240" cy="647700"/>
                          </a:xfrm>
                          <a:prstGeom prst="rect">
                            <a:avLst/>
                          </a:prstGeom>
                        </pic:spPr>
                      </pic:pic>
                    </a:graphicData>
                  </a:graphic>
                </wp:inline>
              </w:drawing>
            </w:r>
          </w:p>
        </w:tc>
        <w:tc>
          <w:tcPr>
            <w:tcW w:w="7160" w:type="dxa"/>
            <w:gridSpan w:val="2"/>
            <w:tcBorders>
              <w:top w:val="single" w:sz="8" w:space="0" w:color="000000"/>
              <w:left w:val="single" w:sz="8" w:space="0" w:color="000000"/>
              <w:bottom w:val="single" w:sz="8" w:space="0" w:color="000000"/>
              <w:right w:val="single" w:sz="8" w:space="0" w:color="000000"/>
            </w:tcBorders>
            <w:shd w:fill="F8F8F8" w:val="clear"/>
            <w:vAlign w:val="center"/>
          </w:tcPr>
          <w:p>
            <w:pPr>
              <w:pStyle w:val="Normal"/>
              <w:bidi w:val="0"/>
              <w:spacing w:lineRule="auto" w:line="240" w:before="0" w:after="0"/>
              <w:jc w:val="center"/>
              <w:rPr>
                <w:rFonts w:eastAsia="Arial"/>
                <w:b/>
                <w:b/>
                <w:i w:val="false"/>
                <w:i w:val="false"/>
                <w:sz w:val="26"/>
                <w:u w:val="none"/>
              </w:rPr>
            </w:pPr>
            <w:r>
              <w:rPr>
                <w:rFonts w:eastAsia="Arial"/>
                <w:b/>
                <w:i w:val="false"/>
                <w:sz w:val="26"/>
                <w:u w:val="none"/>
              </w:rPr>
              <w:t>Lesotho Meteorological Services</w:t>
              <w:br/>
              <w:t>We are at your service/Re sebelise</w:t>
            </w:r>
          </w:p>
        </w:tc>
        <w:tc>
          <w:tcPr>
            <w:tcW w:w="1433" w:type="dxa"/>
            <w:tcBorders>
              <w:top w:val="single" w:sz="8" w:space="0" w:color="000000"/>
              <w:left w:val="single" w:sz="8" w:space="0" w:color="000000"/>
              <w:bottom w:val="single" w:sz="8" w:space="0" w:color="000000"/>
              <w:right w:val="single" w:sz="8" w:space="0" w:color="000000"/>
            </w:tcBorders>
            <w:shd w:fill="F8F8F8" w:val="clear"/>
            <w:vAlign w:val="center"/>
          </w:tcPr>
          <w:p>
            <w:pPr>
              <w:pStyle w:val="Normal"/>
              <w:bidi w:val="0"/>
              <w:spacing w:before="0" w:after="200"/>
              <w:jc w:val="center"/>
              <w:rPr/>
            </w:pPr>
            <w:r>
              <w:rPr/>
              <w:drawing>
                <wp:inline distT="0" distB="0" distL="0" distR="0">
                  <wp:extent cx="840740" cy="75311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28" t="-31" r="-28" b="-31"/>
                          <a:stretch>
                            <a:fillRect/>
                          </a:stretch>
                        </pic:blipFill>
                        <pic:spPr bwMode="auto">
                          <a:xfrm>
                            <a:off x="0" y="0"/>
                            <a:ext cx="840740" cy="753110"/>
                          </a:xfrm>
                          <a:prstGeom prst="rect">
                            <a:avLst/>
                          </a:prstGeom>
                        </pic:spPr>
                      </pic:pic>
                    </a:graphicData>
                  </a:graphic>
                </wp:inline>
              </w:drawing>
            </w:r>
          </w:p>
        </w:tc>
      </w:tr>
      <w:tr>
        <w:trPr/>
        <w:tc>
          <w:tcPr>
            <w:tcW w:w="7632" w:type="dxa"/>
            <w:gridSpan w:val="2"/>
            <w:tcBorders>
              <w:top w:val="single" w:sz="8" w:space="0" w:color="000000"/>
              <w:left w:val="single" w:sz="8" w:space="0" w:color="000000"/>
              <w:bottom w:val="single" w:sz="8" w:space="0" w:color="000000"/>
              <w:right w:val="single" w:sz="8" w:space="0" w:color="000000"/>
            </w:tcBorders>
            <w:shd w:fill="F8F8F8" w:val="clear"/>
            <w:tcMar>
              <w:top w:w="45" w:type="dxa"/>
              <w:left w:w="45" w:type="dxa"/>
              <w:bottom w:w="45" w:type="dxa"/>
              <w:right w:w="45" w:type="dxa"/>
            </w:tcMar>
            <w:vAlign w:val="center"/>
          </w:tcPr>
          <w:p>
            <w:pPr>
              <w:pStyle w:val="Normal"/>
              <w:widowControl/>
              <w:bidi w:val="0"/>
              <w:spacing w:lineRule="auto" w:line="276" w:before="0" w:after="200"/>
              <w:jc w:val="left"/>
              <w:rPr/>
            </w:pPr>
            <w:r>
              <w:rPr>
                <w:rFonts w:eastAsia="Arial"/>
                <w:b/>
                <w:i w:val="false"/>
                <w:sz w:val="20"/>
                <w:u w:val="none"/>
              </w:rPr>
              <w:t>Period: 01</w:t>
            </w:r>
            <w:r>
              <w:rPr>
                <w:rFonts w:eastAsia="Arial"/>
                <w:b/>
                <w:i w:val="false"/>
                <w:sz w:val="15"/>
                <w:u w:val="none"/>
                <w:vertAlign w:val="superscript"/>
              </w:rPr>
              <w:t>st</w:t>
            </w:r>
            <w:r>
              <w:rPr>
                <w:rFonts w:eastAsia="Arial"/>
                <w:b/>
                <w:i w:val="false"/>
                <w:sz w:val="20"/>
                <w:u w:val="none"/>
              </w:rPr>
              <w:t xml:space="preserve"> November to 10</w:t>
            </w:r>
            <w:r>
              <w:rPr>
                <w:rFonts w:eastAsia="Arial"/>
                <w:b/>
                <w:i w:val="false"/>
                <w:sz w:val="15"/>
                <w:u w:val="none"/>
                <w:vertAlign w:val="superscript"/>
              </w:rPr>
              <w:t>th</w:t>
            </w:r>
            <w:r>
              <w:rPr>
                <w:rFonts w:eastAsia="Arial"/>
                <w:b/>
                <w:i w:val="false"/>
                <w:sz w:val="20"/>
                <w:u w:val="none"/>
              </w:rPr>
              <w:t xml:space="preserve"> November 2025</w:t>
            </w:r>
          </w:p>
        </w:tc>
        <w:tc>
          <w:tcPr>
            <w:tcW w:w="2822" w:type="dxa"/>
            <w:gridSpan w:val="2"/>
            <w:tcBorders>
              <w:top w:val="single" w:sz="8" w:space="0" w:color="000000"/>
              <w:left w:val="single" w:sz="8" w:space="0" w:color="000000"/>
              <w:bottom w:val="single" w:sz="8" w:space="0" w:color="000000"/>
              <w:right w:val="single" w:sz="8" w:space="0" w:color="000000"/>
            </w:tcBorders>
            <w:shd w:fill="F8F8F8" w:val="clear"/>
            <w:tcMar>
              <w:top w:w="45" w:type="dxa"/>
              <w:left w:w="45" w:type="dxa"/>
              <w:bottom w:w="45" w:type="dxa"/>
              <w:right w:w="45" w:type="dxa"/>
            </w:tcMar>
            <w:vAlign w:val="center"/>
          </w:tcPr>
          <w:p>
            <w:pPr>
              <w:pStyle w:val="Normal"/>
              <w:bidi w:val="0"/>
              <w:spacing w:before="0" w:after="200"/>
              <w:jc w:val="right"/>
              <w:rPr>
                <w:rFonts w:eastAsia="Arial"/>
                <w:b/>
                <w:b/>
                <w:i w:val="false"/>
                <w:i w:val="false"/>
                <w:sz w:val="20"/>
                <w:u w:val="none"/>
              </w:rPr>
            </w:pPr>
            <w:r>
              <w:rPr>
                <w:rFonts w:eastAsia="Arial"/>
                <w:b/>
                <w:i w:val="false"/>
                <w:sz w:val="20"/>
                <w:u w:val="none"/>
              </w:rPr>
              <w:t>Season: 2025/2026</w:t>
            </w:r>
          </w:p>
        </w:tc>
      </w:tr>
      <w:tr>
        <w:trPr/>
        <w:tc>
          <w:tcPr>
            <w:tcW w:w="7632" w:type="dxa"/>
            <w:gridSpan w:val="2"/>
            <w:tcBorders>
              <w:top w:val="single" w:sz="8" w:space="0" w:color="000000"/>
              <w:left w:val="single" w:sz="8" w:space="0" w:color="000000"/>
              <w:bottom w:val="single" w:sz="8" w:space="0" w:color="000000"/>
              <w:right w:val="single" w:sz="8" w:space="0" w:color="000000"/>
            </w:tcBorders>
            <w:shd w:fill="F8F8F8" w:val="clear"/>
            <w:tcMar>
              <w:top w:w="45" w:type="dxa"/>
              <w:left w:w="45" w:type="dxa"/>
              <w:bottom w:w="45" w:type="dxa"/>
              <w:right w:w="45" w:type="dxa"/>
            </w:tcMar>
            <w:vAlign w:val="center"/>
          </w:tcPr>
          <w:p>
            <w:pPr>
              <w:pStyle w:val="Normal"/>
              <w:widowControl/>
              <w:bidi w:val="0"/>
              <w:spacing w:lineRule="auto" w:line="276" w:before="0" w:after="200"/>
              <w:jc w:val="left"/>
              <w:rPr/>
            </w:pPr>
            <w:r>
              <w:rPr>
                <w:rFonts w:eastAsia="Arial"/>
                <w:b/>
                <w:i w:val="false"/>
                <w:sz w:val="20"/>
                <w:u w:val="none"/>
              </w:rPr>
              <w:t>Issued on 4</w:t>
            </w:r>
            <w:r>
              <w:rPr>
                <w:rFonts w:eastAsia="Arial"/>
                <w:b/>
                <w:i w:val="false"/>
                <w:sz w:val="15"/>
                <w:u w:val="none"/>
                <w:vertAlign w:val="superscript"/>
              </w:rPr>
              <w:t>th</w:t>
            </w:r>
            <w:r>
              <w:rPr>
                <w:rFonts w:eastAsia="Arial"/>
                <w:b/>
                <w:i w:val="false"/>
                <w:sz w:val="20"/>
                <w:u w:val="none"/>
              </w:rPr>
              <w:t xml:space="preserve"> November 2025</w:t>
            </w:r>
          </w:p>
        </w:tc>
        <w:tc>
          <w:tcPr>
            <w:tcW w:w="2822" w:type="dxa"/>
            <w:gridSpan w:val="2"/>
            <w:tcBorders>
              <w:top w:val="single" w:sz="8" w:space="0" w:color="000000"/>
              <w:left w:val="single" w:sz="8" w:space="0" w:color="000000"/>
              <w:bottom w:val="single" w:sz="8" w:space="0" w:color="000000"/>
              <w:right w:val="single" w:sz="8" w:space="0" w:color="000000"/>
            </w:tcBorders>
            <w:shd w:fill="F8F8F8" w:val="clear"/>
            <w:tcMar>
              <w:top w:w="45" w:type="dxa"/>
              <w:left w:w="45" w:type="dxa"/>
              <w:bottom w:w="45" w:type="dxa"/>
              <w:right w:w="45" w:type="dxa"/>
            </w:tcMar>
            <w:vAlign w:val="center"/>
          </w:tcPr>
          <w:p>
            <w:pPr>
              <w:pStyle w:val="Normal"/>
              <w:bidi w:val="0"/>
              <w:spacing w:before="0" w:after="200"/>
              <w:jc w:val="right"/>
              <w:rPr>
                <w:rFonts w:eastAsia="Arial"/>
                <w:b/>
                <w:b/>
                <w:i w:val="false"/>
                <w:i w:val="false"/>
                <w:sz w:val="20"/>
                <w:u w:val="none"/>
              </w:rPr>
            </w:pPr>
            <w:r>
              <w:rPr>
                <w:rFonts w:eastAsia="Arial"/>
                <w:b/>
                <w:i w:val="false"/>
                <w:sz w:val="20"/>
                <w:u w:val="none"/>
              </w:rPr>
              <w:t>Bulletin No.2/2</w:t>
            </w:r>
          </w:p>
        </w:tc>
      </w:tr>
      <w:tr>
        <w:trPr/>
        <w:tc>
          <w:tcPr>
            <w:tcW w:w="10454" w:type="dxa"/>
            <w:gridSpan w:val="4"/>
            <w:tcBorders>
              <w:top w:val="single" w:sz="8" w:space="0" w:color="000000"/>
              <w:left w:val="single" w:sz="8" w:space="0" w:color="000000"/>
              <w:bottom w:val="single" w:sz="8" w:space="0" w:color="000000"/>
              <w:right w:val="single" w:sz="8" w:space="0" w:color="000000"/>
            </w:tcBorders>
            <w:shd w:fill="F8F8F8" w:val="clear"/>
            <w:tcMar>
              <w:top w:w="45" w:type="dxa"/>
              <w:left w:w="45" w:type="dxa"/>
              <w:bottom w:w="45" w:type="dxa"/>
              <w:right w:w="45" w:type="dxa"/>
            </w:tcMar>
            <w:vAlign w:val="center"/>
          </w:tcPr>
          <w:p>
            <w:pPr>
              <w:pStyle w:val="Normal"/>
              <w:bidi w:val="0"/>
              <w:spacing w:before="0" w:after="200"/>
              <w:jc w:val="center"/>
              <w:rPr>
                <w:rFonts w:eastAsia="Arial"/>
                <w:b/>
                <w:b/>
                <w:i w:val="false"/>
                <w:i w:val="false"/>
                <w:sz w:val="20"/>
                <w:u w:val="none"/>
              </w:rPr>
            </w:pPr>
            <w:r>
              <w:rPr>
                <w:rFonts w:eastAsia="Arial"/>
                <w:b/>
                <w:i w:val="false"/>
                <w:sz w:val="20"/>
                <w:u w:val="none"/>
              </w:rPr>
              <w:t>Ten-Day Agrometeorological Bulletin</w:t>
            </w:r>
          </w:p>
        </w:tc>
      </w:tr>
    </w:tbl>
    <w:p>
      <w:pPr>
        <w:pStyle w:val="Normal"/>
        <w:bidi w:val="0"/>
        <w:spacing w:lineRule="auto" w:line="240" w:before="120" w:after="60"/>
        <w:jc w:val="center"/>
        <w:rPr/>
      </w:pPr>
      <w:r>
        <w:rPr>
          <w:rFonts w:eastAsia="Arial"/>
          <w:b/>
          <w:i/>
          <w:sz w:val="19"/>
          <w:u w:val="none"/>
        </w:rPr>
        <w:t>…</w:t>
      </w:r>
      <w:r>
        <w:rPr>
          <w:rFonts w:eastAsia="Arial"/>
          <w:b/>
          <w:i/>
          <w:sz w:val="19"/>
          <w:u w:val="none"/>
        </w:rPr>
        <w:t>dedicated to the agricultural community</w:t>
      </w:r>
    </w:p>
    <w:p>
      <w:pPr>
        <w:pStyle w:val="Normal"/>
        <w:bidi w:val="0"/>
        <w:spacing w:lineRule="auto" w:line="240" w:before="0" w:after="120"/>
        <w:jc w:val="center"/>
        <w:rPr/>
      </w:pPr>
      <w:r>
        <w:rPr>
          <w:rFonts w:eastAsia="Arial"/>
          <w:b/>
          <w:i/>
          <w:sz w:val="19"/>
          <w:u w:val="none"/>
        </w:rPr>
        <w:t>…</w:t>
      </w:r>
      <w:r>
        <w:rPr>
          <w:rFonts w:eastAsia="Arial" w:cs="Arial"/>
          <w:b/>
          <w:i/>
          <w:sz w:val="19"/>
          <w:u w:val="none"/>
        </w:rPr>
        <w:t xml:space="preserve"> </w:t>
      </w:r>
      <w:r>
        <w:rPr>
          <w:rFonts w:eastAsia="Arial"/>
          <w:b/>
          <w:i/>
          <w:sz w:val="19"/>
          <w:u w:val="none"/>
        </w:rPr>
        <w:t>aimed at harmonizing agricultural activities with weather and climate</w:t>
      </w:r>
    </w:p>
    <w:tbl>
      <w:tblPr>
        <w:tblW w:w="10439" w:type="dxa"/>
        <w:jc w:val="center"/>
        <w:tblInd w:w="0" w:type="dxa"/>
        <w:tblLayout w:type="fixed"/>
        <w:tblCellMar>
          <w:top w:w="0" w:type="dxa"/>
          <w:left w:w="0" w:type="dxa"/>
          <w:bottom w:w="0" w:type="dxa"/>
          <w:right w:w="0" w:type="dxa"/>
        </w:tblCellMar>
      </w:tblPr>
      <w:tblGrid>
        <w:gridCol w:w="2088"/>
        <w:gridCol w:w="8351"/>
      </w:tblGrid>
      <w:tr>
        <w:trPr/>
        <w:tc>
          <w:tcPr>
            <w:tcW w:w="2088" w:type="dxa"/>
            <w:tcBorders/>
          </w:tcPr>
          <w:p>
            <w:pPr>
              <w:pStyle w:val="Normal"/>
              <w:bidi w:val="0"/>
              <w:snapToGrid w:val="false"/>
              <w:jc w:val="left"/>
              <w:rPr/>
            </w:pPr>
            <w:r>
              <w:rPr/>
            </w:r>
          </w:p>
          <w:tbl>
            <w:tblPr>
              <w:tblW w:w="1973" w:type="dxa"/>
              <w:jc w:val="left"/>
              <w:tblInd w:w="0" w:type="dxa"/>
              <w:tblLayout w:type="fixed"/>
              <w:tblCellMar>
                <w:top w:w="85" w:type="dxa"/>
                <w:left w:w="65" w:type="dxa"/>
                <w:bottom w:w="85" w:type="dxa"/>
                <w:right w:w="65" w:type="dxa"/>
              </w:tblCellMar>
            </w:tblPr>
            <w:tblGrid>
              <w:gridCol w:w="1973"/>
            </w:tblGrid>
            <w:tr>
              <w:trPr/>
              <w:tc>
                <w:tcPr>
                  <w:tcW w:w="1973" w:type="dxa"/>
                  <w:tcBorders>
                    <w:top w:val="single" w:sz="16" w:space="0" w:color="57C0D3"/>
                    <w:left w:val="single" w:sz="16" w:space="0" w:color="57C0D3"/>
                    <w:bottom w:val="single" w:sz="16" w:space="0" w:color="57C0D3"/>
                    <w:right w:val="single" w:sz="16" w:space="0" w:color="57C0D3"/>
                  </w:tcBorders>
                  <w:shd w:fill="F2F2F2" w:val="clear"/>
                </w:tcPr>
                <w:p>
                  <w:pPr>
                    <w:pStyle w:val="Normal"/>
                    <w:bidi w:val="0"/>
                    <w:spacing w:lineRule="auto" w:line="240" w:before="0" w:after="0"/>
                    <w:jc w:val="left"/>
                    <w:rPr>
                      <w:rFonts w:ascii="Times New Roman" w:hAnsi="Times New Roman" w:eastAsia="Times New Roman" w:cs="Times New Roman"/>
                      <w:b/>
                      <w:b/>
                      <w:i w:val="false"/>
                      <w:i w:val="false"/>
                      <w:sz w:val="25"/>
                      <w:u w:val="none"/>
                    </w:rPr>
                  </w:pPr>
                  <w:r>
                    <w:rPr>
                      <w:rFonts w:eastAsia="Times New Roman" w:cs="Times New Roman" w:ascii="Times New Roman" w:hAnsi="Times New Roman"/>
                      <w:b/>
                      <w:i w:val="false"/>
                      <w:sz w:val="25"/>
                      <w:u w:val="none"/>
                    </w:rPr>
                    <w:t>Highlights</w:t>
                  </w:r>
                </w:p>
                <w:p>
                  <w:pPr>
                    <w:pStyle w:val="Normal"/>
                    <w:bidi w:val="0"/>
                    <w:spacing w:lineRule="auto" w:line="240" w:before="0" w:after="0"/>
                    <w:jc w:val="left"/>
                    <w:rPr/>
                  </w:pPr>
                  <w:r>
                    <w:rPr/>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.Warmer</w:t>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Temperatures</w:t>
                  </w:r>
                </w:p>
                <w:p>
                  <w:pPr>
                    <w:pStyle w:val="Normal"/>
                    <w:bidi w:val="0"/>
                    <w:spacing w:lineRule="auto" w:line="240" w:before="0" w:after="0"/>
                    <w:jc w:val="left"/>
                    <w:rPr/>
                  </w:pPr>
                  <w:r>
                    <w:rPr/>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.Favourable</w:t>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Cumulative</w:t>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Moisture</w:t>
                  </w:r>
                </w:p>
                <w:p>
                  <w:pPr>
                    <w:pStyle w:val="Normal"/>
                    <w:bidi w:val="0"/>
                    <w:spacing w:lineRule="auto" w:line="240" w:before="0" w:after="0"/>
                    <w:jc w:val="left"/>
                    <w:rPr/>
                  </w:pPr>
                  <w:r>
                    <w:rPr/>
                  </w:r>
                </w:p>
                <w:p>
                  <w:pPr>
                    <w:pStyle w:val="Normal"/>
                    <w:bidi w:val="0"/>
                    <w:spacing w:lineRule="auto" w:line="240" w:before="0" w:after="0"/>
                    <w:jc w:val="left"/>
                    <w:rPr>
                      <w:rFonts w:ascii="Times New Roman" w:hAnsi="Times New Roman" w:eastAsia="Times New Roman" w:cs="Times New Roman"/>
                      <w:b/>
                      <w:b/>
                      <w:i w:val="false"/>
                      <w:i w:val="false"/>
                      <w:sz w:val="25"/>
                      <w:u w:val="none"/>
                    </w:rPr>
                  </w:pPr>
                  <w:r>
                    <w:rPr>
                      <w:rFonts w:eastAsia="Times New Roman" w:cs="Times New Roman" w:ascii="Times New Roman" w:hAnsi="Times New Roman"/>
                      <w:b/>
                      <w:i w:val="false"/>
                      <w:sz w:val="25"/>
                      <w:u w:val="none"/>
                    </w:rPr>
                    <w:t>Contents</w:t>
                  </w:r>
                </w:p>
                <w:p>
                  <w:pPr>
                    <w:pStyle w:val="Normal"/>
                    <w:bidi w:val="0"/>
                    <w:spacing w:lineRule="auto" w:line="240" w:before="0" w:after="0"/>
                    <w:jc w:val="left"/>
                    <w:rPr/>
                  </w:pPr>
                  <w:r>
                    <w:rPr/>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1.Rainfall</w:t>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situation</w:t>
                  </w:r>
                </w:p>
                <w:p>
                  <w:pPr>
                    <w:pStyle w:val="Normal"/>
                    <w:bidi w:val="0"/>
                    <w:spacing w:lineRule="auto" w:line="240" w:before="0" w:after="0"/>
                    <w:jc w:val="left"/>
                    <w:rPr/>
                  </w:pPr>
                  <w:r>
                    <w:rPr/>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2.Temperature</w:t>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conditions</w:t>
                  </w:r>
                </w:p>
                <w:p>
                  <w:pPr>
                    <w:pStyle w:val="Normal"/>
                    <w:bidi w:val="0"/>
                    <w:spacing w:lineRule="auto" w:line="240" w:before="0" w:after="0"/>
                    <w:jc w:val="left"/>
                    <w:rPr/>
                  </w:pPr>
                  <w:r>
                    <w:rPr/>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3.Dekadal</w:t>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rainfall</w:t>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outlook</w:t>
                  </w:r>
                </w:p>
                <w:p>
                  <w:pPr>
                    <w:pStyle w:val="Normal"/>
                    <w:bidi w:val="0"/>
                    <w:spacing w:lineRule="auto" w:line="240" w:before="0" w:after="0"/>
                    <w:jc w:val="left"/>
                    <w:rPr/>
                  </w:pPr>
                  <w:r>
                    <w:rPr/>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4.Seasonal</w:t>
                  </w:r>
                </w:p>
                <w:p>
                  <w:pPr>
                    <w:pStyle w:val="Normal"/>
                    <w:bidi w:val="0"/>
                    <w:spacing w:lineRule="auto" w:line="240" w:before="0" w:after="0"/>
                    <w:jc w:val="left"/>
                    <w:rPr>
                      <w:rFonts w:ascii="Times New Roman" w:hAnsi="Times New Roman" w:eastAsia="Times New Roman" w:cs="Times New Roman"/>
                      <w:b/>
                      <w:b/>
                      <w:i w:val="false"/>
                      <w:i w:val="false"/>
                      <w:sz w:val="21"/>
                      <w:u w:val="none"/>
                    </w:rPr>
                  </w:pPr>
                  <w:r>
                    <w:rPr>
                      <w:rFonts w:eastAsia="Times New Roman" w:cs="Times New Roman" w:ascii="Times New Roman" w:hAnsi="Times New Roman"/>
                      <w:b/>
                      <w:i w:val="false"/>
                      <w:sz w:val="21"/>
                      <w:u w:val="none"/>
                    </w:rPr>
                    <w:t>outlook</w:t>
                  </w:r>
                </w:p>
              </w:tc>
            </w:tr>
          </w:tbl>
          <w:p>
            <w:pPr>
              <w:pStyle w:val="Normal"/>
              <w:widowControl/>
              <w:bidi w:val="0"/>
              <w:spacing w:lineRule="auto" w:line="276" w:before="0" w:after="200"/>
              <w:jc w:val="left"/>
              <w:rPr/>
            </w:pPr>
            <w:r>
              <w:rPr/>
            </w:r>
          </w:p>
        </w:tc>
        <w:tc>
          <w:tcPr>
            <w:tcW w:w="8351" w:type="dxa"/>
            <w:tcBorders/>
          </w:tcPr>
          <w:p>
            <w:pPr>
              <w:pStyle w:val="Normal"/>
              <w:bidi w:val="0"/>
              <w:spacing w:lineRule="auto" w:line="240" w:before="0" w:after="80"/>
              <w:jc w:val="left"/>
              <w:rPr/>
            </w:pPr>
            <w:r>
              <w:rPr>
                <w:rFonts w:eastAsia="Arial"/>
                <w:b/>
                <w:i w:val="false"/>
                <w:sz w:val="24"/>
                <w:u w:val="none"/>
              </w:rPr>
              <w:t>Rainfall and temperature review 21</w:t>
            </w:r>
            <w:r>
              <w:rPr>
                <w:rFonts w:eastAsia="Arial"/>
                <w:b/>
                <w:i w:val="false"/>
                <w:sz w:val="15"/>
                <w:u w:val="none"/>
                <w:vertAlign w:val="superscript"/>
              </w:rPr>
              <w:t>st</w:t>
            </w:r>
            <w:r>
              <w:rPr>
                <w:rFonts w:eastAsia="Arial"/>
                <w:b/>
                <w:i w:val="false"/>
                <w:sz w:val="24"/>
                <w:u w:val="none"/>
              </w:rPr>
              <w:t xml:space="preserve"> to 31</w:t>
            </w:r>
            <w:r>
              <w:rPr>
                <w:rFonts w:eastAsia="Arial"/>
                <w:b/>
                <w:i w:val="false"/>
                <w:sz w:val="15"/>
                <w:u w:val="none"/>
                <w:vertAlign w:val="superscript"/>
              </w:rPr>
              <w:t>st</w:t>
            </w:r>
            <w:r>
              <w:rPr>
                <w:rFonts w:eastAsia="Arial"/>
                <w:b/>
                <w:i w:val="false"/>
                <w:sz w:val="24"/>
                <w:u w:val="none"/>
              </w:rPr>
              <w:t xml:space="preserve"> October 2025</w:t>
            </w:r>
          </w:p>
          <w:p>
            <w:pPr>
              <w:pStyle w:val="Normal"/>
              <w:bidi w:val="0"/>
              <w:spacing w:lineRule="auto" w:line="240" w:before="0" w:after="60"/>
              <w:jc w:val="left"/>
              <w:rPr>
                <w:rFonts w:eastAsia="Arial"/>
                <w:b/>
                <w:b/>
                <w:i w:val="false"/>
                <w:i w:val="false"/>
                <w:sz w:val="22"/>
                <w:u w:val="none"/>
              </w:rPr>
            </w:pPr>
            <w:r>
              <w:rPr>
                <w:rFonts w:eastAsia="Arial"/>
                <w:b/>
                <w:i w:val="false"/>
                <w:sz w:val="22"/>
                <w:u w:val="none"/>
              </w:rPr>
              <w:t>Rainfall</w:t>
            </w:r>
          </w:p>
          <w:p>
            <w:pPr>
              <w:pStyle w:val="Normal"/>
              <w:bidi w:val="0"/>
              <w:spacing w:lineRule="auto" w:line="276" w:before="0" w:after="80"/>
              <w:jc w:val="left"/>
              <w:rPr>
                <w:rFonts w:eastAsia="Arial"/>
                <w:b w:val="false"/>
                <w:b w:val="false"/>
                <w:i w:val="false"/>
                <w:i w:val="false"/>
                <w:sz w:val="19"/>
                <w:u w:val="none"/>
              </w:rPr>
            </w:pPr>
            <w:r>
              <w:rPr>
                <w:rFonts w:eastAsia="Arial"/>
                <w:b w:val="false"/>
                <w:i w:val="false"/>
                <w:sz w:val="19"/>
                <w:u w:val="none"/>
              </w:rPr>
              <w:t>The rainfall performance for third dekad of October 2025 shows a mixed pattern across the country (Fig 1), confirming a distinct spatial difference in recent moisture availability. Areas to the west (Leribe through to Mafeteng) and east (Mokhotlong) display near- normal to above -normal rainfall (Fig 1). Areas in the south (Mohale’s hoek and Quthing and north (Botha-Bothe) show negative (below normal) anomalies shown. This is evident from rainfall accumulation since the start of the season in August shown in Fig.2. For example, in the same period, Mokhotlong recorded 153,3mm against the long term of 120,7mm, while in the north Botha-Bothe observed 80,5mm compared to a normal of 130,5mm.</w:t>
            </w:r>
          </w:p>
          <w:p>
            <w:pPr>
              <w:pStyle w:val="Normal"/>
              <w:bidi w:val="0"/>
              <w:spacing w:lineRule="auto" w:line="276" w:before="0" w:after="100"/>
              <w:jc w:val="left"/>
              <w:rPr>
                <w:rFonts w:eastAsia="Arial"/>
                <w:b w:val="false"/>
                <w:b w:val="false"/>
                <w:i w:val="false"/>
                <w:i w:val="false"/>
                <w:sz w:val="19"/>
                <w:u w:val="none"/>
              </w:rPr>
            </w:pPr>
            <w:r>
              <w:rPr>
                <w:rFonts w:eastAsia="Arial"/>
                <w:b w:val="false"/>
                <w:i w:val="false"/>
                <w:sz w:val="19"/>
                <w:u w:val="none"/>
              </w:rPr>
              <w:t>Although Dekad 3 of October in Fig.3 below shows a slight increase in rainfall compared to the other previous dekads (dekad 1 and 2), it still falls below the long term mean of the dekad.</w:t>
            </w:r>
          </w:p>
          <w:tbl>
            <w:tblPr>
              <w:tblW w:w="8207" w:type="dxa"/>
              <w:jc w:val="left"/>
              <w:tblInd w:w="0" w:type="dxa"/>
              <w:tblLayout w:type="fixed"/>
              <w:tblCellMar>
                <w:top w:w="60" w:type="dxa"/>
                <w:left w:w="60" w:type="dxa"/>
                <w:bottom w:w="60" w:type="dxa"/>
                <w:right w:w="60" w:type="dxa"/>
              </w:tblCellMar>
            </w:tblPr>
            <w:tblGrid>
              <w:gridCol w:w="4104"/>
              <w:gridCol w:w="4103"/>
            </w:tblGrid>
            <w:tr>
              <w:trPr/>
              <w:tc>
                <w:tcPr>
                  <w:tcW w:w="4104" w:type="dxa"/>
                  <w:tcBorders>
                    <w:top w:val="single" w:sz="8" w:space="0" w:color="000000"/>
                    <w:left w:val="single" w:sz="8" w:space="0" w:color="000000"/>
                    <w:bottom w:val="single" w:sz="8" w:space="0" w:color="000000"/>
                    <w:right w:val="single" w:sz="8" w:space="0" w:color="000000"/>
                  </w:tcBorders>
                </w:tcPr>
                <w:p>
                  <w:pPr>
                    <w:pStyle w:val="Normal"/>
                    <w:bidi w:val="0"/>
                    <w:spacing w:before="0" w:after="200"/>
                    <w:jc w:val="center"/>
                    <w:rPr/>
                  </w:pPr>
                  <w:r>
                    <w:rPr/>
                    <w:drawing>
                      <wp:inline distT="0" distB="0" distL="0" distR="0">
                        <wp:extent cx="1783080" cy="13360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rcRect l="-10" t="-13" r="-10" b="-13"/>
                                <a:stretch>
                                  <a:fillRect/>
                                </a:stretch>
                              </pic:blipFill>
                              <pic:spPr bwMode="auto">
                                <a:xfrm>
                                  <a:off x="0" y="0"/>
                                  <a:ext cx="1783080" cy="1336040"/>
                                </a:xfrm>
                                <a:prstGeom prst="rect">
                                  <a:avLst/>
                                </a:prstGeom>
                              </pic:spPr>
                            </pic:pic>
                          </a:graphicData>
                        </a:graphic>
                      </wp:inline>
                    </w:drawing>
                  </w:r>
                </w:p>
              </w:tc>
              <w:tc>
                <w:tcPr>
                  <w:tcW w:w="4103" w:type="dxa"/>
                  <w:tcBorders>
                    <w:top w:val="single" w:sz="8" w:space="0" w:color="000000"/>
                    <w:left w:val="single" w:sz="8" w:space="0" w:color="000000"/>
                    <w:bottom w:val="single" w:sz="8" w:space="0" w:color="000000"/>
                    <w:right w:val="single" w:sz="8" w:space="0" w:color="000000"/>
                  </w:tcBorders>
                </w:tcPr>
                <w:p>
                  <w:pPr>
                    <w:pStyle w:val="Normal"/>
                    <w:bidi w:val="0"/>
                    <w:spacing w:before="0" w:after="200"/>
                    <w:jc w:val="center"/>
                    <w:rPr/>
                  </w:pPr>
                  <w:r>
                    <w:rPr/>
                    <w:drawing>
                      <wp:inline distT="0" distB="0" distL="0" distR="0">
                        <wp:extent cx="1781810" cy="133540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rcRect l="-10" t="-14" r="-10" b="-14"/>
                                <a:stretch>
                                  <a:fillRect/>
                                </a:stretch>
                              </pic:blipFill>
                              <pic:spPr bwMode="auto">
                                <a:xfrm>
                                  <a:off x="0" y="0"/>
                                  <a:ext cx="1781810" cy="1335405"/>
                                </a:xfrm>
                                <a:prstGeom prst="rect">
                                  <a:avLst/>
                                </a:prstGeom>
                              </pic:spPr>
                            </pic:pic>
                          </a:graphicData>
                        </a:graphic>
                      </wp:inline>
                    </w:drawing>
                  </w:r>
                </w:p>
              </w:tc>
            </w:tr>
          </w:tbl>
          <w:p>
            <w:pPr>
              <w:pStyle w:val="Normal"/>
              <w:bidi w:val="0"/>
              <w:jc w:val="left"/>
              <w:rPr/>
            </w:pPr>
            <w:r>
              <w:rPr/>
            </w:r>
          </w:p>
          <w:p>
            <w:pPr>
              <w:pStyle w:val="Normal"/>
              <w:tabs>
                <w:tab w:val="clear" w:pos="709"/>
                <w:tab w:val="left" w:pos="4176" w:leader="none"/>
              </w:tabs>
              <w:bidi w:val="0"/>
              <w:spacing w:lineRule="auto" w:line="240" w:before="0" w:after="0"/>
              <w:jc w:val="center"/>
              <w:rPr>
                <w:rFonts w:ascii="Times New Roman" w:hAnsi="Times New Roman" w:eastAsia="Times New Roman" w:cs="Times New Roman"/>
                <w:b w:val="false"/>
                <w:b w:val="false"/>
                <w:i w:val="false"/>
                <w:i w:val="false"/>
                <w:sz w:val="21"/>
                <w:u w:val="none"/>
              </w:rPr>
            </w:pPr>
            <w:r>
              <w:rPr>
                <w:rFonts w:eastAsia="Times New Roman" w:cs="Times New Roman" w:ascii="Times New Roman" w:hAnsi="Times New Roman"/>
                <w:b w:val="false"/>
                <w:i w:val="false"/>
                <w:sz w:val="21"/>
                <w:u w:val="none"/>
              </w:rPr>
              <w:t>Fig. 1</w:t>
              <w:tab/>
              <w:t>Fig. 2</w:t>
            </w:r>
          </w:p>
        </w:tc>
      </w:tr>
    </w:tbl>
    <w:p>
      <w:pPr>
        <w:pStyle w:val="Normal"/>
        <w:bidi w:val="0"/>
        <w:jc w:val="left"/>
        <w:rPr/>
      </w:pPr>
      <w:r>
        <w:rPr/>
      </w:r>
      <w:r>
        <w:br w:type="page"/>
      </w:r>
    </w:p>
    <w:p>
      <w:pPr>
        <w:pStyle w:val="Normal"/>
        <w:bidi w:val="0"/>
        <w:spacing w:lineRule="auto" w:line="240" w:before="0" w:after="0"/>
        <w:jc w:val="center"/>
        <w:rPr/>
      </w:pPr>
      <w:r>
        <w:rPr/>
        <w:drawing>
          <wp:inline distT="0" distB="0" distL="0" distR="0">
            <wp:extent cx="4525645" cy="260667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rcRect l="-4" t="-7" r="-4" b="-7"/>
                    <a:stretch>
                      <a:fillRect/>
                    </a:stretch>
                  </pic:blipFill>
                  <pic:spPr bwMode="auto">
                    <a:xfrm>
                      <a:off x="0" y="0"/>
                      <a:ext cx="4525645" cy="2606675"/>
                    </a:xfrm>
                    <a:prstGeom prst="rect">
                      <a:avLst/>
                    </a:prstGeom>
                  </pic:spPr>
                </pic:pic>
              </a:graphicData>
            </a:graphic>
          </wp:inline>
        </w:drawing>
      </w:r>
    </w:p>
    <w:p>
      <w:pPr>
        <w:pStyle w:val="Normal"/>
        <w:bidi w:val="0"/>
        <w:spacing w:lineRule="auto" w:line="240" w:before="0" w:after="80"/>
        <w:jc w:val="right"/>
        <w:rPr>
          <w:rFonts w:ascii="Times New Roman" w:hAnsi="Times New Roman" w:eastAsia="Times New Roman" w:cs="Times New Roman"/>
          <w:b w:val="false"/>
          <w:b w:val="false"/>
          <w:i w:val="false"/>
          <w:i w:val="false"/>
          <w:sz w:val="21"/>
          <w:u w:val="none"/>
        </w:rPr>
      </w:pPr>
      <w:r>
        <w:rPr>
          <w:rFonts w:eastAsia="Times New Roman" w:cs="Times New Roman" w:ascii="Times New Roman" w:hAnsi="Times New Roman"/>
          <w:b w:val="false"/>
          <w:i w:val="false"/>
          <w:sz w:val="21"/>
          <w:u w:val="none"/>
        </w:rPr>
        <w:t>Fig. 3</w:t>
      </w:r>
    </w:p>
    <w:p>
      <w:pPr>
        <w:pStyle w:val="Normal"/>
        <w:bidi w:val="0"/>
        <w:spacing w:lineRule="auto" w:line="240" w:before="0" w:after="60"/>
        <w:jc w:val="left"/>
        <w:rPr>
          <w:rFonts w:eastAsia="Arial"/>
          <w:b/>
          <w:b/>
          <w:i w:val="false"/>
          <w:i w:val="false"/>
          <w:sz w:val="22"/>
          <w:u w:val="none"/>
        </w:rPr>
      </w:pPr>
      <w:r>
        <w:rPr>
          <w:rFonts w:eastAsia="Arial"/>
          <w:b/>
          <w:i w:val="false"/>
          <w:sz w:val="22"/>
          <w:u w:val="none"/>
        </w:rPr>
        <w:t>Temperature</w:t>
      </w:r>
    </w:p>
    <w:p>
      <w:pPr>
        <w:pStyle w:val="Normal"/>
        <w:bidi w:val="0"/>
        <w:spacing w:lineRule="auto" w:line="276" w:before="0" w:after="120"/>
        <w:jc w:val="left"/>
        <w:rPr>
          <w:rFonts w:eastAsia="Arial"/>
          <w:b w:val="false"/>
          <w:b w:val="false"/>
          <w:i w:val="false"/>
          <w:i w:val="false"/>
          <w:sz w:val="19"/>
          <w:u w:val="none"/>
        </w:rPr>
      </w:pPr>
      <w:r>
        <w:rPr>
          <w:rFonts w:eastAsia="Arial"/>
          <w:b w:val="false"/>
          <w:i w:val="false"/>
          <w:sz w:val="19"/>
          <w:u w:val="none"/>
        </w:rPr>
        <w:t>Maximum temperatures observed during the third dekad of October (Fig.4) were above the long-term normals (Fig.5) across the entire country. Fig. 4 shows most of the country experienced maximum temperatures exceeding 26.2⁰C in the southern and western lowlands, only the highest elevated areas specifically Sani-pass, recorded cooler maximum temperatures, falling within the 18.2⁰C to 22.2⁰C range.</w:t>
      </w:r>
    </w:p>
    <w:tbl>
      <w:tblPr>
        <w:tblW w:w="8783" w:type="dxa"/>
        <w:jc w:val="left"/>
        <w:tblInd w:w="0" w:type="dxa"/>
        <w:tblLayout w:type="fixed"/>
        <w:tblCellMar>
          <w:top w:w="0" w:type="dxa"/>
          <w:left w:w="108" w:type="dxa"/>
          <w:bottom w:w="0" w:type="dxa"/>
          <w:right w:w="108" w:type="dxa"/>
        </w:tblCellMar>
      </w:tblPr>
      <w:tblGrid>
        <w:gridCol w:w="4392"/>
        <w:gridCol w:w="4391"/>
      </w:tblGrid>
      <w:tr>
        <w:trPr/>
        <w:tc>
          <w:tcPr>
            <w:tcW w:w="4392" w:type="dxa"/>
            <w:tcBorders/>
          </w:tcPr>
          <w:p>
            <w:pPr>
              <w:pStyle w:val="Normal"/>
              <w:bidi w:val="0"/>
              <w:spacing w:before="0" w:after="200"/>
              <w:jc w:val="center"/>
              <w:rPr/>
            </w:pPr>
            <w:r>
              <w:rPr/>
              <w:drawing>
                <wp:inline distT="0" distB="0" distL="0" distR="0">
                  <wp:extent cx="2192020" cy="16446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rcRect l="-8" t="-11" r="-8" b="-11"/>
                          <a:stretch>
                            <a:fillRect/>
                          </a:stretch>
                        </pic:blipFill>
                        <pic:spPr bwMode="auto">
                          <a:xfrm>
                            <a:off x="0" y="0"/>
                            <a:ext cx="2192020" cy="1644650"/>
                          </a:xfrm>
                          <a:prstGeom prst="rect">
                            <a:avLst/>
                          </a:prstGeom>
                        </pic:spPr>
                      </pic:pic>
                    </a:graphicData>
                  </a:graphic>
                </wp:inline>
              </w:drawing>
            </w:r>
          </w:p>
        </w:tc>
        <w:tc>
          <w:tcPr>
            <w:tcW w:w="4391" w:type="dxa"/>
            <w:tcBorders/>
          </w:tcPr>
          <w:p>
            <w:pPr>
              <w:pStyle w:val="Normal"/>
              <w:bidi w:val="0"/>
              <w:spacing w:before="0" w:after="200"/>
              <w:jc w:val="center"/>
              <w:rPr/>
            </w:pPr>
            <w:r>
              <w:rPr/>
              <w:drawing>
                <wp:inline distT="0" distB="0" distL="0" distR="0">
                  <wp:extent cx="2195195" cy="164465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rcRect l="-8" t="-11" r="-8" b="-11"/>
                          <a:stretch>
                            <a:fillRect/>
                          </a:stretch>
                        </pic:blipFill>
                        <pic:spPr bwMode="auto">
                          <a:xfrm>
                            <a:off x="0" y="0"/>
                            <a:ext cx="2195195" cy="1644650"/>
                          </a:xfrm>
                          <a:prstGeom prst="rect">
                            <a:avLst/>
                          </a:prstGeom>
                        </pic:spPr>
                      </pic:pic>
                    </a:graphicData>
                  </a:graphic>
                </wp:inline>
              </w:drawing>
            </w:r>
          </w:p>
        </w:tc>
      </w:tr>
    </w:tbl>
    <w:p>
      <w:pPr>
        <w:pStyle w:val="Normal"/>
        <w:tabs>
          <w:tab w:val="clear" w:pos="709"/>
          <w:tab w:val="left" w:pos="4392" w:leader="none"/>
        </w:tabs>
        <w:bidi w:val="0"/>
        <w:spacing w:lineRule="auto" w:line="240" w:before="0" w:after="60"/>
        <w:jc w:val="center"/>
        <w:rPr>
          <w:rFonts w:ascii="Times New Roman" w:hAnsi="Times New Roman" w:eastAsia="Times New Roman" w:cs="Times New Roman"/>
          <w:b w:val="false"/>
          <w:b w:val="false"/>
          <w:i w:val="false"/>
          <w:i w:val="false"/>
          <w:sz w:val="21"/>
          <w:u w:val="none"/>
        </w:rPr>
      </w:pPr>
      <w:r>
        <w:rPr>
          <w:rFonts w:eastAsia="Times New Roman" w:cs="Times New Roman" w:ascii="Times New Roman" w:hAnsi="Times New Roman"/>
          <w:b w:val="false"/>
          <w:i w:val="false"/>
          <w:sz w:val="21"/>
          <w:u w:val="none"/>
        </w:rPr>
        <w:t>Fig.4</w:t>
        <w:tab/>
        <w:t>Fig.5</w:t>
      </w:r>
    </w:p>
    <w:p>
      <w:pPr>
        <w:pStyle w:val="Normal"/>
        <w:bidi w:val="0"/>
        <w:spacing w:lineRule="auto" w:line="240" w:before="40" w:after="60"/>
        <w:jc w:val="left"/>
        <w:rPr>
          <w:rFonts w:eastAsia="Arial"/>
          <w:b/>
          <w:b/>
          <w:i w:val="false"/>
          <w:i w:val="false"/>
          <w:sz w:val="22"/>
          <w:u w:val="none"/>
        </w:rPr>
      </w:pPr>
      <w:r>
        <w:rPr>
          <w:rFonts w:eastAsia="Arial"/>
          <w:b/>
          <w:i w:val="false"/>
          <w:sz w:val="22"/>
          <w:u w:val="none"/>
        </w:rPr>
        <w:t>Agricultural drought stress index</w:t>
      </w:r>
    </w:p>
    <w:p>
      <w:pPr>
        <w:pStyle w:val="Normal"/>
        <w:bidi w:val="0"/>
        <w:spacing w:lineRule="auto" w:line="276" w:before="0" w:after="0"/>
        <w:jc w:val="left"/>
        <w:rPr>
          <w:rFonts w:eastAsia="Arial"/>
          <w:b w:val="false"/>
          <w:b w:val="false"/>
          <w:i w:val="false"/>
          <w:i w:val="false"/>
          <w:sz w:val="19"/>
          <w:u w:val="none"/>
        </w:rPr>
      </w:pPr>
      <w:r>
        <w:rPr>
          <w:rFonts w:eastAsia="Arial"/>
          <w:b w:val="false"/>
          <w:i w:val="false"/>
          <w:sz w:val="19"/>
          <w:u w:val="none"/>
        </w:rPr>
        <w:t>Water Satisfaction Index (WSI) for pasture tracks overall availability of water for plant growth throughout the seasons, Fig.6 shows a positive trend for the year 2025 up to November 1st. The cumulative WSI has reached a high of over 1000% (1053.78%) by beginning of November. This condition is highly favorable for livestock grazing and suggests a good foundation for crop growth in areas where planting is underway or planned.</w:t>
      </w:r>
    </w:p>
    <w:p>
      <w:pPr>
        <w:pStyle w:val="Normal"/>
        <w:bidi w:val="0"/>
        <w:jc w:val="left"/>
        <w:rPr/>
      </w:pPr>
      <w:r>
        <w:rPr/>
      </w:r>
      <w:r>
        <w:br w:type="page"/>
      </w:r>
    </w:p>
    <w:tbl>
      <w:tblPr>
        <w:tblW w:w="8279" w:type="dxa"/>
        <w:jc w:val="left"/>
        <w:tblInd w:w="0" w:type="dxa"/>
        <w:tblLayout w:type="fixed"/>
        <w:tblCellMar>
          <w:top w:w="0" w:type="dxa"/>
          <w:left w:w="108" w:type="dxa"/>
          <w:bottom w:w="0" w:type="dxa"/>
          <w:right w:w="108" w:type="dxa"/>
        </w:tblCellMar>
      </w:tblPr>
      <w:tblGrid>
        <w:gridCol w:w="6479"/>
        <w:gridCol w:w="1800"/>
      </w:tblGrid>
      <w:tr>
        <w:trPr/>
        <w:tc>
          <w:tcPr>
            <w:tcW w:w="6479" w:type="dxa"/>
            <w:tcBorders/>
          </w:tcPr>
          <w:p>
            <w:pPr>
              <w:pStyle w:val="Normal"/>
              <w:pageBreakBefore/>
              <w:bidi w:val="0"/>
              <w:spacing w:before="0" w:after="200"/>
              <w:jc w:val="left"/>
              <w:rPr/>
            </w:pPr>
            <w:r>
              <w:rPr/>
              <w:drawing>
                <wp:inline distT="0" distB="0" distL="0" distR="0">
                  <wp:extent cx="3338195" cy="253936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rcRect l="-8" t="-11" r="-8" b="-11"/>
                          <a:stretch>
                            <a:fillRect/>
                          </a:stretch>
                        </pic:blipFill>
                        <pic:spPr bwMode="auto">
                          <a:xfrm>
                            <a:off x="0" y="0"/>
                            <a:ext cx="3338195" cy="2539365"/>
                          </a:xfrm>
                          <a:prstGeom prst="rect">
                            <a:avLst/>
                          </a:prstGeom>
                        </pic:spPr>
                      </pic:pic>
                    </a:graphicData>
                  </a:graphic>
                </wp:inline>
              </w:drawing>
            </w:r>
          </w:p>
        </w:tc>
        <w:tc>
          <w:tcPr>
            <w:tcW w:w="1800" w:type="dxa"/>
            <w:tcBorders/>
            <w:vAlign w:val="bottom"/>
          </w:tcPr>
          <w:p>
            <w:pPr>
              <w:pStyle w:val="Normal"/>
              <w:bidi w:val="0"/>
              <w:spacing w:before="0" w:after="200"/>
              <w:jc w:val="center"/>
              <w:rPr>
                <w:rFonts w:ascii="Times New Roman" w:hAnsi="Times New Roman" w:eastAsia="Times New Roman" w:cs="Times New Roman"/>
                <w:b w:val="false"/>
                <w:b w:val="false"/>
                <w:i w:val="false"/>
                <w:i w:val="false"/>
                <w:sz w:val="21"/>
                <w:u w:val="none"/>
              </w:rPr>
            </w:pPr>
            <w:r>
              <w:rPr>
                <w:rFonts w:eastAsia="Times New Roman" w:cs="Times New Roman" w:ascii="Times New Roman" w:hAnsi="Times New Roman"/>
                <w:b w:val="false"/>
                <w:i w:val="false"/>
                <w:sz w:val="21"/>
                <w:u w:val="none"/>
              </w:rPr>
              <w:t>Fig.6</w:t>
            </w:r>
          </w:p>
        </w:tc>
      </w:tr>
    </w:tbl>
    <w:p>
      <w:pPr>
        <w:pStyle w:val="Normal"/>
        <w:bidi w:val="0"/>
        <w:spacing w:lineRule="auto" w:line="240" w:before="80" w:after="60"/>
        <w:jc w:val="left"/>
        <w:rPr>
          <w:rFonts w:eastAsia="Arial"/>
          <w:b/>
          <w:b/>
          <w:i w:val="false"/>
          <w:i w:val="false"/>
          <w:sz w:val="22"/>
          <w:u w:val="none"/>
        </w:rPr>
      </w:pPr>
      <w:r>
        <w:rPr>
          <w:rFonts w:eastAsia="Arial"/>
          <w:b/>
          <w:i w:val="false"/>
          <w:sz w:val="22"/>
          <w:u w:val="none"/>
        </w:rPr>
        <w:t>VEGETATION</w:t>
      </w:r>
    </w:p>
    <w:tbl>
      <w:tblPr>
        <w:tblW w:w="9791" w:type="dxa"/>
        <w:jc w:val="left"/>
        <w:tblInd w:w="-63" w:type="dxa"/>
        <w:tblLayout w:type="fixed"/>
        <w:tblCellMar>
          <w:top w:w="45" w:type="dxa"/>
          <w:left w:w="45" w:type="dxa"/>
          <w:bottom w:w="45" w:type="dxa"/>
          <w:right w:w="45" w:type="dxa"/>
        </w:tblCellMar>
      </w:tblPr>
      <w:tblGrid>
        <w:gridCol w:w="2879"/>
        <w:gridCol w:w="6912"/>
      </w:tblGrid>
      <w:tr>
        <w:trPr/>
        <w:tc>
          <w:tcPr>
            <w:tcW w:w="2879" w:type="dxa"/>
            <w:tcBorders>
              <w:top w:val="single" w:sz="8" w:space="0" w:color="000000"/>
              <w:left w:val="single" w:sz="8" w:space="0" w:color="000000"/>
              <w:bottom w:val="single" w:sz="8" w:space="0" w:color="000000"/>
              <w:right w:val="single" w:sz="8" w:space="0" w:color="000000"/>
            </w:tcBorders>
          </w:tcPr>
          <w:p>
            <w:pPr>
              <w:pStyle w:val="Normal"/>
              <w:bidi w:val="0"/>
              <w:jc w:val="center"/>
              <w:rPr/>
            </w:pPr>
            <w:r>
              <w:rPr/>
              <w:drawing>
                <wp:inline distT="0" distB="0" distL="0" distR="0">
                  <wp:extent cx="1506855" cy="15900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rcRect l="-13" t="-12" r="-13" b="-12"/>
                          <a:stretch>
                            <a:fillRect/>
                          </a:stretch>
                        </pic:blipFill>
                        <pic:spPr bwMode="auto">
                          <a:xfrm>
                            <a:off x="0" y="0"/>
                            <a:ext cx="1506855" cy="1590040"/>
                          </a:xfrm>
                          <a:prstGeom prst="rect">
                            <a:avLst/>
                          </a:prstGeom>
                        </pic:spPr>
                      </pic:pic>
                    </a:graphicData>
                  </a:graphic>
                </wp:inline>
              </w:drawing>
            </w:r>
          </w:p>
          <w:p>
            <w:pPr>
              <w:pStyle w:val="Normal"/>
              <w:bidi w:val="0"/>
              <w:spacing w:lineRule="auto" w:line="240" w:before="0" w:after="0"/>
              <w:jc w:val="right"/>
              <w:rPr>
                <w:rFonts w:ascii="Times New Roman" w:hAnsi="Times New Roman" w:eastAsia="Times New Roman" w:cs="Times New Roman"/>
                <w:b w:val="false"/>
                <w:b w:val="false"/>
                <w:i w:val="false"/>
                <w:i w:val="false"/>
                <w:sz w:val="21"/>
                <w:u w:val="none"/>
              </w:rPr>
            </w:pPr>
            <w:r>
              <w:rPr>
                <w:rFonts w:eastAsia="Times New Roman" w:cs="Times New Roman" w:ascii="Times New Roman" w:hAnsi="Times New Roman"/>
                <w:b w:val="false"/>
                <w:i w:val="false"/>
                <w:sz w:val="21"/>
                <w:u w:val="none"/>
              </w:rPr>
              <w:t>Fig.7</w:t>
            </w:r>
          </w:p>
        </w:tc>
        <w:tc>
          <w:tcPr>
            <w:tcW w:w="6912" w:type="dxa"/>
            <w:tcBorders>
              <w:top w:val="single" w:sz="8" w:space="0" w:color="000000"/>
              <w:left w:val="single" w:sz="8" w:space="0" w:color="000000"/>
              <w:bottom w:val="single" w:sz="8" w:space="0" w:color="000000"/>
              <w:right w:val="single" w:sz="8" w:space="0" w:color="000000"/>
            </w:tcBorders>
            <w:tcMar>
              <w:top w:w="60" w:type="dxa"/>
              <w:left w:w="60" w:type="dxa"/>
              <w:bottom w:w="60" w:type="dxa"/>
              <w:right w:w="60" w:type="dxa"/>
            </w:tcMar>
          </w:tcPr>
          <w:p>
            <w:pPr>
              <w:pStyle w:val="Normal"/>
              <w:bidi w:val="0"/>
              <w:spacing w:lineRule="auto" w:line="276" w:before="0" w:after="0"/>
              <w:jc w:val="left"/>
              <w:rPr>
                <w:rFonts w:eastAsia="Arial"/>
                <w:b w:val="false"/>
                <w:b w:val="false"/>
                <w:i w:val="false"/>
                <w:i w:val="false"/>
                <w:sz w:val="19"/>
                <w:u w:val="none"/>
              </w:rPr>
            </w:pPr>
            <w:r>
              <w:rPr>
                <w:rFonts w:eastAsia="Arial"/>
                <w:b w:val="false"/>
                <w:i w:val="false"/>
                <w:sz w:val="19"/>
                <w:u w:val="none"/>
              </w:rPr>
              <w:t>The overall picture as depicted indicates a healthy vegetation almost throughout the entire country. Fig.7 shows the current state of vegetation health by showing the difference in greenness compared to Long Term Average (LTA) as shown by the vegetation index.</w:t>
            </w:r>
          </w:p>
        </w:tc>
      </w:tr>
    </w:tbl>
    <w:p>
      <w:pPr>
        <w:pStyle w:val="Normal"/>
        <w:bidi w:val="0"/>
        <w:spacing w:lineRule="auto" w:line="240" w:before="120" w:after="60"/>
        <w:jc w:val="left"/>
        <w:rPr/>
      </w:pPr>
      <w:r>
        <w:rPr>
          <w:rFonts w:eastAsia="Arial"/>
          <w:b/>
          <w:i w:val="false"/>
          <w:sz w:val="22"/>
          <w:u w:val="single"/>
        </w:rPr>
        <w:t>Weather outlook (1</w:t>
      </w:r>
      <w:r>
        <w:rPr>
          <w:rFonts w:eastAsia="Arial"/>
          <w:b/>
          <w:i w:val="false"/>
          <w:sz w:val="15"/>
          <w:u w:val="single"/>
          <w:vertAlign w:val="superscript"/>
        </w:rPr>
        <w:t>ST</w:t>
      </w:r>
      <w:r>
        <w:rPr>
          <w:rFonts w:eastAsia="Arial"/>
          <w:b/>
          <w:i w:val="false"/>
          <w:sz w:val="22"/>
          <w:u w:val="single"/>
        </w:rPr>
        <w:t xml:space="preserve"> TO 10</w:t>
      </w:r>
      <w:r>
        <w:rPr>
          <w:rFonts w:eastAsia="Arial"/>
          <w:b/>
          <w:i w:val="false"/>
          <w:sz w:val="15"/>
          <w:u w:val="single"/>
          <w:vertAlign w:val="superscript"/>
        </w:rPr>
        <w:t>TH</w:t>
      </w:r>
      <w:r>
        <w:rPr>
          <w:rFonts w:eastAsia="Arial"/>
          <w:b/>
          <w:i w:val="false"/>
          <w:sz w:val="22"/>
          <w:u w:val="single"/>
        </w:rPr>
        <w:t xml:space="preserve"> NOVEMBER 2025).</w:t>
      </w:r>
    </w:p>
    <w:p>
      <w:pPr>
        <w:pStyle w:val="Normal"/>
        <w:bidi w:val="0"/>
        <w:spacing w:lineRule="auto" w:line="276" w:before="0" w:after="80"/>
        <w:jc w:val="left"/>
        <w:rPr/>
      </w:pPr>
      <w:r>
        <w:rPr>
          <w:rFonts w:eastAsia="Arial"/>
          <w:b/>
          <w:i w:val="false"/>
          <w:sz w:val="20"/>
          <w:u w:val="none"/>
        </w:rPr>
        <w:t>The start (01</w:t>
      </w:r>
      <w:r>
        <w:rPr>
          <w:rFonts w:eastAsia="Arial"/>
          <w:b/>
          <w:i w:val="false"/>
          <w:sz w:val="15"/>
          <w:u w:val="none"/>
          <w:vertAlign w:val="superscript"/>
        </w:rPr>
        <w:t>st</w:t>
      </w:r>
      <w:r>
        <w:rPr>
          <w:rFonts w:eastAsia="Arial"/>
          <w:b/>
          <w:i w:val="false"/>
          <w:sz w:val="20"/>
          <w:u w:val="none"/>
        </w:rPr>
        <w:t xml:space="preserve"> to 05</w:t>
      </w:r>
      <w:r>
        <w:rPr>
          <w:rFonts w:eastAsia="Arial"/>
          <w:b/>
          <w:i w:val="false"/>
          <w:sz w:val="15"/>
          <w:u w:val="none"/>
          <w:vertAlign w:val="superscript"/>
        </w:rPr>
        <w:t>th</w:t>
      </w:r>
      <w:r>
        <w:rPr>
          <w:rFonts w:eastAsia="Arial"/>
          <w:b/>
          <w:i w:val="false"/>
          <w:sz w:val="20"/>
          <w:u w:val="none"/>
        </w:rPr>
        <w:t>) of the dekad is likely to experience, dryer and warmer conditions with isolated rain and thundershowers. From the 06</w:t>
      </w:r>
      <w:r>
        <w:rPr>
          <w:rFonts w:eastAsia="Arial"/>
          <w:b/>
          <w:i w:val="false"/>
          <w:sz w:val="15"/>
          <w:u w:val="none"/>
          <w:vertAlign w:val="superscript"/>
        </w:rPr>
        <w:t>th</w:t>
      </w:r>
      <w:r>
        <w:rPr>
          <w:rFonts w:eastAsia="Arial"/>
          <w:b/>
          <w:i w:val="false"/>
          <w:sz w:val="20"/>
          <w:u w:val="none"/>
        </w:rPr>
        <w:t xml:space="preserve"> Scattered to widespread rain and thundershowers are anticipated. Strong winds and hail can also be expected.</w:t>
      </w:r>
    </w:p>
    <w:p>
      <w:pPr>
        <w:pStyle w:val="Normal"/>
        <w:bidi w:val="0"/>
        <w:spacing w:lineRule="auto" w:line="240" w:before="0" w:after="60"/>
        <w:jc w:val="left"/>
        <w:rPr>
          <w:rFonts w:eastAsia="Arial"/>
          <w:b/>
          <w:b/>
          <w:i w:val="false"/>
          <w:i w:val="false"/>
          <w:sz w:val="22"/>
          <w:u w:val="single"/>
        </w:rPr>
      </w:pPr>
      <w:r>
        <w:rPr>
          <w:rFonts w:eastAsia="Arial"/>
          <w:b/>
          <w:i w:val="false"/>
          <w:sz w:val="22"/>
          <w:u w:val="single"/>
        </w:rPr>
        <w:t>Seasonal Outlook (OND-2025 and JFM-2026)</w:t>
      </w:r>
    </w:p>
    <w:p>
      <w:pPr>
        <w:pStyle w:val="Normal"/>
        <w:bidi w:val="0"/>
        <w:spacing w:lineRule="auto" w:line="276" w:before="0" w:after="0"/>
        <w:jc w:val="left"/>
        <w:rPr>
          <w:rFonts w:eastAsia="Arial"/>
          <w:b/>
          <w:b/>
          <w:i w:val="false"/>
          <w:i w:val="false"/>
          <w:sz w:val="20"/>
          <w:u w:val="none"/>
        </w:rPr>
      </w:pPr>
      <w:r>
        <w:rPr>
          <w:rFonts w:eastAsia="Arial"/>
          <w:b/>
          <w:i w:val="false"/>
          <w:sz w:val="20"/>
          <w:u w:val="none"/>
        </w:rPr>
        <w:t>The bulk of Lesotho is likely to receive normal to above normal rainfall for the season, October to December (OND) 2025. For the following period, covering the rolling seasons from November-December-January (NDJ), December-January-February (DJF) 2025/26, to January-February-March (JFM) 2026, above-normal rainfall conditions are expected to dominate.</w:t>
      </w:r>
    </w:p>
    <w:p>
      <w:pPr>
        <w:pStyle w:val="Normal"/>
        <w:bidi w:val="0"/>
        <w:jc w:val="left"/>
        <w:rPr/>
      </w:pPr>
      <w:r>
        <w:rPr/>
      </w:r>
      <w:r>
        <w:br w:type="page"/>
      </w:r>
    </w:p>
    <w:p>
      <w:pPr>
        <w:pStyle w:val="Normal"/>
        <w:bidi w:val="0"/>
        <w:spacing w:lineRule="auto" w:line="240" w:before="0" w:after="120"/>
        <w:jc w:val="left"/>
        <w:rPr>
          <w:rFonts w:eastAsia="Arial"/>
          <w:b/>
          <w:b/>
          <w:i w:val="false"/>
          <w:i w:val="false"/>
          <w:sz w:val="25"/>
          <w:u w:val="single"/>
        </w:rPr>
      </w:pPr>
      <w:r>
        <w:rPr>
          <w:rFonts w:eastAsia="Arial"/>
          <w:b/>
          <w:i w:val="false"/>
          <w:sz w:val="25"/>
          <w:u w:val="single"/>
        </w:rPr>
        <w:t>General Comments (Advisory)</w:t>
      </w:r>
    </w:p>
    <w:p>
      <w:pPr>
        <w:pStyle w:val="Normal"/>
        <w:bidi w:val="0"/>
        <w:spacing w:lineRule="auto" w:line="240" w:before="0" w:after="80"/>
        <w:jc w:val="left"/>
        <w:rPr>
          <w:rFonts w:eastAsia="Arial"/>
          <w:b/>
          <w:b/>
          <w:i w:val="false"/>
          <w:i w:val="false"/>
          <w:sz w:val="23"/>
          <w:u w:val="single"/>
        </w:rPr>
      </w:pPr>
      <w:r>
        <w:rPr>
          <w:rFonts w:eastAsia="Arial"/>
          <w:b/>
          <w:i w:val="false"/>
          <w:sz w:val="23"/>
          <w:u w:val="single"/>
        </w:rPr>
        <w:t>OND Season</w:t>
      </w:r>
    </w:p>
    <w:p>
      <w:pPr>
        <w:pStyle w:val="Normal"/>
        <w:bidi w:val="0"/>
        <w:spacing w:lineRule="auto" w:line="276" w:before="0" w:after="80"/>
        <w:jc w:val="left"/>
        <w:rPr>
          <w:rFonts w:eastAsia="Arial"/>
          <w:b w:val="false"/>
          <w:b w:val="false"/>
          <w:i w:val="false"/>
          <w:i w:val="false"/>
          <w:sz w:val="20"/>
          <w:u w:val="none"/>
        </w:rPr>
      </w:pPr>
      <w:r>
        <w:rPr>
          <w:rFonts w:eastAsia="Arial"/>
          <w:b w:val="false"/>
          <w:i w:val="false"/>
          <w:sz w:val="20"/>
          <w:u w:val="none"/>
        </w:rPr>
        <w:t>This is a critical time for land preparation and sowing in all parts of the country. Given the above predictions, farmers are advised to start planting summer crops like maize, potatoes, sorghum, beans and horticultural crops; however, areas where flooding is experienced should be avoided, especially for planting crops like beans, potatoes and horticultural crops. Farmers should seek guidance from Extension officers for their specific locations on proper sowing dates as well as good management practices.</w:t>
      </w:r>
    </w:p>
    <w:p>
      <w:pPr>
        <w:pStyle w:val="Normal"/>
        <w:bidi w:val="0"/>
        <w:spacing w:lineRule="auto" w:line="240" w:before="0" w:after="80"/>
        <w:jc w:val="left"/>
        <w:rPr>
          <w:rFonts w:eastAsia="Arial"/>
          <w:b/>
          <w:b/>
          <w:i w:val="false"/>
          <w:i w:val="false"/>
          <w:sz w:val="23"/>
          <w:u w:val="none"/>
        </w:rPr>
      </w:pPr>
      <w:r>
        <w:rPr>
          <w:rFonts w:eastAsia="Arial"/>
          <w:b/>
          <w:i w:val="false"/>
          <w:sz w:val="23"/>
          <w:u w:val="none"/>
        </w:rPr>
        <w:t>Climate Smart Agriculture:</w:t>
      </w:r>
    </w:p>
    <w:p>
      <w:pPr>
        <w:pStyle w:val="Normal"/>
        <w:bidi w:val="0"/>
        <w:spacing w:lineRule="auto" w:line="276" w:before="0" w:after="80"/>
        <w:jc w:val="left"/>
        <w:rPr>
          <w:rFonts w:eastAsia="Arial"/>
          <w:b w:val="false"/>
          <w:b w:val="false"/>
          <w:i w:val="false"/>
          <w:i w:val="false"/>
          <w:sz w:val="20"/>
          <w:u w:val="none"/>
        </w:rPr>
      </w:pPr>
      <w:r>
        <w:rPr>
          <w:rFonts w:eastAsia="Arial"/>
          <w:b w:val="false"/>
          <w:i w:val="false"/>
          <w:sz w:val="20"/>
          <w:u w:val="none"/>
        </w:rPr>
        <w:t>Farmers are advised to plant early maturing varieties, use protected structures especially for horticultural crops as temperatures are expected to be warmer. Irrigation schedules for horticultural crops are recommended to support crop growth and development.</w:t>
      </w:r>
    </w:p>
    <w:p>
      <w:pPr>
        <w:pStyle w:val="Normal"/>
        <w:bidi w:val="0"/>
        <w:spacing w:lineRule="auto" w:line="276" w:before="0" w:after="80"/>
        <w:jc w:val="left"/>
        <w:rPr>
          <w:rFonts w:eastAsia="Arial"/>
          <w:b w:val="false"/>
          <w:b w:val="false"/>
          <w:i w:val="false"/>
          <w:i w:val="false"/>
          <w:sz w:val="20"/>
          <w:u w:val="none"/>
        </w:rPr>
      </w:pPr>
      <w:r>
        <w:rPr>
          <w:rFonts w:eastAsia="Arial"/>
          <w:b w:val="false"/>
          <w:i w:val="false"/>
          <w:sz w:val="20"/>
          <w:u w:val="none"/>
        </w:rPr>
        <w:t>Livestock farmers are advised to keep animals under protected structures for protection against intense heat and other weather extremes.</w:t>
      </w:r>
    </w:p>
    <w:p>
      <w:pPr>
        <w:pStyle w:val="Normal"/>
        <w:bidi w:val="0"/>
        <w:spacing w:lineRule="auto" w:line="240" w:before="0" w:after="80"/>
        <w:jc w:val="left"/>
        <w:rPr>
          <w:rFonts w:eastAsia="Arial"/>
          <w:b/>
          <w:b/>
          <w:i w:val="false"/>
          <w:i w:val="false"/>
          <w:sz w:val="23"/>
          <w:u w:val="none"/>
        </w:rPr>
      </w:pPr>
      <w:r>
        <w:rPr>
          <w:rFonts w:eastAsia="Arial"/>
          <w:b/>
          <w:i w:val="false"/>
          <w:sz w:val="23"/>
          <w:u w:val="none"/>
        </w:rPr>
        <w:t>Heavy rainfall</w:t>
      </w:r>
    </w:p>
    <w:p>
      <w:pPr>
        <w:pStyle w:val="Normal"/>
        <w:bidi w:val="0"/>
        <w:spacing w:lineRule="auto" w:line="276" w:before="0" w:after="80"/>
        <w:jc w:val="left"/>
        <w:rPr>
          <w:rFonts w:eastAsia="Arial"/>
          <w:b w:val="false"/>
          <w:b w:val="false"/>
          <w:i w:val="false"/>
          <w:i w:val="false"/>
          <w:sz w:val="20"/>
          <w:u w:val="none"/>
        </w:rPr>
      </w:pPr>
      <w:r>
        <w:rPr>
          <w:rFonts w:eastAsia="Arial"/>
          <w:b w:val="false"/>
          <w:i w:val="false"/>
          <w:sz w:val="20"/>
          <w:u w:val="none"/>
        </w:rPr>
        <w:t>Heavy rainfall can cause waterlogging in seedbeds, nutrient leaching in prepared fields, and rapid surface runoff leading to soil erosion. Farmers should ensure that drainage systems are clear to prevent field waterlogging.</w:t>
      </w:r>
    </w:p>
    <w:p>
      <w:pPr>
        <w:pStyle w:val="Normal"/>
        <w:bidi w:val="0"/>
        <w:spacing w:lineRule="auto" w:line="240" w:before="0" w:after="60"/>
        <w:jc w:val="left"/>
        <w:rPr>
          <w:rFonts w:eastAsia="Arial"/>
          <w:b/>
          <w:b/>
          <w:i w:val="false"/>
          <w:i w:val="false"/>
          <w:sz w:val="23"/>
          <w:u w:val="none"/>
        </w:rPr>
      </w:pPr>
      <w:r>
        <w:rPr>
          <w:rFonts w:eastAsia="Arial"/>
          <w:b/>
          <w:i w:val="false"/>
          <w:sz w:val="23"/>
          <w:u w:val="none"/>
        </w:rPr>
        <w:t>General Recommendations:</w:t>
      </w:r>
    </w:p>
    <w:p>
      <w:pPr>
        <w:pStyle w:val="ListBullet"/>
        <w:numPr>
          <w:ilvl w:val="0"/>
          <w:numId w:val="1"/>
        </w:numPr>
        <w:bidi w:val="0"/>
        <w:spacing w:lineRule="auto" w:line="276" w:before="0" w:after="20"/>
        <w:contextualSpacing/>
        <w:jc w:val="left"/>
        <w:rPr>
          <w:rFonts w:eastAsia="Arial"/>
          <w:b w:val="false"/>
          <w:b w:val="false"/>
          <w:i w:val="false"/>
          <w:i w:val="false"/>
          <w:sz w:val="20"/>
          <w:u w:val="none"/>
        </w:rPr>
      </w:pPr>
      <w:r>
        <w:rPr>
          <w:rFonts w:eastAsia="Arial"/>
          <w:b w:val="false"/>
          <w:i w:val="false"/>
          <w:sz w:val="20"/>
          <w:u w:val="none"/>
        </w:rPr>
        <w:t>Regular consultations with Extension officers is highly recommended</w:t>
      </w:r>
    </w:p>
    <w:p>
      <w:pPr>
        <w:pStyle w:val="ListBullet"/>
        <w:numPr>
          <w:ilvl w:val="0"/>
          <w:numId w:val="1"/>
        </w:numPr>
        <w:bidi w:val="0"/>
        <w:spacing w:lineRule="auto" w:line="276" w:before="0" w:after="20"/>
        <w:contextualSpacing/>
        <w:jc w:val="left"/>
        <w:rPr>
          <w:rFonts w:eastAsia="Arial"/>
          <w:b w:val="false"/>
          <w:b w:val="false"/>
          <w:i w:val="false"/>
          <w:i w:val="false"/>
          <w:sz w:val="20"/>
          <w:u w:val="none"/>
        </w:rPr>
      </w:pPr>
      <w:r>
        <w:rPr>
          <w:rFonts w:eastAsia="Arial"/>
          <w:b w:val="false"/>
          <w:i w:val="false"/>
          <w:sz w:val="20"/>
          <w:u w:val="none"/>
        </w:rPr>
        <w:t>Daily weather monitoring and use of indigenous weather forecasts is recommended for signs of significant rainfall patterns shifts.</w:t>
      </w:r>
    </w:p>
    <w:p>
      <w:pPr>
        <w:pStyle w:val="ListBullet"/>
        <w:numPr>
          <w:ilvl w:val="0"/>
          <w:numId w:val="1"/>
        </w:numPr>
        <w:bidi w:val="0"/>
        <w:spacing w:lineRule="auto" w:line="276" w:before="0" w:after="20"/>
        <w:contextualSpacing/>
        <w:jc w:val="left"/>
        <w:rPr>
          <w:rFonts w:eastAsia="Arial"/>
          <w:b w:val="false"/>
          <w:b w:val="false"/>
          <w:i w:val="false"/>
          <w:i w:val="false"/>
          <w:sz w:val="20"/>
          <w:u w:val="none"/>
        </w:rPr>
      </w:pPr>
      <w:r>
        <w:rPr>
          <w:rFonts w:eastAsia="Arial"/>
          <w:b w:val="false"/>
          <w:i w:val="false"/>
          <w:sz w:val="20"/>
          <w:u w:val="none"/>
        </w:rPr>
        <w:t>Water storage during heavy rainfall can be beneficial for irrigation and drinking for animals.</w:t>
      </w:r>
    </w:p>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ymbol">
    <w:charset w:val="02"/>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Lohit Devanagari"/>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oto Serif CJK SC" w:cs="Lohit Devanagari"/>
      <w:color w:val="auto"/>
      <w:kern w:val="2"/>
      <w:sz w:val="22"/>
      <w:szCs w:val="24"/>
      <w:lang w:val="en-US" w:eastAsia="zh-CN" w:bidi="hi-IN"/>
    </w:rPr>
  </w:style>
  <w:style w:type="character" w:styleId="WW8Num1z0">
    <w:name w:val="WW8Num1z0"/>
    <w:qFormat/>
    <w:rPr>
      <w:rFonts w:ascii="Symbol" w:hAnsi="Symbol" w:cs="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Bullet">
    <w:name w:val="List Bullet"/>
    <w:basedOn w:val="Normal"/>
    <w:qFormat/>
    <w:pPr>
      <w:numPr>
        <w:ilvl w:val="0"/>
        <w:numId w:val="1"/>
      </w:numPr>
      <w:spacing w:before="0" w:after="200"/>
      <w:contextualSpacing/>
    </w:pPr>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ages>4</Pages>
  <Words>715</Words>
  <Characters>4146</Characters>
  <CharactersWithSpaces>4797</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2026-03-13T08:09:01Z</dcterms:modified>
  <cp:revision>1</cp:revision>
  <dc:subject/>
  <dc:title/>
</cp:coreProperties>
</file>