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fill="24425E" w:val="clear"/>
        <w:spacing w:after="100" w:before="100"/>
        <w:jc w:val="center"/>
      </w:pPr>
      <w:r>
        <w:rPr>
          <w:rFonts w:ascii="Calibri" w:cs="Calibri" w:eastAsia="Calibri" w:hAnsi="Calibri"/>
          <w:b/>
          <w:bCs/>
          <w:color w:val="FFFFFF"/>
          <w:spacing w:val="20"/>
          <w:sz w:val="22"/>
          <w:szCs w:val="22"/>
        </w:rPr>
        <w:t xml:space="preserve">PLATAFORMA ESCUELA RURAL · ADA</w:t>
      </w:r>
    </w:p>
    <w:p>
      <w:pPr>
        <w:spacing w:before="600"/>
      </w:pPr>
    </w:p>
    <w:p>
      <w:pPr>
        <w:jc w:val="center"/>
      </w:pPr>
      <w:r>
        <w:rPr>
          <w:rFonts w:ascii="Calibri" w:cs="Calibri" w:eastAsia="Calibri" w:hAnsi="Calibri"/>
          <w:b/>
          <w:bCs/>
          <w:color w:val="24425E"/>
          <w:sz w:val="56"/>
          <w:szCs w:val="56"/>
        </w:rPr>
        <w:t xml:space="preserve">Evidencias de Pruebas Funcionales</w:t>
      </w:r>
    </w:p>
    <w:p>
      <w:pPr>
        <w:spacing w:after="200" w:before="300"/>
        <w:jc w:val="center"/>
      </w:pPr>
      <w:r>
        <w:rPr>
          <w:rFonts w:ascii="Calibri" w:cs="Calibri" w:eastAsia="Calibri" w:hAnsi="Calibri"/>
          <w:b w:val="false"/>
          <w:bCs w:val="false"/>
          <w:i/>
          <w:iCs/>
          <w:color w:val="4E95C2"/>
          <w:sz w:val="30"/>
          <w:szCs w:val="30"/>
        </w:rPr>
        <w:t xml:space="preserve">Anexo D — Capturas de pantalla de los 15 casos de prueba reportados en la sección de Resultados del informe final y de la gestión de sesión e historial</w:t>
      </w:r>
    </w:p>
    <w:p>
      <w:pPr>
        <w:pBdr>
          <w:top w:val="single" w:color="D98E3A" w:sz="12" w:space="12"/>
        </w:pBdr>
        <w:spacing w:before="900"/>
        <w:jc w:val="center"/>
      </w:pPr>
      <w:r>
        <w:rPr>
          <w:sz w:val="2"/>
          <w:szCs w:val="2"/>
        </w:rPr>
        <w:t xml:space="preserve"> </w:t>
      </w:r>
    </w:p>
    <w:p>
      <w:pPr>
        <w:spacing w:before="300"/>
        <w:jc w:val="center"/>
      </w:pPr>
      <w:r>
        <w:rPr>
          <w:rFonts w:ascii="Calibri" w:cs="Calibri" w:eastAsia="Calibri" w:hAnsi="Calibri"/>
          <w:color w:val="6B7A82"/>
          <w:sz w:val="22"/>
          <w:szCs w:val="22"/>
        </w:rPr>
        <w:t xml:space="preserve">Lessly Andrea Barba Cruz — Ingeniería de Sistemas</w:t>
      </w:r>
    </w:p>
    <w:p>
      <w:pPr>
        <w:spacing w:before="60"/>
        <w:jc w:val="center"/>
      </w:pPr>
      <w:r>
        <w:rPr>
          <w:rFonts w:ascii="Calibri" w:cs="Calibri" w:eastAsia="Calibri" w:hAnsi="Calibri"/>
          <w:color w:val="6B7A82"/>
          <w:sz w:val="22"/>
          <w:szCs w:val="22"/>
        </w:rPr>
        <w:t xml:space="preserve">Unidades Tecnológicas de Santander</w:t>
      </w:r>
    </w:p>
    <w:p>
      <w:pPr>
        <w:spacing w:before="60"/>
        <w:jc w:val="center"/>
      </w:pPr>
      <w:r>
        <w:rPr>
          <w:rFonts w:ascii="Calibri" w:cs="Calibri" w:eastAsia="Calibri" w:hAnsi="Calibri"/>
          <w:color w:val="6B7A82"/>
          <w:sz w:val="22"/>
          <w:szCs w:val="22"/>
        </w:rPr>
        <w:t xml:space="preserve">Bucaramanga, septiembre de 2026</w:t>
      </w:r>
    </w:p>
    <w:p>
      <w:pPr>
        <w:pageBreakBefore/>
        <w:sectPr>
          <w:type w:val="nextPage"/>
          <w:pgSz w:w="11906" w:h="16838" w:orient="portrait"/>
          <w:pgMar w:top="1440" w:right="1440" w:bottom="1440" w:left="1440" w:header="708" w:footer="708" w:gutter="0"/>
          <w:pgNumType/>
          <w:docGrid w:linePitch="360"/>
        </w:sectPr>
      </w:pPr>
    </w:p>
    <w:p>
      <w:pPr>
        <w:pStyle w:val="Heading1"/>
        <w:pBdr>
          <w:bottom w:val="single" w:color="D98E3A" w:sz="6" w:space="4"/>
        </w:pBdr>
        <w:spacing w:after="200" w:before="480"/>
      </w:pPr>
      <w:r>
        <w:rPr>
          <w:rFonts w:ascii="Calibri" w:cs="Calibri" w:eastAsia="Calibri" w:hAnsi="Calibri"/>
          <w:b/>
          <w:bCs/>
          <w:color w:val="24425E"/>
          <w:sz w:val="30"/>
          <w:szCs w:val="30"/>
        </w:rPr>
        <w:t xml:space="preserve">1. Introducción</w:t>
      </w:r>
    </w:p>
    <w:p>
      <w:pPr>
        <w:spacing w:after="160" w:line="288"/>
        <w:jc w:val="both"/>
      </w:pPr>
      <w:r>
        <w:rPr>
          <w:rFonts w:ascii="Calibri" w:cs="Calibri" w:eastAsia="Calibri" w:hAnsi="Calibri"/>
          <w:b w:val="false"/>
          <w:bCs w:val="false"/>
          <w:i w:val="false"/>
          <w:iCs w:val="false"/>
          <w:color w:val="222222"/>
          <w:sz w:val="22"/>
          <w:szCs w:val="22"/>
        </w:rPr>
        <w:t xml:space="preserve">El presente anexo contiene la evidencia fotográfica de los 15 casos de prueba ejecutados sobre el asistente Ada, organizados en las mismas cinco categorías reportadas en la Tabla 1 (Matriz de casos de prueba) de la sección de Resultados del informe final. Cada caso incluye la entrada exacta escrita por el usuario, la captura de pantalla de la conversación resultante, el veredicto de corrección frente al criterio de aceptación definido, y el tiempo de respuesta observado.</w:t>
      </w:r>
    </w:p>
    <w:tbl>
      <w:tblPr>
        <w:tblW w:type="pct" w:w="5000"/>
        <w:tblBorders>
          <w:top w:val="single" w:color="4E95C2" w:sz="4"/>
          <w:left w:val="single" w:color="4E95C2" w:sz="24"/>
          <w:bottom w:val="single" w:color="4E95C2" w:sz="4"/>
          <w:right w:val="single" w:color="4E95C2" w:sz="4"/>
          <w:insideH w:val="single" w:color="auto" w:sz="4"/>
          <w:insideV w:val="single" w:color="auto" w:sz="4"/>
        </w:tblBorders>
      </w:tblPr>
      <w:tblGrid>
        <w:gridCol w:w="9906"/>
      </w:tblGrid>
      <w:tr>
        <w:tc>
          <w:tcPr>
            <w:shd w:fill="EAF2F8" w:val="clear"/>
            <w:tcMar>
              <w:top w:type="dxa" w:w="160"/>
              <w:left w:type="dxa" w:w="200"/>
              <w:bottom w:type="dxa" w:w="160"/>
              <w:right w:type="dxa" w:w="200"/>
            </w:tcMar>
          </w:tcPr>
          <w:p>
            <w:pPr>
              <w:spacing w:after="80"/>
            </w:pPr>
            <w:r>
              <w:rPr>
                <w:rFonts w:ascii="Calibri" w:cs="Calibri" w:eastAsia="Calibri" w:hAnsi="Calibri"/>
                <w:b/>
                <w:bCs/>
                <w:color w:val="24425E"/>
                <w:sz w:val="22"/>
                <w:szCs w:val="22"/>
              </w:rPr>
              <w:t xml:space="preserve">Criterio de aceptación</w:t>
            </w:r>
          </w:p>
          <w:p>
            <w:pPr>
              <w:spacing w:after="40" w:line="264"/>
              <w:jc w:val="both"/>
            </w:pPr>
            <w:r>
              <w:rPr>
                <w:rFonts w:ascii="Calibri" w:cs="Calibri" w:eastAsia="Calibri" w:hAnsi="Calibri"/>
                <w:color w:val="333333"/>
                <w:sz w:val="21"/>
                <w:szCs w:val="21"/>
              </w:rPr>
              <w:t xml:space="preserve">•  Se considera una respuesta correcta cuando contiene la totalidad de los datos solicitados (nombre del curso, unidades, porcentajes o contenidos, según corresponda) sin errores frente a la información real almacenada en Moodle.</w:t>
            </w:r>
          </w:p>
        </w:tc>
      </w:tr>
    </w:tbl>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2. Categoría 1 — Saludo genérico</w:t>
      </w:r>
    </w:p>
    <w:p>
      <w:pPr>
        <w:spacing w:after="160" w:line="288"/>
        <w:jc w:val="both"/>
      </w:pPr>
      <w:r>
        <w:rPr>
          <w:rFonts w:ascii="Calibri" w:cs="Calibri" w:eastAsia="Calibri" w:hAnsi="Calibri"/>
          <w:b w:val="false"/>
          <w:bCs w:val="false"/>
          <w:i w:val="false"/>
          <w:iCs w:val="false"/>
          <w:color w:val="222222"/>
          <w:sz w:val="22"/>
          <w:szCs w:val="22"/>
        </w:rPr>
        <w:t xml:space="preserve">Tres formulaciones distintas de un saludo simple. Se espera una respuesta de bienvenida instantánea, sin datos específicos de cursos.</w:t>
      </w:r>
    </w:p>
    <w:p>
      <w:pPr>
        <w:spacing w:after="80" w:before="200"/>
      </w:pPr>
      <w:r>
        <w:rPr>
          <w:rFonts w:ascii="Calibri" w:cs="Calibri" w:eastAsia="Calibri" w:hAnsi="Calibri"/>
          <w:b/>
          <w:bCs/>
          <w:color w:val="24425E"/>
          <w:sz w:val="22"/>
          <w:szCs w:val="22"/>
        </w:rPr>
        <w:t xml:space="preserve">Caso 1 — Saludo genérico</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“hola”</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 — saludo con “hola”.</w:t>
      </w:r>
    </w:p>
    <w:p>
      <w:pPr>
        <w:spacing w:after="80" w:before="200"/>
      </w:pPr>
      <w:r>
        <w:rPr>
          <w:rFonts w:ascii="Calibri" w:cs="Calibri" w:eastAsia="Calibri" w:hAnsi="Calibri"/>
          <w:b/>
          <w:bCs/>
          <w:color w:val="24425E"/>
          <w:sz w:val="22"/>
          <w:szCs w:val="22"/>
        </w:rPr>
        <w:t xml:space="preserve">Caso 2 — Saludo genérico</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“buenos días”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76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7645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2 — saludo con “buenos días”.</w:t>
      </w:r>
    </w:p>
    <w:p>
      <w:pPr>
        <w:spacing w:after="80" w:before="200"/>
      </w:pPr>
      <w:r>
        <w:rPr>
          <w:rFonts w:ascii="Calibri" w:cs="Calibri" w:eastAsia="Calibri" w:hAnsi="Calibri"/>
          <w:b/>
          <w:bCs/>
          <w:color w:val="24425E"/>
          <w:sz w:val="22"/>
          <w:szCs w:val="22"/>
        </w:rPr>
        <w:t xml:space="preserve">Caso 3 — Saludo genérico</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“Hey”</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66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3 — saludo con “Hey”.</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3. Categoría 2 — Listado de cursos</w:t>
      </w:r>
    </w:p>
    <w:p>
      <w:pPr>
        <w:spacing w:after="160" w:line="288"/>
        <w:jc w:val="both"/>
      </w:pPr>
      <w:r>
        <w:rPr>
          <w:rFonts w:ascii="Calibri" w:cs="Calibri" w:eastAsia="Calibri" w:hAnsi="Calibri"/>
          <w:b w:val="false"/>
          <w:bCs w:val="false"/>
          <w:i w:val="false"/>
          <w:iCs w:val="false"/>
          <w:color w:val="222222"/>
          <w:sz w:val="22"/>
          <w:szCs w:val="22"/>
        </w:rPr>
        <w:t xml:space="preserve">Tres formas distintas de preguntar por la oferta académica disponible. Se espera la mención de los dos cursos reales de la Plataforma Escuela Rural.</w:t>
      </w:r>
    </w:p>
    <w:p>
      <w:pPr>
        <w:spacing w:after="80" w:before="200"/>
      </w:pPr>
      <w:r>
        <w:rPr>
          <w:rFonts w:ascii="Calibri" w:cs="Calibri" w:eastAsia="Calibri" w:hAnsi="Calibri"/>
          <w:b/>
          <w:bCs/>
          <w:color w:val="24425E"/>
          <w:sz w:val="22"/>
          <w:szCs w:val="22"/>
        </w:rPr>
        <w:t xml:space="preserve">Caso 4 — Listado de cursos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“¿Cuáles son los cursos disponibles?”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5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4.</w:t>
      </w:r>
    </w:p>
    <w:p>
      <w:pPr>
        <w:spacing w:after="80" w:before="200"/>
      </w:pPr>
      <w:r>
        <w:rPr>
          <w:rFonts w:ascii="Calibri" w:cs="Calibri" w:eastAsia="Calibri" w:hAnsi="Calibri"/>
          <w:b/>
          <w:bCs/>
          <w:color w:val="24425E"/>
          <w:sz w:val="22"/>
          <w:szCs w:val="22"/>
        </w:rPr>
        <w:t xml:space="preserve">Caso 5 — Listado de cursos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“¿Qué cursos hay?”</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143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431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5.</w:t>
      </w:r>
    </w:p>
    <w:p>
      <w:pPr>
        <w:spacing w:after="80" w:before="200"/>
      </w:pPr>
      <w:r>
        <w:rPr>
          <w:rFonts w:ascii="Calibri" w:cs="Calibri" w:eastAsia="Calibri" w:hAnsi="Calibri"/>
          <w:b/>
          <w:bCs/>
          <w:color w:val="24425E"/>
          <w:sz w:val="22"/>
          <w:szCs w:val="22"/>
        </w:rPr>
        <w:t xml:space="preserve">Caso 6 — Listado de cursos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“Cuéntame qué cursos tienen”</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181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812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6.</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4. Categoría 3 — Detalle de unidades</w:t>
      </w:r>
    </w:p>
    <w:p>
      <w:pPr>
        <w:spacing w:after="160" w:line="288"/>
        <w:jc w:val="both"/>
      </w:pPr>
      <w:r>
        <w:rPr>
          <w:rFonts w:ascii="Calibri" w:cs="Calibri" w:eastAsia="Calibri" w:hAnsi="Calibri"/>
          <w:b w:val="false"/>
          <w:bCs w:val="false"/>
          <w:i w:val="false"/>
          <w:iCs w:val="false"/>
          <w:color w:val="222222"/>
          <w:sz w:val="22"/>
          <w:szCs w:val="22"/>
        </w:rPr>
        <w:t xml:space="preserve">Consultas puntuales sobre el contenido interno de un curso (número de unidades, porcentajes de evaluación y temas). Se espera una respuesta completa y exacta frente a los datos reales de Moodle.</w:t>
      </w:r>
    </w:p>
    <w:p>
      <w:pPr>
        <w:spacing w:after="80" w:before="200"/>
      </w:pPr>
      <w:r>
        <w:rPr>
          <w:rFonts w:ascii="Calibri" w:cs="Calibri" w:eastAsia="Calibri" w:hAnsi="Calibri"/>
          <w:b/>
          <w:bCs/>
          <w:color w:val="24425E"/>
          <w:sz w:val="22"/>
          <w:szCs w:val="22"/>
        </w:rPr>
        <w:t xml:space="preserve">Caso 7 — Detalle de unidades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“¿Cuántas unidades tiene Ciencias Naturales?”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57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7.</w:t>
      </w:r>
    </w:p>
    <w:p>
      <w:pPr>
        <w:spacing w:after="80" w:before="200"/>
      </w:pPr>
      <w:r>
        <w:rPr>
          <w:rFonts w:ascii="Calibri" w:cs="Calibri" w:eastAsia="Calibri" w:hAnsi="Calibri"/>
          <w:b/>
          <w:bCs/>
          <w:color w:val="24425E"/>
          <w:sz w:val="22"/>
          <w:szCs w:val="22"/>
        </w:rPr>
        <w:t xml:space="preserve">Caso 8 — Detalle de unidades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“Descríbeme el curso de Lectura Crítica, cuántas unidades tiene y qué contenidos”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57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8.</w:t>
      </w:r>
    </w:p>
    <w:p>
      <w:pPr>
        <w:spacing w:after="80" w:before="200"/>
      </w:pPr>
      <w:r>
        <w:rPr>
          <w:rFonts w:ascii="Calibri" w:cs="Calibri" w:eastAsia="Calibri" w:hAnsi="Calibri"/>
          <w:b/>
          <w:bCs/>
          <w:color w:val="24425E"/>
          <w:sz w:val="22"/>
          <w:szCs w:val="22"/>
        </w:rPr>
        <w:t xml:space="preserve">Caso 9 — Detalle de unidades</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“¿Qué unidades tiene el curso de Ciencias Naturales?”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Inmediato (&lt; 1 s)</w:t>
      </w:r>
    </w:p>
    <w:p>
      <w:pPr>
        <w:spacing w:after="60" w:before="160"/>
        <w:jc w:val="center"/>
      </w:pPr>
      <w:r>
        <w:drawing>
          <wp:inline distT="0" distB="0" distL="0" distR="0">
            <wp:extent cx="4000500" cy="2066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9.</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5. Categoría 4 — Fuera de alcance</w:t>
      </w:r>
    </w:p>
    <w:p>
      <w:pPr>
        <w:spacing w:after="160" w:line="288"/>
        <w:jc w:val="both"/>
      </w:pPr>
      <w:r>
        <w:rPr>
          <w:rFonts w:ascii="Calibri" w:cs="Calibri" w:eastAsia="Calibri" w:hAnsi="Calibri"/>
          <w:b w:val="false"/>
          <w:bCs w:val="false"/>
          <w:i w:val="false"/>
          <w:iCs w:val="false"/>
          <w:color w:val="222222"/>
          <w:sz w:val="22"/>
          <w:szCs w:val="22"/>
        </w:rPr>
        <w:t xml:space="preserve">Preguntas ajenas al contexto académico de la plataforma. Se espera que Ada rechace cordialmente la solicitud y redirija la conversación hacia los cursos disponibles, sin alucinar contenido.</w:t>
      </w:r>
    </w:p>
    <w:p>
      <w:pPr>
        <w:spacing w:after="80" w:before="200"/>
      </w:pPr>
      <w:r>
        <w:rPr>
          <w:rFonts w:ascii="Calibri" w:cs="Calibri" w:eastAsia="Calibri" w:hAnsi="Calibri"/>
          <w:b/>
          <w:bCs/>
          <w:color w:val="24425E"/>
          <w:sz w:val="22"/>
          <w:szCs w:val="22"/>
        </w:rPr>
        <w:t xml:space="preserve">Caso 10 — Fuera de alcance</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“¿Me das una receta de pizza?”</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1:23</w:t>
      </w:r>
    </w:p>
    <w:p>
      <w:pPr>
        <w:spacing w:after="60" w:before="160"/>
        <w:jc w:val="center"/>
      </w:pPr>
      <w:r>
        <w:drawing>
          <wp:inline distT="0" distB="0" distL="0" distR="0">
            <wp:extent cx="4000500" cy="2076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07645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10.</w:t>
      </w:r>
    </w:p>
    <w:p>
      <w:pPr>
        <w:spacing w:after="80" w:before="200"/>
      </w:pPr>
      <w:r>
        <w:rPr>
          <w:rFonts w:ascii="Calibri" w:cs="Calibri" w:eastAsia="Calibri" w:hAnsi="Calibri"/>
          <w:b/>
          <w:bCs/>
          <w:color w:val="24425E"/>
          <w:sz w:val="22"/>
          <w:szCs w:val="22"/>
        </w:rPr>
        <w:t xml:space="preserve">Caso 11 — Fuera de alcance</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“¿Cuál es la capital de Francia?”</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1:02</w:t>
      </w:r>
    </w:p>
    <w:p>
      <w:pPr>
        <w:spacing w:after="60" w:before="160"/>
        <w:jc w:val="center"/>
      </w:pPr>
      <w:r>
        <w:drawing>
          <wp:inline distT="0" distB="0" distL="0" distR="0">
            <wp:extent cx="4000500" cy="2066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11.</w:t>
      </w:r>
    </w:p>
    <w:p>
      <w:pPr>
        <w:spacing w:after="80" w:before="200"/>
      </w:pPr>
      <w:r>
        <w:rPr>
          <w:rFonts w:ascii="Calibri" w:cs="Calibri" w:eastAsia="Calibri" w:hAnsi="Calibri"/>
          <w:b/>
          <w:bCs/>
          <w:color w:val="24425E"/>
          <w:sz w:val="22"/>
          <w:szCs w:val="22"/>
        </w:rPr>
        <w:t xml:space="preserve">Caso 12 — Fuera de alcance</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“Ayúdame con mi tarea de matemáticas”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1:12</w:t>
      </w:r>
    </w:p>
    <w:p>
      <w:pPr>
        <w:spacing w:after="60" w:before="160"/>
        <w:jc w:val="center"/>
      </w:pPr>
      <w:r>
        <w:drawing>
          <wp:inline distT="0" distB="0" distL="0" distR="0">
            <wp:extent cx="4000500" cy="2066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12.</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6. Categoría 5 — Pregunta abierta / subjetiva</w:t>
      </w:r>
    </w:p>
    <w:p>
      <w:pPr>
        <w:spacing w:after="160" w:line="288"/>
        <w:jc w:val="both"/>
      </w:pPr>
      <w:r>
        <w:rPr>
          <w:rFonts w:ascii="Calibri" w:cs="Calibri" w:eastAsia="Calibri" w:hAnsi="Calibri"/>
          <w:b w:val="false"/>
          <w:bCs w:val="false"/>
          <w:i w:val="false"/>
          <w:iCs w:val="false"/>
          <w:color w:val="222222"/>
          <w:sz w:val="22"/>
          <w:szCs w:val="22"/>
        </w:rPr>
        <w:t xml:space="preserve">Preguntas de opinión o de orientación que no tienen una única respuesta correcta almacenada en Moodle. Se evalúa que la respuesta sea coherente, útil y no contradiga los datos reales de los cursos.</w:t>
      </w:r>
    </w:p>
    <w:p>
      <w:pPr>
        <w:spacing w:after="80" w:before="200"/>
      </w:pPr>
      <w:r>
        <w:rPr>
          <w:rFonts w:ascii="Calibri" w:cs="Calibri" w:eastAsia="Calibri" w:hAnsi="Calibri"/>
          <w:b/>
          <w:bCs/>
          <w:color w:val="24425E"/>
          <w:sz w:val="22"/>
          <w:szCs w:val="22"/>
        </w:rPr>
        <w:t xml:space="preserve">Caso 13 — Pregunta abierta / subjetiva</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“¿Por qué es importante estudiar Lectura Crítica para el Saber 11?”</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1:34</w:t>
      </w:r>
    </w:p>
    <w:p>
      <w:pPr>
        <w:spacing w:after="60" w:before="160"/>
        <w:jc w:val="center"/>
      </w:pPr>
      <w:r>
        <w:drawing>
          <wp:inline distT="0" distB="0" distL="0" distR="0">
            <wp:extent cx="40005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13.</w:t>
      </w:r>
    </w:p>
    <w:p>
      <w:pPr>
        <w:spacing w:after="80" w:before="200"/>
      </w:pPr>
      <w:r>
        <w:rPr>
          <w:rFonts w:ascii="Calibri" w:cs="Calibri" w:eastAsia="Calibri" w:hAnsi="Calibri"/>
          <w:b/>
          <w:bCs/>
          <w:color w:val="24425E"/>
          <w:sz w:val="22"/>
          <w:szCs w:val="22"/>
        </w:rPr>
        <w:t xml:space="preserve">Caso 14 — Pregunta abierta / subjetiva</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“¿Qué tan difícil es el curso de Ciencias Naturales?”</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2:32</w:t>
      </w:r>
    </w:p>
    <w:p>
      <w:pPr>
        <w:spacing w:after="60" w:before="160"/>
        <w:jc w:val="center"/>
      </w:pPr>
      <w:r>
        <w:drawing>
          <wp:inline distT="0" distB="0" distL="0" distR="0">
            <wp:extent cx="4000500" cy="2057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14.</w:t>
      </w:r>
    </w:p>
    <w:p>
      <w:pPr>
        <w:spacing w:after="80" w:before="200"/>
      </w:pPr>
      <w:r>
        <w:rPr>
          <w:rFonts w:ascii="Calibri" w:cs="Calibri" w:eastAsia="Calibri" w:hAnsi="Calibri"/>
          <w:b/>
          <w:bCs/>
          <w:color w:val="24425E"/>
          <w:sz w:val="22"/>
          <w:szCs w:val="22"/>
        </w:rPr>
        <w:t xml:space="preserve">Caso 15 — Pregunta abierta / subjetiva</w:t>
      </w:r>
    </w:p>
    <w:p>
      <w:pPr>
        <w:spacing w:after="160" w:line="288"/>
        <w:jc w:val="both"/>
      </w:pPr>
      <w:r>
        <w:rPr>
          <w:rFonts w:ascii="Calibri" w:cs="Calibri" w:eastAsia="Calibri" w:hAnsi="Calibri"/>
          <w:b/>
          <w:bCs/>
          <w:sz w:val="21"/>
          <w:szCs w:val="21"/>
        </w:rPr>
        <w:t xml:space="preserve">Entrada: </w:t>
      </w:r>
      <w:r>
        <w:rPr>
          <w:rFonts w:ascii="Calibri" w:cs="Calibri" w:eastAsia="Calibri" w:hAnsi="Calibri"/>
          <w:i/>
          <w:iCs/>
          <w:sz w:val="21"/>
          <w:szCs w:val="21"/>
        </w:rPr>
        <w:t xml:space="preserve">“Recomiéndame por cuál curso empezar”</w:t>
      </w:r>
    </w:p>
    <w:p>
      <w:pPr>
        <w:spacing w:after="160" w:line="288"/>
        <w:jc w:val="both"/>
      </w:pPr>
      <w:r>
        <w:rPr>
          <w:rFonts w:ascii="Calibri" w:cs="Calibri" w:eastAsia="Calibri" w:hAnsi="Calibri"/>
          <w:b/>
          <w:bCs/>
          <w:sz w:val="21"/>
          <w:szCs w:val="21"/>
        </w:rPr>
        <w:t xml:space="preserve">Resultado: </w:t>
      </w:r>
      <w:r>
        <w:rPr>
          <w:rFonts w:ascii="Calibri" w:cs="Calibri" w:eastAsia="Calibri" w:hAnsi="Calibri"/>
          <w:sz w:val="21"/>
          <w:szCs w:val="21"/>
        </w:rPr>
        <w:t xml:space="preserve">Correcto  ·  Tiempo: 3:23</w:t>
      </w:r>
    </w:p>
    <w:p>
      <w:pPr>
        <w:spacing w:after="60" w:before="160"/>
        <w:jc w:val="center"/>
      </w:pPr>
      <w:r>
        <w:drawing>
          <wp:inline distT="0" distB="0" distL="0" distR="0">
            <wp:extent cx="4000500" cy="2066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066925"/>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15 (respuesta larga, capturada en dos tomas). (1/2)</w:t>
      </w:r>
    </w:p>
    <w:p>
      <w:pPr>
        <w:spacing w:after="60" w:before="160"/>
        <w:jc w:val="center"/>
      </w:pPr>
      <w:r>
        <w:drawing>
          <wp:inline distT="0" distB="0" distL="0" distR="0">
            <wp:extent cx="4000500" cy="2057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0574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Caso 15 (respuesta larga, capturada en dos tomas). (2/2)</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7. Gestión de sesión e historial de conversaciones</w:t>
      </w:r>
    </w:p>
    <w:p>
      <w:pPr>
        <w:spacing w:after="160" w:line="288"/>
        <w:jc w:val="both"/>
      </w:pPr>
      <w:r>
        <w:rPr>
          <w:rFonts w:ascii="Calibri" w:cs="Calibri" w:eastAsia="Calibri" w:hAnsi="Calibri"/>
          <w:b w:val="false"/>
          <w:bCs w:val="false"/>
          <w:i w:val="false"/>
          <w:iCs w:val="false"/>
          <w:color w:val="222222"/>
          <w:sz w:val="22"/>
          <w:szCs w:val="22"/>
        </w:rPr>
        <w:t xml:space="preserve">Capturas de las reglas de sesión y del panel de historial. Se tomaron sobre una página de prueba que simula la sesión de Moodle (usuario y sesión intercambiables), conectada a los workflows de n8n y al bridge reales; por eso se ve el encabezado «Moodle simulado (solo pruebas)». Corresponden a las pruebas H1 a H6 del Informe de Pruebas Funcionales (Anexo C).</w:t>
      </w:r>
    </w:p>
    <w:p>
      <w:pPr>
        <w:pStyle w:val="Heading2"/>
        <w:spacing w:after="140" w:before="320"/>
      </w:pPr>
      <w:r>
        <w:rPr>
          <w:rFonts w:ascii="Calibri" w:cs="Calibri" w:eastAsia="Calibri" w:hAnsi="Calibri"/>
          <w:b/>
          <w:bCs/>
          <w:color w:val="4E95C2"/>
          <w:sz w:val="24"/>
          <w:szCs w:val="24"/>
        </w:rPr>
        <w:t xml:space="preserve">Chat actual dentro de la sesión (H1)</w:t>
      </w:r>
    </w:p>
    <w:p>
      <w:pPr>
        <w:spacing w:after="160" w:line="288"/>
        <w:jc w:val="both"/>
      </w:pPr>
      <w:r>
        <w:rPr>
          <w:rFonts w:ascii="Calibri" w:cs="Calibri" w:eastAsia="Calibri" w:hAnsi="Calibri"/>
          <w:b w:val="false"/>
          <w:bCs w:val="false"/>
          <w:i w:val="false"/>
          <w:iCs w:val="false"/>
          <w:color w:val="222222"/>
          <w:sz w:val="22"/>
          <w:szCs w:val="22"/>
        </w:rPr>
        <w:t xml:space="preserve">Mientras la sesión sea la misma, el chat en curso se conserva. Se muestran los botones de Historial (reloj) y Nueva conversación (+) en la cabecera.</w:t>
      </w:r>
    </w:p>
    <w:p>
      <w:pPr>
        <w:spacing w:after="60" w:before="160"/>
        <w:jc w:val="center"/>
      </w:pPr>
      <w:r>
        <w:drawing>
          <wp:inline distT="0" distB="0" distL="0" distR="0">
            <wp:extent cx="4000500" cy="4000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40005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Chat actual de un usuario (Alice) con saludo y consulta de cursos resueltos de forma inmediata.</w:t>
      </w:r>
    </w:p>
    <w:p>
      <w:pPr>
        <w:pStyle w:val="Heading2"/>
        <w:spacing w:after="140" w:before="320"/>
      </w:pPr>
      <w:r>
        <w:rPr>
          <w:rFonts w:ascii="Calibri" w:cs="Calibri" w:eastAsia="Calibri" w:hAnsi="Calibri"/>
          <w:b/>
          <w:bCs/>
          <w:color w:val="4E95C2"/>
          <w:sz w:val="24"/>
          <w:szCs w:val="24"/>
        </w:rPr>
        <w:t xml:space="preserve">Panel de historial (H2, H3, H6)</w:t>
      </w:r>
    </w:p>
    <w:p>
      <w:pPr>
        <w:spacing w:after="160" w:line="288"/>
        <w:jc w:val="both"/>
      </w:pPr>
      <w:r>
        <w:rPr>
          <w:rFonts w:ascii="Calibri" w:cs="Calibri" w:eastAsia="Calibri" w:hAnsi="Calibri"/>
          <w:b w:val="false"/>
          <w:bCs w:val="false"/>
          <w:i w:val="false"/>
          <w:iCs w:val="false"/>
          <w:color w:val="222222"/>
          <w:sz w:val="22"/>
          <w:szCs w:val="22"/>
        </w:rPr>
        <w:t xml:space="preserve">El panel lista las conversaciones anteriores del usuario, con título, fecha y número de mensajes; la actual aparece resaltada. Cada una puede retomarse (clic) o borrarse (icono de papelera), y existe un botón para borrar todo el historial. Una nota informa la purga automática a los 30 días.</w:t>
      </w:r>
    </w:p>
    <w:p>
      <w:pPr>
        <w:spacing w:after="60" w:before="160"/>
        <w:jc w:val="center"/>
      </w:pPr>
      <w:r>
        <w:drawing>
          <wp:inline distT="0" distB="0" distL="0" distR="0">
            <wp:extent cx="4000500" cy="4000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40005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Panel de historial con cuatro conversaciones del usuario (la más reciente marcada como actual).</w:t>
      </w:r>
    </w:p>
    <w:p>
      <w:pPr>
        <w:pStyle w:val="Heading2"/>
        <w:spacing w:after="140" w:before="320"/>
      </w:pPr>
      <w:r>
        <w:rPr>
          <w:rFonts w:ascii="Calibri" w:cs="Calibri" w:eastAsia="Calibri" w:hAnsi="Calibri"/>
          <w:b/>
          <w:bCs/>
          <w:color w:val="4E95C2"/>
          <w:sz w:val="24"/>
          <w:szCs w:val="24"/>
        </w:rPr>
        <w:t xml:space="preserve">Nuevo inicio de sesión (H2)</w:t>
      </w:r>
    </w:p>
    <w:p>
      <w:pPr>
        <w:spacing w:after="160" w:line="288"/>
        <w:jc w:val="both"/>
      </w:pPr>
      <w:r>
        <w:rPr>
          <w:rFonts w:ascii="Calibri" w:cs="Calibri" w:eastAsia="Calibri" w:hAnsi="Calibri"/>
          <w:b w:val="false"/>
          <w:bCs w:val="false"/>
          <w:i w:val="false"/>
          <w:iCs w:val="false"/>
          <w:color w:val="222222"/>
          <w:sz w:val="22"/>
          <w:szCs w:val="22"/>
        </w:rPr>
        <w:t xml:space="preserve">Al iniciar una sesión nueva, el chat arranca vacío; la conversación anterior sigue disponible en el historial.</w:t>
      </w:r>
    </w:p>
    <w:p>
      <w:pPr>
        <w:spacing w:after="60" w:before="160"/>
        <w:jc w:val="center"/>
      </w:pPr>
      <w:r>
        <w:drawing>
          <wp:inline distT="0" distB="0" distL="0" distR="0">
            <wp:extent cx="4000500" cy="4000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40005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Sesión 2 del mismo usuario: chat vacío.</w:t>
      </w:r>
    </w:p>
    <w:p>
      <w:pPr>
        <w:spacing w:after="60" w:before="160"/>
        <w:jc w:val="center"/>
      </w:pPr>
      <w:r>
        <w:drawing>
          <wp:inline distT="0" distB="0" distL="0" distR="0">
            <wp:extent cx="4000500" cy="400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4000500"/>
                    </a:xfrm>
                    <a:prstGeom prst="rect">
                      <a:avLst/>
                    </a:prstGeom>
                  </pic:spPr>
                </pic:pic>
              </a:graphicData>
            </a:graphic>
          </wp:inline>
        </w:drawing>
      </w:r>
    </w:p>
    <w:p>
      <w:pPr>
        <w:spacing w:after="220"/>
        <w:jc w:val="center"/>
      </w:pPr>
      <w:r>
        <w:rPr>
          <w:rFonts w:ascii="Calibri" w:cs="Calibri" w:eastAsia="Calibri" w:hAnsi="Calibri"/>
          <w:i/>
          <w:iCs/>
          <w:color w:val="6B7A82"/>
          <w:sz w:val="19"/>
          <w:szCs w:val="19"/>
        </w:rPr>
        <w:t xml:space="preserve">Sesión 2: el historial conserva las conversaciones de la sesión anterior.</w:t>
      </w:r>
    </w:p>
    <w:p>
      <w:pPr>
        <w:pageBreakBefore/>
      </w:pPr>
    </w:p>
    <w:p>
      <w:pPr>
        <w:pStyle w:val="Heading1"/>
        <w:pBdr>
          <w:bottom w:val="single" w:color="D98E3A" w:sz="6" w:space="4"/>
        </w:pBdr>
        <w:spacing w:after="200" w:before="480"/>
      </w:pPr>
      <w:r>
        <w:rPr>
          <w:rFonts w:ascii="Calibri" w:cs="Calibri" w:eastAsia="Calibri" w:hAnsi="Calibri"/>
          <w:b/>
          <w:bCs/>
          <w:color w:val="24425E"/>
          <w:sz w:val="30"/>
          <w:szCs w:val="30"/>
        </w:rPr>
        <w:t xml:space="preserve">8. Resumen de resultados</w:t>
      </w:r>
    </w:p>
    <w:p>
      <w:pPr>
        <w:spacing w:after="160" w:line="288"/>
        <w:jc w:val="both"/>
      </w:pPr>
      <w:r>
        <w:rPr>
          <w:rFonts w:ascii="Calibri" w:cs="Calibri" w:eastAsia="Calibri" w:hAnsi="Calibri"/>
          <w:b w:val="false"/>
          <w:bCs w:val="false"/>
          <w:i w:val="false"/>
          <w:iCs w:val="false"/>
          <w:color w:val="222222"/>
          <w:sz w:val="22"/>
          <w:szCs w:val="22"/>
        </w:rPr>
        <w:t xml:space="preserve">La Tabla 1 consolida la precisión obtenida por categoría, calculada como el número de respuestas correctas sobre el total de casos evaluados en cada una.</w:t>
      </w:r>
    </w:p>
    <w:tbl>
      <w:tblPr>
        <w:tblW w:type="pct" w:w="500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1000"/>
        <w:gridCol w:w="1200"/>
        <w:gridCol w:w="1200"/>
        <w:gridCol w:w="2360"/>
      </w:tblGrid>
      <w:tr>
        <w:trPr>
          <w:tblHeader/>
        </w:trPr>
        <w:tc>
          <w:tcPr>
            <w:tcW w:type="dxa" w:w="3081"/>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Categoría</w:t>
            </w:r>
          </w:p>
        </w:tc>
        <w:tc>
          <w:tcPr>
            <w:tcW w:type="dxa" w:w="1185"/>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Casos</w:t>
            </w:r>
          </w:p>
        </w:tc>
        <w:tc>
          <w:tcPr>
            <w:tcW w:type="dxa" w:w="1422"/>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Correctos</w:t>
            </w:r>
          </w:p>
        </w:tc>
        <w:tc>
          <w:tcPr>
            <w:tcW w:type="dxa" w:w="1422"/>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Precisión</w:t>
            </w:r>
          </w:p>
        </w:tc>
        <w:tc>
          <w:tcPr>
            <w:tcW w:type="dxa" w:w="2796"/>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Tiempo de respuesta</w:t>
            </w:r>
          </w:p>
        </w:tc>
      </w:tr>
      <w:tr>
        <w:tc>
          <w:tcPr>
            <w:tcW w:type="dxa" w:w="3081"/>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 Saludo genérico</w:t>
            </w:r>
          </w:p>
        </w:tc>
        <w:tc>
          <w:tcPr>
            <w:tcW w:type="dxa" w:w="118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Inmediato (&lt; 1 s)</w:t>
            </w:r>
          </w:p>
        </w:tc>
      </w:tr>
      <w:tr>
        <w:tc>
          <w:tcPr>
            <w:tcW w:type="dxa" w:w="3081"/>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 Listado de cursos</w:t>
            </w:r>
          </w:p>
        </w:tc>
        <w:tc>
          <w:tcPr>
            <w:tcW w:type="dxa" w:w="1185"/>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Inmediato (&lt; 1 s)</w:t>
            </w:r>
          </w:p>
        </w:tc>
      </w:tr>
      <w:tr>
        <w:tc>
          <w:tcPr>
            <w:tcW w:type="dxa" w:w="3081"/>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 Detalle de unidades</w:t>
            </w:r>
          </w:p>
        </w:tc>
        <w:tc>
          <w:tcPr>
            <w:tcW w:type="dxa" w:w="118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Inmediato (&lt; 1 s)</w:t>
            </w:r>
          </w:p>
        </w:tc>
      </w:tr>
      <w:tr>
        <w:tc>
          <w:tcPr>
            <w:tcW w:type="dxa" w:w="3081"/>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 Fuera de alcance</w:t>
            </w:r>
          </w:p>
        </w:tc>
        <w:tc>
          <w:tcPr>
            <w:tcW w:type="dxa" w:w="1185"/>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Promedio 1:12</w:t>
            </w:r>
          </w:p>
        </w:tc>
      </w:tr>
      <w:tr>
        <w:tc>
          <w:tcPr>
            <w:tcW w:type="dxa" w:w="3081"/>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 Pregunta abierta / subjetiva</w:t>
            </w:r>
          </w:p>
        </w:tc>
        <w:tc>
          <w:tcPr>
            <w:tcW w:type="dxa" w:w="118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42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Promedio 2:30</w:t>
            </w:r>
          </w:p>
        </w:tc>
      </w:tr>
      <w:tr>
        <w:tc>
          <w:tcPr>
            <w:tcW w:type="dxa" w:w="3081"/>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Total</w:t>
            </w:r>
          </w:p>
        </w:tc>
        <w:tc>
          <w:tcPr>
            <w:tcW w:type="dxa" w:w="1185"/>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15</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15</w:t>
            </w:r>
          </w:p>
        </w:tc>
        <w:tc>
          <w:tcPr>
            <w:tcW w:type="dxa" w:w="1422"/>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100 %</w:t>
            </w:r>
          </w:p>
        </w:tc>
        <w:tc>
          <w:tcPr>
            <w:tcW w:type="dxa" w:w="2796"/>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t>
            </w:r>
          </w:p>
        </w:tc>
      </w:tr>
    </w:tbl>
    <w:p>
      <w:pPr>
        <w:spacing w:after="160" w:line="288"/>
        <w:jc w:val="both"/>
      </w:pPr>
      <w:r>
        <w:rPr>
          <w:rFonts w:ascii="Calibri" w:cs="Calibri" w:eastAsia="Calibri" w:hAnsi="Calibri"/>
          <w:b w:val="false"/>
          <w:bCs w:val="false"/>
          <w:i w:val="false"/>
          <w:iCs w:val="false"/>
          <w:color w:val="222222"/>
          <w:sz w:val="22"/>
          <w:szCs w:val="22"/>
        </w:rPr>
        <w:t xml:space="preserve">Los 15 casos de prueba evaluados resultaron correctos frente al criterio de aceptación definido, para una precisión global del 100 %.</w:t>
      </w:r>
    </w:p>
    <w:sectPr>
      <w:headerReference w:type="default" r:id="rId6"/>
      <w:footerReference w:type="default" r:id="rId7"/>
      <w:type w:val="nextPage"/>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2"/>
        <w:sz w:val="16"/>
        <w:szCs w:val="16"/>
      </w:rPr>
      <w:t xml:space="preserve">Plataforma Escuela Rural · Ada  —  página </w:t>
    </w:r>
    <w:r>
      <w:rPr>
        <w:rFonts w:ascii="Calibri" w:cs="Calibri" w:eastAsia="Calibri" w:hAnsi="Calibri"/>
        <w:color w:val="6B7A82"/>
        <w:sz w:val="16"/>
        <w:szCs w:val="16"/>
      </w:rPr>
      <w:fldChar w:fldCharType="begin"/>
      <w:instrText xml:space="preserve">PAGE</w:instrText>
      <w:fldChar w:fldCharType="separate"/>
      <w:fldChar w:fldCharType="end"/>
    </w:r>
    <w:r>
      <w:rPr>
        <w:rFonts w:ascii="Calibri" w:cs="Calibri" w:eastAsia="Calibri" w:hAnsi="Calibri"/>
        <w:color w:val="6B7A82"/>
        <w:sz w:val="16"/>
        <w:szCs w:val="16"/>
      </w:rPr>
      <w:t xml:space="preserve"> de </w:t>
    </w:r>
    <w:r>
      <w:rPr>
        <w:rFonts w:ascii="Calibri" w:cs="Calibri" w:eastAsia="Calibri" w:hAnsi="Calibri"/>
        <w:color w:val="6B7A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4E5" w:sz="4" w:space="4"/>
      </w:pBdr>
      <w:jc w:val="right"/>
    </w:pPr>
    <w:r>
      <w:rPr>
        <w:rFonts w:ascii="Calibri" w:cs="Calibri" w:eastAsia="Calibri" w:hAnsi="Calibri"/>
        <w:i/>
        <w:iCs/>
        <w:color w:val="6B7A82"/>
        <w:sz w:val="16"/>
        <w:szCs w:val="16"/>
      </w:rPr>
      <w:t xml:space="preserve">Anexo D — Evidencias de Pruebas Funcionales · 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28b0bfe40aca727355aad60c383ed53b65a05ae.png"/><Relationship Id="rId10" Type="http://schemas.openxmlformats.org/officeDocument/2006/relationships/image" Target="media/9f7343a7fc9f403f62fc2f187827c13633192d22.png"/><Relationship Id="rId11" Type="http://schemas.openxmlformats.org/officeDocument/2006/relationships/image" Target="media/751c7cc42b76b1aba0d4eec6086d8a542a68ffcd.png"/><Relationship Id="rId12" Type="http://schemas.openxmlformats.org/officeDocument/2006/relationships/image" Target="media/32e052b3dc7699b64646449e42d63f21aa990a39.png"/><Relationship Id="rId13" Type="http://schemas.openxmlformats.org/officeDocument/2006/relationships/image" Target="media/c35549c703017063b8f71d1828f1a30fe9eefc53.png"/><Relationship Id="rId14" Type="http://schemas.openxmlformats.org/officeDocument/2006/relationships/image" Target="media/a3064a3bcce3eb411a4b65133561d0c43babeb46.png"/><Relationship Id="rId15" Type="http://schemas.openxmlformats.org/officeDocument/2006/relationships/image" Target="media/bc5028659f2d701cd05b3ffba11790ad71fd4377.png"/><Relationship Id="rId16" Type="http://schemas.openxmlformats.org/officeDocument/2006/relationships/image" Target="media/d1e2c15147e8edae021705f43f4a579732c036be.png"/><Relationship Id="rId17" Type="http://schemas.openxmlformats.org/officeDocument/2006/relationships/image" Target="media/3b1d693136d4ba01c56815933a9eb44f17935b5d.png"/><Relationship Id="rId18" Type="http://schemas.openxmlformats.org/officeDocument/2006/relationships/image" Target="media/17b5d0e0475fdb40813d3233368faf1505919674.png"/><Relationship Id="rId19" Type="http://schemas.openxmlformats.org/officeDocument/2006/relationships/image" Target="media/e09c1ae5b9a6c589be00ec19c1539eafce82401f.png"/><Relationship Id="rId20" Type="http://schemas.openxmlformats.org/officeDocument/2006/relationships/image" Target="media/0cbc61db6bc592244fb99bc56944f4666f220e40.png"/><Relationship Id="rId21" Type="http://schemas.openxmlformats.org/officeDocument/2006/relationships/image" Target="media/6cc7478bf69252d139ff72209ffdd6401dc440c9.png"/><Relationship Id="rId22" Type="http://schemas.openxmlformats.org/officeDocument/2006/relationships/image" Target="media/47dda40ecc1b14243f0191498282bd503b43c3d1.png"/><Relationship Id="rId23" Type="http://schemas.openxmlformats.org/officeDocument/2006/relationships/image" Target="media/8163bf11c0de287167e83832e0ab28062f3626af.png"/><Relationship Id="rId24" Type="http://schemas.openxmlformats.org/officeDocument/2006/relationships/image" Target="media/fc54f577cb40e6035d446240f0df0e7d37e7f91e.png"/><Relationship Id="rId25" Type="http://schemas.openxmlformats.org/officeDocument/2006/relationships/image" Target="media/37ad8c631c67204c1ffad539e07ce93a0e43d6bc.png"/><Relationship Id="rId26" Type="http://schemas.openxmlformats.org/officeDocument/2006/relationships/image" Target="media/03b5c1b8dd7c3f7b70ef0a4c74c941dd86f39a46.png"/><Relationship Id="rId27" Type="http://schemas.openxmlformats.org/officeDocument/2006/relationships/image" Target="media/061d31330b8bb23b05d14657e27a7d774cd60c80.png"/><Relationship Id="rId28" Type="http://schemas.openxmlformats.org/officeDocument/2006/relationships/image" Target="media/48f5c668a92580f737b104a58983ce372d843cb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2026-10-16T16:38:05.899Z</dcterms:created>
  <dcterms:modified xsi:type="dcterms:W3CDTF">2026-10-16T16:38:05.901Z</dcterms:modified>
</cp:coreProperties>
</file>

<file path=docProps/custom.xml><?xml version="1.0" encoding="utf-8"?>
<Properties xmlns="http://schemas.openxmlformats.org/officeDocument/2006/custom-properties" xmlns:vt="http://schemas.openxmlformats.org/officeDocument/2006/docPropsVTypes"/>
</file>