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hd w:fill="24425E" w:val="clear"/>
        <w:spacing w:after="100" w:before="100"/>
        <w:jc w:val="center"/>
      </w:pPr>
      <w:r>
        <w:rPr>
          <w:rFonts w:ascii="Calibri" w:cs="Calibri" w:eastAsia="Calibri" w:hAnsi="Calibri"/>
          <w:b/>
          <w:bCs/>
          <w:color w:val="FFFFFF"/>
          <w:spacing w:val="20"/>
          <w:sz w:val="22"/>
          <w:szCs w:val="22"/>
        </w:rPr>
        <w:t xml:space="preserve">PLATAFORMA ESCUELA RURAL · ADA</w:t>
      </w:r>
    </w:p>
    <w:p>
      <w:pPr>
        <w:spacing w:before="600"/>
      </w:pPr>
    </w:p>
    <w:p>
      <w:pPr>
        <w:jc w:val="center"/>
      </w:pPr>
      <w:r>
        <w:rPr>
          <w:rFonts w:ascii="Calibri" w:cs="Calibri" w:eastAsia="Calibri" w:hAnsi="Calibri"/>
          <w:b/>
          <w:bCs/>
          <w:color w:val="24425E"/>
          <w:sz w:val="56"/>
          <w:szCs w:val="56"/>
        </w:rPr>
        <w:t xml:space="preserve">Evidencias de Pruebas Funcionales</w:t>
      </w:r>
    </w:p>
    <w:p>
      <w:pPr>
        <w:spacing w:after="200" w:before="300"/>
        <w:jc w:val="center"/>
      </w:pPr>
      <w:r>
        <w:rPr>
          <w:rFonts w:ascii="Calibri" w:cs="Calibri" w:eastAsia="Calibri" w:hAnsi="Calibri"/>
          <w:b w:val="false"/>
          <w:bCs w:val="false"/>
          <w:i/>
          <w:iCs/>
          <w:color w:val="4E95C2"/>
          <w:sz w:val="30"/>
          <w:szCs w:val="30"/>
        </w:rPr>
        <w:t xml:space="preserve">Anexo D — Capturas de pantalla de los 15 casos de prueba reportados en la sección de Resultados del informe final y de la gestión de sesión e historial</w:t>
      </w:r>
    </w:p>
    <w:p>
      <w:pPr>
        <w:pBdr>
          <w:top w:val="single" w:color="D98E3A" w:sz="12" w:space="12"/>
        </w:pBdr>
        <w:spacing w:before="900"/>
        <w:jc w:val="center"/>
      </w:pPr>
      <w:r>
        <w:rPr>
          <w:sz w:val="2"/>
          <w:szCs w:val="2"/>
        </w:rPr>
        <w:t xml:space="preserve"> </w:t>
      </w:r>
    </w:p>
    <w:p>
      <w:pPr>
        <w:spacing w:before="300"/>
        <w:jc w:val="center"/>
      </w:pPr>
      <w:r>
        <w:rPr>
          <w:rFonts w:ascii="Calibri" w:cs="Calibri" w:eastAsia="Calibri" w:hAnsi="Calibri"/>
          <w:color w:val="6B7A82"/>
          <w:sz w:val="22"/>
          <w:szCs w:val="22"/>
        </w:rPr>
        <w:t xml:space="preserve">Lessly Andrea Barba Cruz — Ingeniería de Sistemas</w:t>
      </w:r>
    </w:p>
    <w:p>
      <w:pPr>
        <w:spacing w:before="60"/>
        <w:jc w:val="center"/>
      </w:pPr>
      <w:r>
        <w:rPr>
          <w:rFonts w:ascii="Calibri" w:cs="Calibri" w:eastAsia="Calibri" w:hAnsi="Calibri"/>
          <w:color w:val="6B7A82"/>
          <w:sz w:val="22"/>
          <w:szCs w:val="22"/>
        </w:rPr>
        <w:t xml:space="preserve">Unidades Tecnológicas de Santander</w:t>
      </w:r>
    </w:p>
    <w:p>
      <w:pPr>
        <w:spacing w:before="60"/>
        <w:jc w:val="center"/>
      </w:pPr>
      <w:r>
        <w:rPr>
          <w:rFonts w:ascii="Calibri" w:cs="Calibri" w:eastAsia="Calibri" w:hAnsi="Calibri"/>
          <w:color w:val="6B7A82"/>
          <w:sz w:val="22"/>
          <w:szCs w:val="22"/>
        </w:rPr>
        <w:t xml:space="preserve">Bucaramanga, septiembre de 2026</w:t>
      </w:r>
    </w:p>
    <w:p>
      <w:pPr>
        <w:pageBreakBefore/>
        <w:sectPr>
          <w:type w:val="nextPage"/>
          <w:pgSz w:w="11906" w:h="16838" w:orient="portrait"/>
          <w:pgMar w:top="1440" w:right="1440" w:bottom="1440" w:left="1440" w:header="708" w:footer="708" w:gutter="0"/>
          <w:pgNumType/>
          <w:docGrid w:linePitch="360"/>
        </w:sectPr>
      </w:pPr>
    </w:p>
    <w:p>
      <w:pPr>
        <w:pStyle w:val="Heading1"/>
        <w:pBdr>
          <w:bottom w:val="single" w:color="D98E3A" w:sz="6" w:space="4"/>
        </w:pBdr>
        <w:spacing w:after="200" w:before="480"/>
      </w:pPr>
      <w:r>
        <w:rPr>
          <w:rFonts w:ascii="Calibri" w:cs="Calibri" w:eastAsia="Calibri" w:hAnsi="Calibri"/>
          <w:b/>
          <w:bCs/>
          <w:color w:val="24425E"/>
          <w:sz w:val="30"/>
          <w:szCs w:val="30"/>
        </w:rPr>
        <w:t xml:space="preserve">1. Introducción</w:t>
      </w:r>
    </w:p>
    <w:p>
      <w:pPr>
        <w:spacing w:after="160" w:line="288"/>
        <w:jc w:val="both"/>
      </w:pPr>
      <w:r>
        <w:rPr>
          <w:rFonts w:ascii="Calibri" w:cs="Calibri" w:eastAsia="Calibri" w:hAnsi="Calibri"/>
          <w:b w:val="false"/>
          <w:bCs w:val="false"/>
          <w:i w:val="false"/>
          <w:iCs w:val="false"/>
          <w:color w:val="222222"/>
          <w:sz w:val="22"/>
          <w:szCs w:val="22"/>
        </w:rPr>
        <w:t xml:space="preserve">El presente anexo contiene la evidencia fotográfica de los 15 casos de prueba ejecutados sobre el asistente Ada, organizados en las mismas cinco categorías reportadas en la Tabla 1 (Matriz de casos de prueba) de la sección de Resultados del informe final. Cada caso incluye la entrada exacta escrita por el usuario, la captura de pantalla de la conversación resultante, el veredicto de corrección frente al criterio de aceptación definido, y el tiempo observado. Las capturas se tomaron en el Moodle real del piloto (localhost:8080, dos cursos, con la sesión iniciada). En los casos 1 a 9 la respuesta del sistema es inmediata (menos de un segundo) y el tiempo indicado, medido con cronómetro, es el de punta a punta (escribir, esperar y leer); en los casos 10 a 15 la respuesta la genera el modelo de lenguaje y ese tiempo corresponde casi por completo a su generación.</w:t>
      </w:r>
    </w:p>
    <w:tbl>
      <w:tblPr>
        <w:tblW w:type="pct" w:w="5000"/>
        <w:tblBorders>
          <w:top w:val="single" w:color="4E95C2" w:sz="4"/>
          <w:left w:val="single" w:color="4E95C2" w:sz="24"/>
          <w:bottom w:val="single" w:color="4E95C2" w:sz="4"/>
          <w:right w:val="single" w:color="4E95C2" w:sz="4"/>
          <w:insideH w:val="single" w:color="auto" w:sz="4"/>
          <w:insideV w:val="single" w:color="auto" w:sz="4"/>
        </w:tblBorders>
      </w:tblPr>
      <w:tblGrid>
        <w:gridCol w:w="9906"/>
      </w:tblGrid>
      <w:tr>
        <w:tc>
          <w:tcPr>
            <w:shd w:fill="EAF2F8"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Criterio de aceptación</w:t>
            </w:r>
          </w:p>
          <w:p>
            <w:pPr>
              <w:spacing w:after="40" w:line="264"/>
              <w:jc w:val="both"/>
            </w:pPr>
            <w:r>
              <w:rPr>
                <w:rFonts w:ascii="Calibri" w:cs="Calibri" w:eastAsia="Calibri" w:hAnsi="Calibri"/>
                <w:color w:val="333333"/>
                <w:sz w:val="21"/>
                <w:szCs w:val="21"/>
              </w:rPr>
              <w:t xml:space="preserve">•  Se considera una respuesta correcta cuando contiene la totalidad de los datos solicitados (nombre del curso, unidades, porcentajes o contenidos, según corresponda) sin errores frente a la información real almacenada en Moodle.</w:t>
            </w:r>
          </w:p>
        </w:tc>
      </w:tr>
    </w:tbl>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2. Categoría 1 — Saludo genérico</w:t>
      </w:r>
    </w:p>
    <w:p>
      <w:pPr>
        <w:spacing w:after="160" w:line="288"/>
        <w:jc w:val="both"/>
      </w:pPr>
      <w:r>
        <w:rPr>
          <w:rFonts w:ascii="Calibri" w:cs="Calibri" w:eastAsia="Calibri" w:hAnsi="Calibri"/>
          <w:b w:val="false"/>
          <w:bCs w:val="false"/>
          <w:i w:val="false"/>
          <w:iCs w:val="false"/>
          <w:color w:val="222222"/>
          <w:sz w:val="22"/>
          <w:szCs w:val="22"/>
        </w:rPr>
        <w:t xml:space="preserve">Tres formulaciones distintas de un saludo simple. Se espera una respuesta de bienvenida instantánea, sin datos específicos de cursos.</w:t>
      </w:r>
    </w:p>
    <w:p>
      <w:pPr>
        <w:spacing w:after="80" w:before="200"/>
      </w:pPr>
      <w:r>
        <w:rPr>
          <w:rFonts w:ascii="Calibri" w:cs="Calibri" w:eastAsia="Calibri" w:hAnsi="Calibri"/>
          <w:b/>
          <w:bCs/>
          <w:color w:val="24425E"/>
          <w:sz w:val="22"/>
          <w:szCs w:val="22"/>
        </w:rPr>
        <w:t xml:space="preserve">Caso 1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“hola”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5 s</w:t>
      </w:r>
    </w:p>
    <w:p>
      <w:pPr>
        <w:spacing w:after="60" w:before="160"/>
        <w:jc w:val="center"/>
      </w:pPr>
      <w:r>
        <w:drawing>
          <wp:inline distT="0" distB="0" distL="0" distR="0">
            <wp:extent cx="4000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 — saludo con “hola”.</w:t>
      </w:r>
    </w:p>
    <w:p>
      <w:pPr>
        <w:spacing w:after="80" w:before="200"/>
      </w:pPr>
      <w:r>
        <w:rPr>
          <w:rFonts w:ascii="Calibri" w:cs="Calibri" w:eastAsia="Calibri" w:hAnsi="Calibri"/>
          <w:b/>
          <w:bCs/>
          <w:color w:val="24425E"/>
          <w:sz w:val="22"/>
          <w:szCs w:val="22"/>
        </w:rPr>
        <w:t xml:space="preserve">Caso 2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“buenos días”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10 s</w:t>
      </w:r>
    </w:p>
    <w:p>
      <w:pPr>
        <w:spacing w:after="60" w:before="160"/>
        <w:jc w:val="center"/>
      </w:pPr>
      <w:r>
        <w:drawing>
          <wp:inline distT="0" distB="0" distL="0" distR="0">
            <wp:extent cx="4000500" cy="2000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2 — saludo con “buenos días”.</w:t>
      </w:r>
    </w:p>
    <w:p>
      <w:pPr>
        <w:spacing w:after="80" w:before="200"/>
      </w:pPr>
      <w:r>
        <w:rPr>
          <w:rFonts w:ascii="Calibri" w:cs="Calibri" w:eastAsia="Calibri" w:hAnsi="Calibri"/>
          <w:b/>
          <w:bCs/>
          <w:color w:val="24425E"/>
          <w:sz w:val="22"/>
          <w:szCs w:val="22"/>
        </w:rPr>
        <w:t xml:space="preserve">Caso 3 — Saludo genérico</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“Hey”</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5 s</w:t>
      </w:r>
    </w:p>
    <w:p>
      <w:pPr>
        <w:spacing w:after="60" w:before="160"/>
        <w:jc w:val="center"/>
      </w:pPr>
      <w:r>
        <w:drawing>
          <wp:inline distT="0" distB="0" distL="0" distR="0">
            <wp:extent cx="4000500" cy="20097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3 — saludo con “Hey”.</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3. Categoría 2 — Listado de cursos</w:t>
      </w:r>
    </w:p>
    <w:p>
      <w:pPr>
        <w:spacing w:after="160" w:line="288"/>
        <w:jc w:val="both"/>
      </w:pPr>
      <w:r>
        <w:rPr>
          <w:rFonts w:ascii="Calibri" w:cs="Calibri" w:eastAsia="Calibri" w:hAnsi="Calibri"/>
          <w:b w:val="false"/>
          <w:bCs w:val="false"/>
          <w:i w:val="false"/>
          <w:iCs w:val="false"/>
          <w:color w:val="222222"/>
          <w:sz w:val="22"/>
          <w:szCs w:val="22"/>
        </w:rPr>
        <w:t xml:space="preserve">Tres formas distintas de preguntar por la oferta académica disponible. Se espera la mención de los dos cursos reales de la Plataforma Escuela Rural.</w:t>
      </w:r>
    </w:p>
    <w:p>
      <w:pPr>
        <w:spacing w:after="80" w:before="200"/>
      </w:pPr>
      <w:r>
        <w:rPr>
          <w:rFonts w:ascii="Calibri" w:cs="Calibri" w:eastAsia="Calibri" w:hAnsi="Calibri"/>
          <w:b/>
          <w:bCs/>
          <w:color w:val="24425E"/>
          <w:sz w:val="22"/>
          <w:szCs w:val="22"/>
        </w:rPr>
        <w:t xml:space="preserve">Caso 4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“¿Cuáles son los cursos disponibles?”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20 s</w:t>
      </w:r>
    </w:p>
    <w:p>
      <w:pPr>
        <w:spacing w:after="60" w:before="160"/>
        <w:jc w:val="center"/>
      </w:pPr>
      <w:r>
        <w:drawing>
          <wp:inline distT="0" distB="0" distL="0" distR="0">
            <wp:extent cx="4000500" cy="2009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4.</w:t>
      </w:r>
    </w:p>
    <w:p>
      <w:pPr>
        <w:spacing w:after="80" w:before="200"/>
      </w:pPr>
      <w:r>
        <w:rPr>
          <w:rFonts w:ascii="Calibri" w:cs="Calibri" w:eastAsia="Calibri" w:hAnsi="Calibri"/>
          <w:b/>
          <w:bCs/>
          <w:color w:val="24425E"/>
          <w:sz w:val="22"/>
          <w:szCs w:val="22"/>
        </w:rPr>
        <w:t xml:space="preserve">Caso 5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cursos hay?”</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18 s</w:t>
      </w:r>
    </w:p>
    <w:p>
      <w:pPr>
        <w:spacing w:after="60" w:before="160"/>
        <w:jc w:val="center"/>
      </w:pPr>
      <w:r>
        <w:drawing>
          <wp:inline distT="0" distB="0" distL="0" distR="0">
            <wp:extent cx="4000500" cy="2000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5.</w:t>
      </w:r>
    </w:p>
    <w:p>
      <w:pPr>
        <w:spacing w:after="80" w:before="200"/>
      </w:pPr>
      <w:r>
        <w:rPr>
          <w:rFonts w:ascii="Calibri" w:cs="Calibri" w:eastAsia="Calibri" w:hAnsi="Calibri"/>
          <w:b/>
          <w:bCs/>
          <w:color w:val="24425E"/>
          <w:sz w:val="22"/>
          <w:szCs w:val="22"/>
        </w:rPr>
        <w:t xml:space="preserve">Caso 6 — Listado de cursos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“Cuéntame qué cursos tienen”</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14 s</w:t>
      </w:r>
    </w:p>
    <w:p>
      <w:pPr>
        <w:spacing w:after="60" w:before="160"/>
        <w:jc w:val="center"/>
      </w:pPr>
      <w:r>
        <w:drawing>
          <wp:inline distT="0" distB="0" distL="0" distR="0">
            <wp:extent cx="4000500" cy="2000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6.</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4. Categoría 3 — Detalle de unidades</w:t>
      </w:r>
    </w:p>
    <w:p>
      <w:pPr>
        <w:spacing w:after="160" w:line="288"/>
        <w:jc w:val="both"/>
      </w:pPr>
      <w:r>
        <w:rPr>
          <w:rFonts w:ascii="Calibri" w:cs="Calibri" w:eastAsia="Calibri" w:hAnsi="Calibri"/>
          <w:b w:val="false"/>
          <w:bCs w:val="false"/>
          <w:i w:val="false"/>
          <w:iCs w:val="false"/>
          <w:color w:val="222222"/>
          <w:sz w:val="22"/>
          <w:szCs w:val="22"/>
        </w:rPr>
        <w:t xml:space="preserve">Consultas puntuales sobre el contenido interno de un curso (número de unidades, porcentajes de evaluación y temas). Se espera una respuesta completa y exacta frente a los datos reales de Moodle.</w:t>
      </w:r>
    </w:p>
    <w:p>
      <w:pPr>
        <w:spacing w:after="80" w:before="200"/>
      </w:pPr>
      <w:r>
        <w:rPr>
          <w:rFonts w:ascii="Calibri" w:cs="Calibri" w:eastAsia="Calibri" w:hAnsi="Calibri"/>
          <w:b/>
          <w:bCs/>
          <w:color w:val="24425E"/>
          <w:sz w:val="22"/>
          <w:szCs w:val="22"/>
        </w:rPr>
        <w:t xml:space="preserve">Caso 7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“¿Cuántas unidades tiene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16 s</w:t>
      </w:r>
    </w:p>
    <w:p>
      <w:pPr>
        <w:spacing w:after="60" w:before="160"/>
        <w:jc w:val="center"/>
      </w:pPr>
      <w:r>
        <w:drawing>
          <wp:inline distT="0" distB="0" distL="0" distR="0">
            <wp:extent cx="4000500" cy="2000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7 — respuesta completa (1/2)</w:t>
      </w:r>
    </w:p>
    <w:p>
      <w:pPr>
        <w:spacing w:after="60" w:before="160"/>
        <w:jc w:val="center"/>
      </w:pPr>
      <w:r>
        <w:drawing>
          <wp:inline distT="0" distB="0" distL="0" distR="0">
            <wp:extent cx="4000500" cy="2009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7 — respuesta completa (2/2)</w:t>
      </w:r>
    </w:p>
    <w:p>
      <w:pPr>
        <w:spacing w:after="80" w:before="200"/>
      </w:pPr>
      <w:r>
        <w:rPr>
          <w:rFonts w:ascii="Calibri" w:cs="Calibri" w:eastAsia="Calibri" w:hAnsi="Calibri"/>
          <w:b/>
          <w:bCs/>
          <w:color w:val="24425E"/>
          <w:sz w:val="22"/>
          <w:szCs w:val="22"/>
        </w:rPr>
        <w:t xml:space="preserve">Caso 8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“Descríbeme el curso de Lectura Crítica, cuántas unidades tiene y qué contenidos”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16 s</w:t>
      </w:r>
    </w:p>
    <w:p>
      <w:pPr>
        <w:spacing w:after="60" w:before="160"/>
        <w:jc w:val="center"/>
      </w:pPr>
      <w:r>
        <w:drawing>
          <wp:inline distT="0" distB="0" distL="0" distR="0">
            <wp:extent cx="4000500" cy="20002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8 — respuesta completa (1/2)</w:t>
      </w:r>
    </w:p>
    <w:p>
      <w:pPr>
        <w:spacing w:after="60" w:before="160"/>
        <w:jc w:val="center"/>
      </w:pPr>
      <w:r>
        <w:drawing>
          <wp:inline distT="0" distB="0" distL="0" distR="0">
            <wp:extent cx="4000500" cy="2009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8 — respuesta completa (2/2)</w:t>
      </w:r>
    </w:p>
    <w:p>
      <w:pPr>
        <w:spacing w:after="80" w:before="200"/>
      </w:pPr>
      <w:r>
        <w:rPr>
          <w:rFonts w:ascii="Calibri" w:cs="Calibri" w:eastAsia="Calibri" w:hAnsi="Calibri"/>
          <w:b/>
          <w:bCs/>
          <w:color w:val="24425E"/>
          <w:sz w:val="22"/>
          <w:szCs w:val="22"/>
        </w:rPr>
        <w:t xml:space="preserve">Caso 9 — Detalle de unidades</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unidades tiene el curso de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Sistema &lt; 1 s; total 16 s</w:t>
      </w:r>
    </w:p>
    <w:p>
      <w:pPr>
        <w:spacing w:after="60" w:before="160"/>
        <w:jc w:val="center"/>
      </w:pPr>
      <w:r>
        <w:drawing>
          <wp:inline distT="0" distB="0" distL="0" distR="0">
            <wp:extent cx="4000500" cy="19907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19907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9 — respuesta completa (1/2)</w:t>
      </w:r>
    </w:p>
    <w:p>
      <w:pPr>
        <w:spacing w:after="60" w:before="160"/>
        <w:jc w:val="center"/>
      </w:pPr>
      <w:r>
        <w:drawing>
          <wp:inline distT="0" distB="0" distL="0" distR="0">
            <wp:extent cx="4000500" cy="2009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9 — respuesta completa (2/2)</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5. Categoría 4 — Fuera de alcance</w:t>
      </w:r>
    </w:p>
    <w:p>
      <w:pPr>
        <w:spacing w:after="160" w:line="288"/>
        <w:jc w:val="both"/>
      </w:pPr>
      <w:r>
        <w:rPr>
          <w:rFonts w:ascii="Calibri" w:cs="Calibri" w:eastAsia="Calibri" w:hAnsi="Calibri"/>
          <w:b w:val="false"/>
          <w:bCs w:val="false"/>
          <w:i w:val="false"/>
          <w:iCs w:val="false"/>
          <w:color w:val="222222"/>
          <w:sz w:val="22"/>
          <w:szCs w:val="22"/>
        </w:rPr>
        <w:t xml:space="preserve">Preguntas ajenas al contexto académico de la plataforma. Se espera que Ada rechace cordialmente la solicitud y redirija la conversación hacia los cursos disponibles, sin alucinar contenido.</w:t>
      </w:r>
    </w:p>
    <w:p>
      <w:pPr>
        <w:spacing w:after="80" w:before="200"/>
      </w:pPr>
      <w:r>
        <w:rPr>
          <w:rFonts w:ascii="Calibri" w:cs="Calibri" w:eastAsia="Calibri" w:hAnsi="Calibri"/>
          <w:b/>
          <w:bCs/>
          <w:color w:val="24425E"/>
          <w:sz w:val="22"/>
          <w:szCs w:val="22"/>
        </w:rPr>
        <w:t xml:space="preserve">Caso 10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“¿Me das una receta de pizza?”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1:02</w:t>
      </w:r>
    </w:p>
    <w:p>
      <w:pPr>
        <w:spacing w:after="60" w:before="160"/>
        <w:jc w:val="center"/>
      </w:pPr>
      <w:r>
        <w:drawing>
          <wp:inline distT="0" distB="0" distL="0" distR="0">
            <wp:extent cx="4000500" cy="20097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10.</w:t>
      </w:r>
    </w:p>
    <w:p>
      <w:pPr>
        <w:spacing w:after="80" w:before="200"/>
      </w:pPr>
      <w:r>
        <w:rPr>
          <w:rFonts w:ascii="Calibri" w:cs="Calibri" w:eastAsia="Calibri" w:hAnsi="Calibri"/>
          <w:b/>
          <w:bCs/>
          <w:color w:val="24425E"/>
          <w:sz w:val="22"/>
          <w:szCs w:val="22"/>
        </w:rPr>
        <w:t xml:space="preserve">Caso 11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“¿Cuál es la capital de Francia?”</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0:57</w:t>
      </w:r>
    </w:p>
    <w:p>
      <w:pPr>
        <w:spacing w:after="60" w:before="160"/>
        <w:jc w:val="center"/>
      </w:pPr>
      <w:r>
        <w:drawing>
          <wp:inline distT="0" distB="0" distL="0" distR="0">
            <wp:extent cx="4000500" cy="2009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11.</w:t>
      </w:r>
    </w:p>
    <w:p>
      <w:pPr>
        <w:spacing w:after="80" w:before="200"/>
      </w:pPr>
      <w:r>
        <w:rPr>
          <w:rFonts w:ascii="Calibri" w:cs="Calibri" w:eastAsia="Calibri" w:hAnsi="Calibri"/>
          <w:b/>
          <w:bCs/>
          <w:color w:val="24425E"/>
          <w:sz w:val="22"/>
          <w:szCs w:val="22"/>
        </w:rPr>
        <w:t xml:space="preserve">Caso 12 — Fuera de alcance</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“Ayúdame con mi tarea de matemáticas”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1:17</w:t>
      </w:r>
    </w:p>
    <w:p>
      <w:pPr>
        <w:spacing w:after="60" w:before="160"/>
        <w:jc w:val="center"/>
      </w:pPr>
      <w:r>
        <w:drawing>
          <wp:inline distT="0" distB="0" distL="0" distR="0">
            <wp:extent cx="4000500" cy="2009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12.</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6. Categoría 5 — Pregunta abierta / subjetiva</w:t>
      </w:r>
    </w:p>
    <w:p>
      <w:pPr>
        <w:spacing w:after="160" w:line="288"/>
        <w:jc w:val="both"/>
      </w:pPr>
      <w:r>
        <w:rPr>
          <w:rFonts w:ascii="Calibri" w:cs="Calibri" w:eastAsia="Calibri" w:hAnsi="Calibri"/>
          <w:b w:val="false"/>
          <w:bCs w:val="false"/>
          <w:i w:val="false"/>
          <w:iCs w:val="false"/>
          <w:color w:val="222222"/>
          <w:sz w:val="22"/>
          <w:szCs w:val="22"/>
        </w:rPr>
        <w:t xml:space="preserve">Preguntas de opinión o de orientación que no tienen una única respuesta correcta almacenada en Moodle. Se evalúa que la respuesta sea coherente, útil y no contradiga los datos reales de los cursos.</w:t>
      </w:r>
    </w:p>
    <w:p>
      <w:pPr>
        <w:spacing w:after="80" w:before="200"/>
      </w:pPr>
      <w:r>
        <w:rPr>
          <w:rFonts w:ascii="Calibri" w:cs="Calibri" w:eastAsia="Calibri" w:hAnsi="Calibri"/>
          <w:b/>
          <w:bCs/>
          <w:color w:val="24425E"/>
          <w:sz w:val="22"/>
          <w:szCs w:val="22"/>
        </w:rPr>
        <w:t xml:space="preserve">Caso 13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“¿Por qué es importante estudiar Lectura Crítica para el Saber 11?”</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1:50</w:t>
      </w:r>
    </w:p>
    <w:p>
      <w:pPr>
        <w:spacing w:after="60" w:before="160"/>
        <w:jc w:val="center"/>
      </w:pPr>
      <w:r>
        <w:drawing>
          <wp:inline distT="0" distB="0" distL="0" distR="0">
            <wp:extent cx="4000500" cy="20002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13.</w:t>
      </w:r>
    </w:p>
    <w:p>
      <w:pPr>
        <w:spacing w:after="80" w:before="200"/>
      </w:pPr>
      <w:r>
        <w:rPr>
          <w:rFonts w:ascii="Calibri" w:cs="Calibri" w:eastAsia="Calibri" w:hAnsi="Calibri"/>
          <w:b/>
          <w:bCs/>
          <w:color w:val="24425E"/>
          <w:sz w:val="22"/>
          <w:szCs w:val="22"/>
        </w:rPr>
        <w:t xml:space="preserve">Caso 14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“¿Qué tan difícil es el curso de Ciencias Naturales?”</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2:02</w:t>
      </w:r>
    </w:p>
    <w:p>
      <w:pPr>
        <w:spacing w:after="60" w:before="160"/>
        <w:jc w:val="center"/>
      </w:pPr>
      <w:r>
        <w:drawing>
          <wp:inline distT="0" distB="0" distL="0" distR="0">
            <wp:extent cx="4000500" cy="20288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0288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14.</w:t>
      </w:r>
    </w:p>
    <w:p>
      <w:pPr>
        <w:spacing w:after="80" w:before="200"/>
      </w:pPr>
      <w:r>
        <w:rPr>
          <w:rFonts w:ascii="Calibri" w:cs="Calibri" w:eastAsia="Calibri" w:hAnsi="Calibri"/>
          <w:b/>
          <w:bCs/>
          <w:color w:val="24425E"/>
          <w:sz w:val="22"/>
          <w:szCs w:val="22"/>
        </w:rPr>
        <w:t xml:space="preserve">Caso 15 — Pregunta abierta / subjetiva</w:t>
      </w:r>
    </w:p>
    <w:p>
      <w:pPr>
        <w:spacing w:after="160" w:line="288"/>
        <w:jc w:val="both"/>
      </w:pPr>
      <w:r>
        <w:rPr>
          <w:rFonts w:ascii="Calibri" w:cs="Calibri" w:eastAsia="Calibri" w:hAnsi="Calibri"/>
          <w:b/>
          <w:bCs/>
          <w:sz w:val="21"/>
          <w:szCs w:val="21"/>
        </w:rPr>
        <w:t xml:space="preserve">Entrada: </w:t>
      </w:r>
      <w:r>
        <w:rPr>
          <w:rFonts w:ascii="Calibri" w:cs="Calibri" w:eastAsia="Calibri" w:hAnsi="Calibri"/>
          <w:i/>
          <w:iCs/>
          <w:sz w:val="21"/>
          <w:szCs w:val="21"/>
        </w:rPr>
        <w:t xml:space="preserve">“Recomiéndame por cuál curso empezar”</w:t>
      </w:r>
    </w:p>
    <w:p>
      <w:pPr>
        <w:spacing w:after="160" w:line="288"/>
        <w:jc w:val="both"/>
      </w:pPr>
      <w:r>
        <w:rPr>
          <w:rFonts w:ascii="Calibri" w:cs="Calibri" w:eastAsia="Calibri" w:hAnsi="Calibri"/>
          <w:b/>
          <w:bCs/>
          <w:sz w:val="21"/>
          <w:szCs w:val="21"/>
        </w:rPr>
        <w:t xml:space="preserve">Resultado: </w:t>
      </w:r>
      <w:r>
        <w:rPr>
          <w:rFonts w:ascii="Calibri" w:cs="Calibri" w:eastAsia="Calibri" w:hAnsi="Calibri"/>
          <w:sz w:val="21"/>
          <w:szCs w:val="21"/>
        </w:rPr>
        <w:t xml:space="preserve">Correcto  ·  Tiempo: 3:04</w:t>
      </w:r>
    </w:p>
    <w:p>
      <w:pPr>
        <w:spacing w:after="60" w:before="160"/>
        <w:jc w:val="center"/>
      </w:pPr>
      <w:r>
        <w:drawing>
          <wp:inline distT="0" distB="0" distL="0" distR="0">
            <wp:extent cx="4000500" cy="2009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0097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15 — respuesta completa (1/2)</w:t>
      </w:r>
    </w:p>
    <w:p>
      <w:pPr>
        <w:spacing w:after="60" w:before="160"/>
        <w:jc w:val="center"/>
      </w:pPr>
      <w:r>
        <w:drawing>
          <wp:inline distT="0" distB="0" distL="0" distR="0">
            <wp:extent cx="4000500" cy="20288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02882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Caso 15 — respuesta completa (2/2)</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7. Gestión de sesión e historial de conversaciones</w:t>
      </w:r>
    </w:p>
    <w:p>
      <w:pPr>
        <w:spacing w:after="160" w:line="288"/>
        <w:jc w:val="both"/>
      </w:pPr>
      <w:r>
        <w:rPr>
          <w:rFonts w:ascii="Calibri" w:cs="Calibri" w:eastAsia="Calibri" w:hAnsi="Calibri"/>
          <w:b w:val="false"/>
          <w:bCs w:val="false"/>
          <w:i w:val="false"/>
          <w:iCs w:val="false"/>
          <w:color w:val="222222"/>
          <w:sz w:val="22"/>
          <w:szCs w:val="22"/>
        </w:rPr>
        <w:t xml:space="preserve">Capturas de las reglas de sesión y del panel de historial. Se tomaron sobre una página de prueba que simula la sesión de Moodle (usuario y sesión intercambiables), conectada a los workflows de n8n y al bridge reales; por eso se ve el encabezado «Moodle simulado (solo pruebas)». Corresponden a las pruebas H1 a H6 del Informe de Pruebas Funcionales (Anexo C).</w:t>
      </w:r>
    </w:p>
    <w:p>
      <w:pPr>
        <w:pStyle w:val="Heading2"/>
        <w:spacing w:after="140" w:before="320"/>
      </w:pPr>
      <w:r>
        <w:rPr>
          <w:rFonts w:ascii="Calibri" w:cs="Calibri" w:eastAsia="Calibri" w:hAnsi="Calibri"/>
          <w:b/>
          <w:bCs/>
          <w:color w:val="4E95C2"/>
          <w:sz w:val="24"/>
          <w:szCs w:val="24"/>
        </w:rPr>
        <w:t xml:space="preserve">Chat actual dentro de la sesión (H1)</w:t>
      </w:r>
    </w:p>
    <w:p>
      <w:pPr>
        <w:spacing w:after="160" w:line="288"/>
        <w:jc w:val="both"/>
      </w:pPr>
      <w:r>
        <w:rPr>
          <w:rFonts w:ascii="Calibri" w:cs="Calibri" w:eastAsia="Calibri" w:hAnsi="Calibri"/>
          <w:b w:val="false"/>
          <w:bCs w:val="false"/>
          <w:i w:val="false"/>
          <w:iCs w:val="false"/>
          <w:color w:val="222222"/>
          <w:sz w:val="22"/>
          <w:szCs w:val="22"/>
        </w:rPr>
        <w:t xml:space="preserve">Mientras la sesión sea la misma, el chat en curso se conserva. Se muestran los botones de Historial (reloj) y Nueva conversación (+) en la cabecera.</w:t>
      </w:r>
    </w:p>
    <w:p>
      <w:pPr>
        <w:spacing w:after="60" w:before="160"/>
        <w:jc w:val="center"/>
      </w:pPr>
      <w:r>
        <w:drawing>
          <wp:inline distT="0" distB="0" distL="0" distR="0">
            <wp:extent cx="4000500" cy="4000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Chat actual de un usuario (Alice) con saludo y consulta de cursos resueltos de forma inmediata.</w:t>
      </w:r>
    </w:p>
    <w:p>
      <w:pPr>
        <w:pStyle w:val="Heading2"/>
        <w:spacing w:after="140" w:before="320"/>
      </w:pPr>
      <w:r>
        <w:rPr>
          <w:rFonts w:ascii="Calibri" w:cs="Calibri" w:eastAsia="Calibri" w:hAnsi="Calibri"/>
          <w:b/>
          <w:bCs/>
          <w:color w:val="4E95C2"/>
          <w:sz w:val="24"/>
          <w:szCs w:val="24"/>
        </w:rPr>
        <w:t xml:space="preserve">Panel de historial (H2, H3, H6)</w:t>
      </w:r>
    </w:p>
    <w:p>
      <w:pPr>
        <w:spacing w:after="160" w:line="288"/>
        <w:jc w:val="both"/>
      </w:pPr>
      <w:r>
        <w:rPr>
          <w:rFonts w:ascii="Calibri" w:cs="Calibri" w:eastAsia="Calibri" w:hAnsi="Calibri"/>
          <w:b w:val="false"/>
          <w:bCs w:val="false"/>
          <w:i w:val="false"/>
          <w:iCs w:val="false"/>
          <w:color w:val="222222"/>
          <w:sz w:val="22"/>
          <w:szCs w:val="22"/>
        </w:rPr>
        <w:t xml:space="preserve">El panel lista las conversaciones anteriores del usuario, con título, fecha y número de mensajes; la actual aparece resaltada. Cada una puede retomarse (clic) o borrarse (icono de papelera), y existe un botón para borrar todo el historial. Una nota informa la purga automática a los 30 días.</w:t>
      </w:r>
    </w:p>
    <w:p>
      <w:pPr>
        <w:spacing w:after="60" w:before="160"/>
        <w:jc w:val="center"/>
      </w:pPr>
      <w:r>
        <w:drawing>
          <wp:inline distT="0" distB="0" distL="0" distR="0">
            <wp:extent cx="4000500" cy="4000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Panel de historial con cuatro conversaciones del usuario (la más reciente marcada como actual).</w:t>
      </w:r>
    </w:p>
    <w:p>
      <w:pPr>
        <w:pStyle w:val="Heading2"/>
        <w:spacing w:after="140" w:before="320"/>
      </w:pPr>
      <w:r>
        <w:rPr>
          <w:rFonts w:ascii="Calibri" w:cs="Calibri" w:eastAsia="Calibri" w:hAnsi="Calibri"/>
          <w:b/>
          <w:bCs/>
          <w:color w:val="4E95C2"/>
          <w:sz w:val="24"/>
          <w:szCs w:val="24"/>
        </w:rPr>
        <w:t xml:space="preserve">Nuevo inicio de sesión (H2)</w:t>
      </w:r>
    </w:p>
    <w:p>
      <w:pPr>
        <w:spacing w:after="160" w:line="288"/>
        <w:jc w:val="both"/>
      </w:pPr>
      <w:r>
        <w:rPr>
          <w:rFonts w:ascii="Calibri" w:cs="Calibri" w:eastAsia="Calibri" w:hAnsi="Calibri"/>
          <w:b w:val="false"/>
          <w:bCs w:val="false"/>
          <w:i w:val="false"/>
          <w:iCs w:val="false"/>
          <w:color w:val="222222"/>
          <w:sz w:val="22"/>
          <w:szCs w:val="22"/>
        </w:rPr>
        <w:t xml:space="preserve">Al iniciar una sesión nueva, el chat arranca vacío; la conversación anterior sigue disponible en el historial.</w:t>
      </w:r>
    </w:p>
    <w:p>
      <w:pPr>
        <w:spacing w:after="60" w:before="160"/>
        <w:jc w:val="center"/>
      </w:pPr>
      <w:r>
        <w:drawing>
          <wp:inline distT="0" distB="0" distL="0" distR="0">
            <wp:extent cx="4000500" cy="4000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Sesión 2 del mismo usuario: chat vacío.</w:t>
      </w:r>
    </w:p>
    <w:p>
      <w:pPr>
        <w:spacing w:after="60" w:before="160"/>
        <w:jc w:val="center"/>
      </w:pPr>
      <w:r>
        <w:drawing>
          <wp:inline distT="0" distB="0" distL="0" distR="0">
            <wp:extent cx="4000500" cy="40005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40005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Sesión 2: el historial conserva las conversaciones de la sesión anterior.</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8. Búsqueda por tema y enlaces (catálogo ampliado)</w:t>
      </w:r>
    </w:p>
    <w:p>
      <w:pPr>
        <w:spacing w:after="160" w:line="288"/>
        <w:jc w:val="both"/>
      </w:pPr>
      <w:r>
        <w:rPr>
          <w:rFonts w:ascii="Calibri" w:cs="Calibri" w:eastAsia="Calibri" w:hAnsi="Calibri"/>
          <w:b w:val="false"/>
          <w:bCs w:val="false"/>
          <w:i w:val="false"/>
          <w:iCs w:val="false"/>
          <w:color w:val="222222"/>
          <w:sz w:val="22"/>
          <w:szCs w:val="22"/>
        </w:rPr>
        <w:t xml:space="preserve">Capturas de las respuestas de Ada con un catálogo de 1.002 cursos (2 reales y 1.000 sintéticos de prueba), en la misma página de prueba que simula la sesión de Moodle. Corresponden a los casos B1 a B14 del Anexo C (sección 8).</w:t>
      </w:r>
    </w:p>
    <w:p>
      <w:pPr>
        <w:pStyle w:val="Heading2"/>
        <w:spacing w:after="140" w:before="320"/>
      </w:pPr>
      <w:r>
        <w:rPr>
          <w:rFonts w:ascii="Calibri" w:cs="Calibri" w:eastAsia="Calibri" w:hAnsi="Calibri"/>
          <w:b/>
          <w:bCs/>
          <w:color w:val="4E95C2"/>
          <w:sz w:val="24"/>
          <w:szCs w:val="24"/>
        </w:rPr>
        <w:t xml:space="preserve">Mediciones en el Moodle real (comparación manual vs Ada)</w:t>
      </w:r>
    </w:p>
    <w:p>
      <w:pPr>
        <w:spacing w:after="160" w:line="288"/>
        <w:jc w:val="both"/>
      </w:pPr>
      <w:r>
        <w:rPr>
          <w:rFonts w:ascii="Calibri" w:cs="Calibri" w:eastAsia="Calibri" w:hAnsi="Calibri"/>
          <w:b w:val="false"/>
          <w:bCs w:val="false"/>
          <w:i w:val="false"/>
          <w:iCs w:val="false"/>
          <w:color w:val="222222"/>
          <w:sz w:val="22"/>
          <w:szCs w:val="22"/>
        </w:rPr>
        <w:t xml:space="preserve">Capturas tomadas en el Moodle real (localhost:8080) con el catálogo de 1.002 cursos durante las mediciones del Anexo C (sección 8). Las tres tareas se repitieron con las mismas frases; las capturas corresponden a una de las repeticiones.</w:t>
      </w:r>
    </w:p>
    <w:p>
      <w:pPr>
        <w:spacing w:after="60" w:before="160"/>
        <w:jc w:val="center"/>
      </w:pPr>
      <w:r>
        <w:drawing>
          <wp:inline distT="0" distB="0" distL="0" distR="0">
            <wp:extent cx="4000500" cy="20193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20193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Tarea 1: «¿tienen cursos sobre fotosíntesis?» → 20 cursos con enlace.</w:t>
      </w:r>
    </w:p>
    <w:p>
      <w:pPr>
        <w:spacing w:after="60" w:before="160"/>
        <w:jc w:val="center"/>
      </w:pPr>
      <w:r>
        <w:drawing>
          <wp:inline distT="0" distB="0" distL="0" distR="0">
            <wp:extent cx="4000500" cy="20193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201930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Tarea 2: «hay cursos sobre lectura critica» → Lectura Crítica — Saber 11 aparece primero, con enlace.</w:t>
      </w:r>
    </w:p>
    <w:p>
      <w:pPr>
        <w:spacing w:after="60" w:before="160"/>
        <w:jc w:val="center"/>
      </w:pPr>
      <w:r>
        <w:drawing>
          <wp:inline distT="0" distB="0" distL="0" distR="0">
            <wp:extent cx="4000500" cy="20002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2000250"/>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Tarea 3: «¿Cuántas unidades tiene ciencias naturales?» → 4 unidades con sus porcentajes.</w:t>
      </w:r>
    </w:p>
    <w:p>
      <w:pPr>
        <w:spacing w:after="160" w:line="288"/>
        <w:jc w:val="both"/>
      </w:pPr>
      <w:r>
        <w:rPr>
          <w:rFonts w:ascii="Calibri" w:cs="Calibri" w:eastAsia="Calibri" w:hAnsi="Calibri"/>
          <w:b w:val="false"/>
          <w:bCs w:val="false"/>
          <w:i w:val="false"/>
          <w:iCs w:val="false"/>
          <w:color w:val="222222"/>
          <w:sz w:val="22"/>
          <w:szCs w:val="22"/>
        </w:rPr>
        <w:t xml:space="preserve">Las capturas siguientes provienen de la página de prueba que simula la sesión de Moodle.</w:t>
      </w:r>
    </w:p>
    <w:p>
      <w:pPr>
        <w:pStyle w:val="Heading2"/>
        <w:spacing w:after="140" w:before="320"/>
      </w:pPr>
      <w:r>
        <w:rPr>
          <w:rFonts w:ascii="Calibri" w:cs="Calibri" w:eastAsia="Calibri" w:hAnsi="Calibri"/>
          <w:b/>
          <w:bCs/>
          <w:color w:val="4E95C2"/>
          <w:sz w:val="24"/>
          <w:szCs w:val="24"/>
        </w:rPr>
        <w:t xml:space="preserve">Búsqueda por tema con enlaces (B1)</w:t>
      </w:r>
    </w:p>
    <w:p>
      <w:pPr>
        <w:spacing w:after="160" w:line="288"/>
        <w:jc w:val="both"/>
      </w:pPr>
      <w:r>
        <w:rPr>
          <w:rFonts w:ascii="Calibri" w:cs="Calibri" w:eastAsia="Calibri" w:hAnsi="Calibri"/>
          <w:b w:val="false"/>
          <w:bCs w:val="false"/>
          <w:i w:val="false"/>
          <w:iCs w:val="false"/>
          <w:color w:val="222222"/>
          <w:sz w:val="22"/>
          <w:szCs w:val="22"/>
        </w:rPr>
        <w:t xml:space="preserve">La consulta «¿qué cursos ofreces sobre átomos?» entrega los cursos más relevantes con su enlace («Abrir curso») y el total de coincidencias (32), que coincide con la verificación independiente en la base de datos.</w:t>
      </w:r>
    </w:p>
    <w:p>
      <w:pPr>
        <w:spacing w:after="60" w:before="160"/>
        <w:jc w:val="center"/>
      </w:pPr>
      <w:r>
        <w:drawing>
          <wp:inline distT="0" distB="0" distL="0" distR="0">
            <wp:extent cx="4000500" cy="45243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Búsqueda por tema: 32 cursos que tratan «átomo», con enlace a cada curso.</w:t>
      </w:r>
    </w:p>
    <w:p>
      <w:pPr>
        <w:pStyle w:val="Heading2"/>
        <w:spacing w:after="140" w:before="320"/>
      </w:pPr>
      <w:r>
        <w:rPr>
          <w:rFonts w:ascii="Calibri" w:cs="Calibri" w:eastAsia="Calibri" w:hAnsi="Calibri"/>
          <w:b/>
          <w:bCs/>
          <w:color w:val="4E95C2"/>
          <w:sz w:val="24"/>
          <w:szCs w:val="24"/>
        </w:rPr>
        <w:t xml:space="preserve">Conversación de varios turnos (B10)</w:t>
      </w:r>
    </w:p>
    <w:p>
      <w:pPr>
        <w:spacing w:after="160" w:line="288"/>
        <w:jc w:val="both"/>
      </w:pPr>
      <w:r>
        <w:rPr>
          <w:rFonts w:ascii="Calibri" w:cs="Calibri" w:eastAsia="Calibri" w:hAnsi="Calibri"/>
          <w:b w:val="false"/>
          <w:bCs w:val="false"/>
          <w:i w:val="false"/>
          <w:iCs w:val="false"/>
          <w:color w:val="222222"/>
          <w:sz w:val="22"/>
          <w:szCs w:val="22"/>
        </w:rPr>
        <w:t xml:space="preserve">La conversación que originalmente falló: se pide el tema, el estudiante insiste y luego solicita el enlace. Ada mantiene el tema y entrega los enlaces de los cursos mostrados.</w:t>
      </w:r>
    </w:p>
    <w:p>
      <w:pPr>
        <w:spacing w:after="60" w:before="160"/>
        <w:jc w:val="center"/>
      </w:pPr>
      <w:r>
        <w:drawing>
          <wp:inline distT="0" distB="0" distL="0" distR="0">
            <wp:extent cx="4000500" cy="45243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Conversación: tema, insistencia y solicitud de enlace; la respuesta trae los enlaces clicables.</w:t>
      </w:r>
    </w:p>
    <w:p>
      <w:pPr>
        <w:pStyle w:val="Heading2"/>
        <w:spacing w:after="140" w:before="320"/>
      </w:pPr>
      <w:r>
        <w:rPr>
          <w:rFonts w:ascii="Calibri" w:cs="Calibri" w:eastAsia="Calibri" w:hAnsi="Calibri"/>
          <w:b/>
          <w:bCs/>
          <w:color w:val="4E95C2"/>
          <w:sz w:val="24"/>
          <w:szCs w:val="24"/>
        </w:rPr>
        <w:t xml:space="preserve">Catálogo grande y detalle de un curso (B12, B13)</w:t>
      </w:r>
    </w:p>
    <w:p>
      <w:pPr>
        <w:spacing w:after="160" w:line="288"/>
        <w:jc w:val="both"/>
      </w:pPr>
      <w:r>
        <w:rPr>
          <w:rFonts w:ascii="Calibri" w:cs="Calibri" w:eastAsia="Calibri" w:hAnsi="Calibri"/>
          <w:b w:val="false"/>
          <w:bCs w:val="false"/>
          <w:i w:val="false"/>
          <w:iCs w:val="false"/>
          <w:color w:val="222222"/>
          <w:sz w:val="22"/>
          <w:szCs w:val="22"/>
        </w:rPr>
        <w:t xml:space="preserve">Con 1.002 cursos, el listado muestra el total y las categorías en lugar de listar todos los cursos; el detalle de un curso conserva las unidades, los pesos y agrega el enlace.</w:t>
      </w:r>
    </w:p>
    <w:p>
      <w:pPr>
        <w:spacing w:after="60" w:before="160"/>
        <w:jc w:val="center"/>
      </w:pPr>
      <w:r>
        <w:drawing>
          <wp:inline distT="0" distB="0" distL="0" distR="0">
            <wp:extent cx="4000500" cy="452437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Panorama del catálogo (1.002 cursos, 18 categorías) y detalle de Ciencias Naturales.</w:t>
      </w:r>
    </w:p>
    <w:p>
      <w:pPr>
        <w:pStyle w:val="Heading2"/>
        <w:spacing w:after="140" w:before="320"/>
      </w:pPr>
      <w:r>
        <w:rPr>
          <w:rFonts w:ascii="Calibri" w:cs="Calibri" w:eastAsia="Calibri" w:hAnsi="Calibri"/>
          <w:b/>
          <w:bCs/>
          <w:color w:val="4E95C2"/>
          <w:sz w:val="24"/>
          <w:szCs w:val="24"/>
        </w:rPr>
        <w:t xml:space="preserve">Tema inexistente (B6)</w:t>
      </w:r>
    </w:p>
    <w:p>
      <w:pPr>
        <w:spacing w:after="160" w:line="288"/>
        <w:jc w:val="both"/>
      </w:pPr>
      <w:r>
        <w:rPr>
          <w:rFonts w:ascii="Calibri" w:cs="Calibri" w:eastAsia="Calibri" w:hAnsi="Calibri"/>
          <w:b w:val="false"/>
          <w:bCs w:val="false"/>
          <w:i w:val="false"/>
          <w:iCs w:val="false"/>
          <w:color w:val="222222"/>
          <w:sz w:val="22"/>
          <w:szCs w:val="22"/>
        </w:rPr>
        <w:t xml:space="preserve">Ante un tema que no existe en el catálogo, Ada informa que no encontró coincidencias en vez de inventar cursos.</w:t>
      </w:r>
    </w:p>
    <w:p>
      <w:pPr>
        <w:spacing w:after="60" w:before="160"/>
        <w:jc w:val="center"/>
      </w:pPr>
      <w:r>
        <w:drawing>
          <wp:inline distT="0" distB="0" distL="0" distR="0">
            <wp:extent cx="4000500" cy="45243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4524375"/>
                    </a:xfrm>
                    <a:prstGeom prst="rect">
                      <a:avLst/>
                    </a:prstGeom>
                  </pic:spPr>
                </pic:pic>
              </a:graphicData>
            </a:graphic>
          </wp:inline>
        </w:drawing>
      </w:r>
    </w:p>
    <w:p>
      <w:pPr>
        <w:spacing w:after="220"/>
        <w:jc w:val="center"/>
      </w:pPr>
      <w:r>
        <w:rPr>
          <w:rFonts w:ascii="Calibri" w:cs="Calibri" w:eastAsia="Calibri" w:hAnsi="Calibri"/>
          <w:i/>
          <w:iCs/>
          <w:color w:val="6B7A82"/>
          <w:sz w:val="19"/>
          <w:szCs w:val="19"/>
        </w:rPr>
        <w:t xml:space="preserve">Consulta «¿qué cursos hay sobre cocina italiana?»: sin coincidencias.</w:t>
      </w:r>
    </w:p>
    <w:p>
      <w:pPr>
        <w:pageBreakBefore/>
      </w:pPr>
    </w:p>
    <w:p>
      <w:pPr>
        <w:pStyle w:val="Heading1"/>
        <w:pBdr>
          <w:bottom w:val="single" w:color="D98E3A" w:sz="6" w:space="4"/>
        </w:pBdr>
        <w:spacing w:after="200" w:before="480"/>
      </w:pPr>
      <w:r>
        <w:rPr>
          <w:rFonts w:ascii="Calibri" w:cs="Calibri" w:eastAsia="Calibri" w:hAnsi="Calibri"/>
          <w:b/>
          <w:bCs/>
          <w:color w:val="24425E"/>
          <w:sz w:val="30"/>
          <w:szCs w:val="30"/>
        </w:rPr>
        <w:t xml:space="preserve">9. Resumen de resultados</w:t>
      </w:r>
    </w:p>
    <w:p>
      <w:pPr>
        <w:spacing w:after="160" w:line="288"/>
        <w:jc w:val="both"/>
      </w:pPr>
      <w:r>
        <w:rPr>
          <w:rFonts w:ascii="Calibri" w:cs="Calibri" w:eastAsia="Calibri" w:hAnsi="Calibri"/>
          <w:b w:val="false"/>
          <w:bCs w:val="false"/>
          <w:i w:val="false"/>
          <w:iCs w:val="false"/>
          <w:color w:val="222222"/>
          <w:sz w:val="22"/>
          <w:szCs w:val="22"/>
        </w:rPr>
        <w:t xml:space="preserve">La Tabla 1 consolida la precisión obtenida por categoría, calculada como el número de respuestas correctas sobre el total de casos evaluados en cada una.</w:t>
      </w:r>
    </w:p>
    <w:tbl>
      <w:tblPr>
        <w:tblW w:type="pct" w:w="500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900"/>
        <w:gridCol w:w="1100"/>
        <w:gridCol w:w="1100"/>
        <w:gridCol w:w="2860"/>
      </w:tblGrid>
      <w:tr>
        <w:trPr>
          <w:tblHeader/>
        </w:trPr>
        <w:tc>
          <w:tcPr>
            <w:tcW w:type="dxa" w:w="2844"/>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Categoría</w:t>
            </w:r>
          </w:p>
        </w:tc>
        <w:tc>
          <w:tcPr>
            <w:tcW w:type="dxa" w:w="1066"/>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Casos</w:t>
            </w:r>
          </w:p>
        </w:tc>
        <w:tc>
          <w:tcPr>
            <w:tcW w:type="dxa" w:w="1303"/>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Correctos</w:t>
            </w:r>
          </w:p>
        </w:tc>
        <w:tc>
          <w:tcPr>
            <w:tcW w:type="dxa" w:w="1303"/>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Precisión</w:t>
            </w:r>
          </w:p>
        </w:tc>
        <w:tc>
          <w:tcPr>
            <w:tcW w:type="dxa" w:w="3389"/>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r>
      <w:tr>
        <w:tc>
          <w:tcPr>
            <w:tcW w:type="dxa" w:w="2844"/>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 Saludo genérico</w:t>
            </w:r>
          </w:p>
        </w:tc>
        <w:tc>
          <w:tcPr>
            <w:tcW w:type="dxa" w:w="106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Sistema &lt; 1 s; total prom. 7 s</w:t>
            </w:r>
          </w:p>
        </w:tc>
      </w:tr>
      <w:tr>
        <w:tc>
          <w:tcPr>
            <w:tcW w:type="dxa" w:w="2844"/>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 Listado de cursos</w:t>
            </w:r>
          </w:p>
        </w:tc>
        <w:tc>
          <w:tcPr>
            <w:tcW w:type="dxa" w:w="106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Sistema &lt; 1 s; total prom. 17 s</w:t>
            </w:r>
          </w:p>
        </w:tc>
      </w:tr>
      <w:tr>
        <w:tc>
          <w:tcPr>
            <w:tcW w:type="dxa" w:w="2844"/>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 Detalle de unidades</w:t>
            </w:r>
          </w:p>
        </w:tc>
        <w:tc>
          <w:tcPr>
            <w:tcW w:type="dxa" w:w="106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Sistema &lt; 1 s; total prom. 16 s</w:t>
            </w:r>
          </w:p>
        </w:tc>
      </w:tr>
      <w:tr>
        <w:tc>
          <w:tcPr>
            <w:tcW w:type="dxa" w:w="2844"/>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4. Fuera de alcance</w:t>
            </w:r>
          </w:p>
        </w:tc>
        <w:tc>
          <w:tcPr>
            <w:tcW w:type="dxa" w:w="106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Promedio 1:05</w:t>
            </w:r>
          </w:p>
        </w:tc>
      </w:tr>
      <w:tr>
        <w:tc>
          <w:tcPr>
            <w:tcW w:type="dxa" w:w="2844"/>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5. Pregunta abierta / subjetiva</w:t>
            </w:r>
          </w:p>
        </w:tc>
        <w:tc>
          <w:tcPr>
            <w:tcW w:type="dxa" w:w="1066"/>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3</w:t>
            </w:r>
          </w:p>
        </w:tc>
        <w:tc>
          <w:tcPr>
            <w:tcW w:type="dxa" w:w="1303"/>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Promedio 2:19</w:t>
            </w:r>
          </w:p>
        </w:tc>
      </w:tr>
      <w:tr>
        <w:tc>
          <w:tcPr>
            <w:tcW w:type="dxa" w:w="2844"/>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Total</w:t>
            </w:r>
          </w:p>
        </w:tc>
        <w:tc>
          <w:tcPr>
            <w:tcW w:type="dxa" w:w="1066"/>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w:t>
            </w:r>
          </w:p>
        </w:tc>
        <w:tc>
          <w:tcPr>
            <w:tcW w:type="dxa" w:w="1303"/>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100 %</w:t>
            </w:r>
          </w:p>
        </w:tc>
        <w:tc>
          <w:tcPr>
            <w:tcW w:type="dxa" w:w="3389"/>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w:t>
            </w:r>
          </w:p>
        </w:tc>
      </w:tr>
    </w:tbl>
    <w:p>
      <w:pPr>
        <w:spacing w:after="160" w:line="288"/>
        <w:jc w:val="both"/>
      </w:pPr>
      <w:r>
        <w:rPr>
          <w:rFonts w:ascii="Calibri" w:cs="Calibri" w:eastAsia="Calibri" w:hAnsi="Calibri"/>
          <w:b w:val="false"/>
          <w:bCs w:val="false"/>
          <w:i w:val="false"/>
          <w:iCs w:val="false"/>
          <w:color w:val="222222"/>
          <w:sz w:val="22"/>
          <w:szCs w:val="22"/>
        </w:rPr>
        <w:t xml:space="preserve">Los 15 casos de prueba evaluados resultaron correctos frente al criterio de aceptación definido, para una precisión global del 100 %.</w:t>
      </w:r>
    </w:p>
    <w:sectPr>
      <w:headerReference w:type="default" r:id="rId6"/>
      <w:footerReference w:type="default" r:id="rId7"/>
      <w:type w:val="nextPage"/>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A82"/>
        <w:sz w:val="16"/>
        <w:szCs w:val="16"/>
      </w:rPr>
      <w:t xml:space="preserve">Plataforma Escuela Rural · Ada  —  página </w:t>
    </w:r>
    <w:r>
      <w:rPr>
        <w:rFonts w:ascii="Calibri" w:cs="Calibri" w:eastAsia="Calibri" w:hAnsi="Calibri"/>
        <w:color w:val="6B7A82"/>
        <w:sz w:val="16"/>
        <w:szCs w:val="16"/>
      </w:rPr>
      <w:fldChar w:fldCharType="begin"/>
      <w:instrText xml:space="preserve">PAGE</w:instrText>
      <w:fldChar w:fldCharType="separate"/>
      <w:fldChar w:fldCharType="end"/>
    </w:r>
    <w:r>
      <w:rPr>
        <w:rFonts w:ascii="Calibri" w:cs="Calibri" w:eastAsia="Calibri" w:hAnsi="Calibri"/>
        <w:color w:val="6B7A82"/>
        <w:sz w:val="16"/>
        <w:szCs w:val="16"/>
      </w:rPr>
      <w:t xml:space="preserve"> de </w:t>
    </w:r>
    <w:r>
      <w:rPr>
        <w:rFonts w:ascii="Calibri" w:cs="Calibri" w:eastAsia="Calibri" w:hAnsi="Calibri"/>
        <w:color w:val="6B7A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4E5" w:sz="4" w:space="4"/>
      </w:pBdr>
      <w:jc w:val="right"/>
    </w:pPr>
    <w:r>
      <w:rPr>
        <w:rFonts w:ascii="Calibri" w:cs="Calibri" w:eastAsia="Calibri" w:hAnsi="Calibri"/>
        <w:i/>
        <w:iCs/>
        <w:color w:val="6B7A82"/>
        <w:sz w:val="16"/>
        <w:szCs w:val="16"/>
      </w:rPr>
      <w:t xml:space="preserve">Anexo D — Evidencias de Pruebas Funcionales · Ada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1f2f9a1fdef351b377c2ea4211cefe226ae75dd.png"/><Relationship Id="rId10" Type="http://schemas.openxmlformats.org/officeDocument/2006/relationships/image" Target="media/9d6f245a78c860287418b852b3c69e9da96888f1.png"/><Relationship Id="rId11" Type="http://schemas.openxmlformats.org/officeDocument/2006/relationships/image" Target="media/1e394c04fa1668a78a4c6c8e4016b75fa388c246.png"/><Relationship Id="rId12" Type="http://schemas.openxmlformats.org/officeDocument/2006/relationships/image" Target="media/68a533cda7514bfe80419259323fa565c51946ea.png"/><Relationship Id="rId13" Type="http://schemas.openxmlformats.org/officeDocument/2006/relationships/image" Target="media/583612e05fb5295eb4fa924cccbfd9f6babece58.png"/><Relationship Id="rId14" Type="http://schemas.openxmlformats.org/officeDocument/2006/relationships/image" Target="media/8c34b0edc1ca8957d8f06c277d46227c9a68eec6.png"/><Relationship Id="rId15" Type="http://schemas.openxmlformats.org/officeDocument/2006/relationships/image" Target="media/3ff5385b17cb3e9478b7b4f4145915208ae041db.png"/><Relationship Id="rId16" Type="http://schemas.openxmlformats.org/officeDocument/2006/relationships/image" Target="media/dab942202a7dcf97df5429d2ff2c13a6a3d6ad83.png"/><Relationship Id="rId17" Type="http://schemas.openxmlformats.org/officeDocument/2006/relationships/image" Target="media/e55bba0978df321bbd519333548d4f4a41b64724.png"/><Relationship Id="rId18" Type="http://schemas.openxmlformats.org/officeDocument/2006/relationships/image" Target="media/b08bc5bb647a7c8e047f0dca7948a8d28c792081.png"/><Relationship Id="rId19" Type="http://schemas.openxmlformats.org/officeDocument/2006/relationships/image" Target="media/ceb931de1704f2d1e029462e80f339874c747197.png"/><Relationship Id="rId20" Type="http://schemas.openxmlformats.org/officeDocument/2006/relationships/image" Target="media/c17961cd60cada23a74b88f767708b968e28a537.png"/><Relationship Id="rId21" Type="http://schemas.openxmlformats.org/officeDocument/2006/relationships/image" Target="media/10ecfec14d5de79f262e92fe061a9d7e14787ee6.png"/><Relationship Id="rId22" Type="http://schemas.openxmlformats.org/officeDocument/2006/relationships/image" Target="media/145bb88c26784f57a3eb956a2d18622092c353a1.png"/><Relationship Id="rId23" Type="http://schemas.openxmlformats.org/officeDocument/2006/relationships/image" Target="media/b22a89366fa5d1de355d6f75a7b716268df1a42b.png"/><Relationship Id="rId24" Type="http://schemas.openxmlformats.org/officeDocument/2006/relationships/image" Target="media/f76c8c2f627e56d9a5fb3559a4c5590d5e8c393c.png"/><Relationship Id="rId25" Type="http://schemas.openxmlformats.org/officeDocument/2006/relationships/image" Target="media/393c4dc9d26e6ab5f8ea16866f412597c23ec20f.png"/><Relationship Id="rId26" Type="http://schemas.openxmlformats.org/officeDocument/2006/relationships/image" Target="media/a97af566c270f302c3b4a10b19e2602702ed3275.png"/><Relationship Id="rId27" Type="http://schemas.openxmlformats.org/officeDocument/2006/relationships/image" Target="media/4ef515edf399c64e45f2204e647e495f483598bc.png"/><Relationship Id="rId28" Type="http://schemas.openxmlformats.org/officeDocument/2006/relationships/image" Target="media/37ad8c631c67204c1ffad539e07ce93a0e43d6bc.png"/><Relationship Id="rId29" Type="http://schemas.openxmlformats.org/officeDocument/2006/relationships/image" Target="media/03b5c1b8dd7c3f7b70ef0a4c74c941dd86f39a46.png"/><Relationship Id="rId30" Type="http://schemas.openxmlformats.org/officeDocument/2006/relationships/image" Target="media/061d31330b8bb23b05d14657e27a7d774cd60c80.png"/><Relationship Id="rId31" Type="http://schemas.openxmlformats.org/officeDocument/2006/relationships/image" Target="media/48f5c668a92580f737b104a58983ce372d843cb6.png"/><Relationship Id="rId32" Type="http://schemas.openxmlformats.org/officeDocument/2006/relationships/image" Target="media/fac450576fbbae65a14daa647be579ea8d751fd9.png"/><Relationship Id="rId33" Type="http://schemas.openxmlformats.org/officeDocument/2006/relationships/image" Target="media/b2753f0c507cc7dcc7f0b9118c7d0a3788b7ac7a.png"/><Relationship Id="rId34" Type="http://schemas.openxmlformats.org/officeDocument/2006/relationships/image" Target="media/eb6ec2fdf725bf791e4a1a4793b79b9ce0c1e5b5.png"/><Relationship Id="rId35" Type="http://schemas.openxmlformats.org/officeDocument/2006/relationships/image" Target="media/ba73f1218d16f589aecfffad67b3b153a75cb966.png"/><Relationship Id="rId36" Type="http://schemas.openxmlformats.org/officeDocument/2006/relationships/image" Target="media/cf66c15a0db2814cfaf688b2445f705855ecd9af.png"/><Relationship Id="rId37" Type="http://schemas.openxmlformats.org/officeDocument/2006/relationships/image" Target="media/2b7aea48af1a02c4915598ce896069fbb28a9d25.png"/><Relationship Id="rId38" Type="http://schemas.openxmlformats.org/officeDocument/2006/relationships/image" Target="media/7bdfe4ff5a1e1e13ef72a792e96a02187abce6b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2026-10-16T22:59:46.205Z</dcterms:created>
  <dcterms:modified xsi:type="dcterms:W3CDTF">2026-10-16T22:59:46.207Z</dcterms:modified>
</cp:coreProperties>
</file>

<file path=docProps/custom.xml><?xml version="1.0" encoding="utf-8"?>
<Properties xmlns="http://schemas.openxmlformats.org/officeDocument/2006/custom-properties" xmlns:vt="http://schemas.openxmlformats.org/officeDocument/2006/docPropsVTypes"/>
</file>