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rPr>
          <w:b/>
          <w:bCs/>
          <w:color w:val="1B2A4A"/>
          <w:sz w:val="56"/>
          <w:szCs w:val="56"/>
        </w:rPr>
        <w:t xml:space="preserve">LES STAGIAIRES</w:t>
      </w:r>
    </w:p>
    <w:p>
      <w:pPr>
        <w:spacing w:after="600"/>
        <w:jc w:val="center"/>
      </w:pPr>
      <w:r>
        <w:rPr>
          <w:i/>
          <w:iCs/>
          <w:color w:val="B8860B"/>
          <w:sz w:val="24"/>
          <w:szCs w:val="24"/>
        </w:rPr>
        <w:t xml:space="preserve">Le premier réseau professionnel des jeunes talents africains</w:t>
      </w:r>
    </w:p>
    <w:p>
      <w:pPr>
        <w:spacing w:after="120"/>
        <w:jc w:val="center"/>
      </w:pPr>
      <w:r>
        <w:rPr>
          <w:b/>
          <w:bCs/>
          <w:color w:val="1A1A1A"/>
          <w:sz w:val="32"/>
          <w:szCs w:val="32"/>
        </w:rPr>
        <w:t xml:space="preserve">FEUILLE DE ROUTE STRATÉGIQUE ET FINANCIÈRE</w:t>
      </w:r>
    </w:p>
    <w:p>
      <w:pPr>
        <w:spacing w:after="800"/>
        <w:jc w:val="center"/>
      </w:pPr>
      <w:r>
        <w:rPr>
          <w:color w:val="595959"/>
          <w:sz w:val="22"/>
          <w:szCs w:val="22"/>
        </w:rPr>
        <w:t xml:space="preserve">Du Livre Blanc à un modèle rentable, testé et déployable — Cameroun d'abord, Afrique ensuite</w:t>
      </w:r>
    </w:p>
    <w:p>
      <w:pPr>
        <w:jc w:val="center"/>
      </w:pPr>
      <w:r>
        <w:rPr>
          <w:color w:val="595959"/>
          <w:sz w:val="20"/>
          <w:szCs w:val="20"/>
        </w:rPr>
        <w:t xml:space="preserve">Version 1.0 — Juillet 2026</w:t>
      </w:r>
    </w:p>
    <w:p>
      <w:pPr>
        <w:jc w:val="center"/>
      </w:pPr>
      <w:r>
        <w:rPr>
          <w:color w:val="595959"/>
          <w:sz w:val="20"/>
          <w:szCs w:val="20"/>
        </w:rPr>
        <w:t xml:space="preserve">Document stratégique et confidentiel</w:t>
      </w:r>
    </w:p>
    <w:p>
      <w:r>
        <w:br w:type="page"/>
      </w:r>
    </w:p>
    <w:p>
      <w:pPr>
        <w:pStyle w:val="Heading1"/>
        <w:spacing w:after="200" w:before="400"/>
      </w:pPr>
      <w:r>
        <w:t xml:space="preserve">Résumé exécutif</w:t>
      </w:r>
    </w:p>
    <w:p>
      <w:pPr>
        <w:spacing w:after="160"/>
      </w:pPr>
      <w:r>
        <w:t xml:space="preserve">LES STAGIAIRES dispose déjà d'un corpus documentaire exceptionnellement complet : plus de 30 documents couvrant la vision, l'architecture fonctionnelle, la sécurité et la gouvernance. C'est un atout rare. Mais un corpus documentaire n'est pas un modèle économique, et une vision panafricaine à horizon 2040 ne remplace pas une preuve de rentabilité sur un premier marché.</w:t>
      </w:r>
    </w:p>
    <w:p>
      <w:pPr>
        <w:spacing w:after="160"/>
      </w:pPr>
      <w:r>
        <w:t xml:space="preserve">Cette feuille de route propose une bascule : passer d'une posture « documenter l'ensemble de l'écosystème » à une posture « prouver qu'un noyau rentable fonctionne au Cameroun, puis le répliquer ». Elle retient un principe simple, directement inspiré du contexte africain : la valeur qui se monétise en premier n'est pas l'accès à l'opportunité — qui doit rester gratuit — mais la confiance, la preuve et l'accompagnement autour de cette opportunité.</w:t>
      </w: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b/>
                <w:bCs/>
                <w:color w:val="1B2A4A"/>
                <w:sz w:val="21"/>
                <w:szCs w:val="21"/>
              </w:rPr>
              <w:t xml:space="preserve">Thèse centrale</w:t>
            </w:r>
          </w:p>
          <w:p>
            <w:r>
              <w:rPr>
                <w:i/>
                <w:iCs/>
                <w:color w:val="333333"/>
                <w:sz w:val="20"/>
                <w:szCs w:val="20"/>
              </w:rPr>
              <w:t xml:space="preserve">LES STAGIAIRES ne vend pas des offres de stage. Elle vend de la confiance vérifiée (profils, diplômes, entreprises) et de l'accompagnement (juridique, préparation, mise en relation) à des acteurs qui ont, eux, un budget réel : entreprises en recherche de talents fiables, établissements en quête de visibilité et de statistiques, familles qui veulent sécuriser le parcours d'un jeune, partenaires internationaux (bailleurs, ONG, ambassades) en quête d'impact mesurable.</w:t>
            </w:r>
          </w:p>
        </w:tc>
      </w:tr>
    </w:tbl>
    <w:p>
      <w:pPr>
        <w:spacing w:after="100"/>
      </w:pPr>
    </w:p>
    <w:p>
      <w:pPr>
        <w:pStyle w:val="Heading1"/>
        <w:spacing w:after="200" w:before="400"/>
      </w:pPr>
      <w:r>
        <w:t xml:space="preserve">1. Ce que le contexte africain impose — et permet</w:t>
      </w:r>
    </w:p>
    <w:p>
      <w:pPr>
        <w:spacing w:after="160"/>
      </w:pPr>
      <w:r>
        <w:t xml:space="preserve">Un modèle calqué sur LinkedIn, Indeed ou une plateforme occidentale de recrutement échouerait pour des raisons précises, propres au terrain :</w:t>
      </w:r>
    </w:p>
    <w:p>
      <w:pPr>
        <w:pStyle w:val="ListParagraph"/>
        <w:numPr>
          <w:ilvl w:val="0"/>
          <w:numId w:val="1"/>
        </w:numPr>
        <w:spacing w:after="80"/>
      </w:pPr>
      <w:r>
        <w:t xml:space="preserve">Pouvoir d'achat individuel faible et irrégulier : un abonnement mensuel prélevé par carte bancaire est un non-sens pour la majorité des jeunes ciblés — la majorité n'a pas de carte bancaire.</w:t>
      </w:r>
    </w:p>
    <w:p>
      <w:pPr>
        <w:pStyle w:val="ListParagraph"/>
        <w:numPr>
          <w:ilvl w:val="0"/>
          <w:numId w:val="1"/>
        </w:numPr>
        <w:spacing w:after="80"/>
      </w:pPr>
      <w:r>
        <w:t xml:space="preserve">Paiement mobile dominant : Mobile Money (MTN MoMo, Orange Money, etc.) est le moyen de paiement réel, avec des habitudes de micro-paiement ponctuel plutôt que d'abonnement récurrent prélevé automatiquement.</w:t>
      </w:r>
    </w:p>
    <w:p>
      <w:pPr>
        <w:pStyle w:val="ListParagraph"/>
        <w:numPr>
          <w:ilvl w:val="0"/>
          <w:numId w:val="1"/>
        </w:numPr>
        <w:spacing w:after="80"/>
      </w:pPr>
      <w:r>
        <w:t xml:space="preserve">Connectivité et coût de la donnée hétérogènes : une expérience lourde en images/vidéo exclut une partie des utilisateurs ; le mode léger et le hors-ligne partiel sont un avantage concurrentiel, pas un détail technique.</w:t>
      </w:r>
    </w:p>
    <w:p>
      <w:pPr>
        <w:pStyle w:val="ListParagraph"/>
        <w:numPr>
          <w:ilvl w:val="0"/>
          <w:numId w:val="1"/>
        </w:numPr>
        <w:spacing w:after="80"/>
      </w:pPr>
      <w:r>
        <w:t xml:space="preserve">Confiance institutionnelle faible envers le numérique et les intermédiaires : la vérification (des diplômes, des entreprises, des offres) a une valeur perçue beaucoup plus forte qu'en Europe, où ces vérifications existent déjà ailleurs.</w:t>
      </w:r>
    </w:p>
    <w:p>
      <w:pPr>
        <w:pStyle w:val="ListParagraph"/>
        <w:numPr>
          <w:ilvl w:val="0"/>
          <w:numId w:val="1"/>
        </w:numPr>
        <w:spacing w:after="80"/>
      </w:pPr>
      <w:r>
        <w:t xml:space="preserve">Économie informelle et TPE/PME majoritaires : le gros volume d'employeurs n'est pas la grande entreprise qui paie un abonnement RH, mais l'employeur local qui a besoin d'un service simple, ponctuel, et pas cher.</w:t>
      </w:r>
    </w:p>
    <w:p>
      <w:pPr>
        <w:pStyle w:val="ListParagraph"/>
        <w:numPr>
          <w:ilvl w:val="0"/>
          <w:numId w:val="1"/>
        </w:numPr>
        <w:spacing w:after="80"/>
      </w:pPr>
      <w:r>
        <w:t xml:space="preserve">Bailleurs, coopérations et grandes entreprises panafricaines cherchent des canaux d'impact mesurable sur l'emploi des jeunes : un budget existe, mais il se capte par des partenariats institutionnels, pas par la publicité display.</w:t>
      </w:r>
    </w:p>
    <w:p>
      <w:pPr>
        <w:spacing w:after="160"/>
      </w:pPr>
      <w:r>
        <w:rPr>
          <w:b w:val="false"/>
          <w:bCs w:val="false"/>
        </w:rPr>
        <w:t xml:space="preserve">Conclusion opérationnelle : le modèle qui fonctionne en Afrique combine un socle 100% gratuit pour le grand nombre de jeunes, des micro-paiements ponctuels via Mobile Money pour des services précis (pas des abonnements récurrents complexes à faire adopter au démarrage), et des contrats B2B/B2I plus classiques avec entreprises, établissements et institutions, qui ont un vrai budget et un vrai besoin de données fiables.</w:t>
      </w:r>
    </w:p>
    <w:p>
      <w:pPr>
        <w:pStyle w:val="Heading1"/>
        <w:spacing w:after="200" w:before="400"/>
      </w:pPr>
      <w:r>
        <w:t xml:space="preserve">2. Proposition de valeur unique — ce qui rend LES STAGIAIRES difficile à copier</w:t>
      </w:r>
    </w:p>
    <w:p>
      <w:pPr>
        <w:spacing w:after="160"/>
      </w:pPr>
      <w:r>
        <w:t xml:space="preserve">Le corpus existant contient déjà l'essentiel d'un avantage concurrentiel réel. Trois éléments méritent d'être mis en avant en priorité, car ce sont eux qui créent une barrière à l'entrée :</w:t>
      </w:r>
    </w:p>
    <w:p>
      <w:pPr>
        <w:pStyle w:val="Heading2"/>
        <w:spacing w:after="150" w:before="300"/>
      </w:pPr>
      <w:r>
        <w:t xml:space="preserve">2.1 Le Passeport Professionnel Africain et le LS-ID</w:t>
      </w:r>
    </w:p>
    <w:p>
      <w:pPr>
        <w:spacing w:after="160"/>
      </w:pPr>
      <w:r>
        <w:t xml:space="preserve">Une identité professionnelle unique, vérifiée, portable d'un stage à un emploi, d'une entreprise à une autre, d'un pays à un autre. C'est un actif qui prend de la valeur avec le temps et avec le nombre d'utilisateurs — un effet réseau réel, contrairement à une simple liste d'offres d'emploi.</w:t>
      </w:r>
    </w:p>
    <w:p>
      <w:pPr>
        <w:pStyle w:val="Heading2"/>
        <w:spacing w:after="150" w:before="300"/>
      </w:pPr>
      <w:r>
        <w:t xml:space="preserve">2.2 La vérification comme produit, pas comme fonctionnalité annexe</w:t>
      </w:r>
    </w:p>
    <w:p>
      <w:pPr>
        <w:spacing w:after="160"/>
      </w:pPr>
      <w:r>
        <w:t xml:space="preserve">Dans un environnement où la fraude aux diplômes et les fausses offres sont un problème documenté, être la plateforme dont le badge « Vérifié » a une valeur réelle est un positionnement défendable — et monétisable directement auprès des entreprises qui veulent recruter en confiance, et des jeunes qui veulent être crédibles.</w:t>
      </w:r>
    </w:p>
    <w:p>
      <w:pPr>
        <w:pStyle w:val="Heading2"/>
        <w:spacing w:after="150" w:before="300"/>
      </w:pPr>
      <w:r>
        <w:t xml:space="preserve">2.3 L'Observatoire de l'Employabilité et l'Indice Africain de l'Employabilité des Jeunes</w:t>
      </w:r>
    </w:p>
    <w:p>
      <w:pPr>
        <w:spacing w:after="160"/>
      </w:pPr>
      <w:r>
        <w:t xml:space="preserve">C'est l'actif le plus sous-exploité du corpus. Une fois que la plateforme a du volume, ces données statistiques anonymisées ont une valeur commerciale directe auprès des établissements, des ministères, des bailleurs internationaux et des grandes entreprises qui pilotent leurs politiques RH ou leurs stratégies d'implantation sur des données de terrain fiables — un marché quasiment inexistant aujourd'hui en Afrique francophone.</w:t>
      </w:r>
    </w:p>
    <w:p>
      <w:pPr>
        <w:pStyle w:val="Heading1"/>
        <w:spacing w:after="200" w:before="400"/>
      </w:pPr>
      <w:r>
        <w:t xml:space="preserve">3. Feuille de route en trois couches</w:t>
      </w:r>
    </w:p>
    <w:p>
      <w:pPr>
        <w:spacing w:after="160"/>
      </w:pPr>
      <w:r>
        <w:t xml:space="preserve">Le principe directeur : aucune couche ne s'ouvre tant que la précédente n'a pas atteint son seuil de preuve.</w:t>
      </w:r>
    </w:p>
    <w:p>
      <w:pPr>
        <w:pStyle w:val="Heading2"/>
        <w:spacing w:after="150" w:before="300"/>
      </w:pPr>
      <w:r>
        <w:t xml:space="preserve">Couche 1 — Prouver (0 à 9 mois, Cameroun uniquement)</w:t>
      </w:r>
    </w:p>
    <w:p>
      <w:pPr>
        <w:spacing w:after="160"/>
      </w:pPr>
      <w:r>
        <w:t xml:space="preserve">Objectif : démontrer qu'un jeune, une entreprise et un établissement camerounais utilisent réellement la plateforme, sans subvention artificielle.</w:t>
      </w:r>
    </w:p>
    <w:p>
      <w:pPr>
        <w:pStyle w:val="ListParagraph"/>
        <w:numPr>
          <w:ilvl w:val="0"/>
          <w:numId w:val="1"/>
        </w:numPr>
        <w:spacing w:after="80"/>
      </w:pPr>
      <w:r>
        <w:t xml:space="preserve">Modules activés : Authentification, Profils, LS-ID/Digital Safe (version simple), Opportunités, Candidatures, Entreprises/Organisations, Établissements — rien d'autre.</w:t>
      </w:r>
    </w:p>
    <w:p>
      <w:pPr>
        <w:pStyle w:val="ListParagraph"/>
        <w:numPr>
          <w:ilvl w:val="0"/>
          <w:numId w:val="1"/>
        </w:numPr>
        <w:spacing w:after="80"/>
      </w:pPr>
      <w:r>
        <w:t xml:space="preserve">Une seule ville ou deux (Yaoundé, Douala) avant extension nationale.</w:t>
      </w:r>
    </w:p>
    <w:p>
      <w:pPr>
        <w:pStyle w:val="ListParagraph"/>
        <w:numPr>
          <w:ilvl w:val="0"/>
          <w:numId w:val="1"/>
        </w:numPr>
        <w:spacing w:after="80"/>
      </w:pPr>
      <w:r>
        <w:t xml:space="preserve">Cible de preuve : 3 000 à 5 000 profils jeunes actifs, 150 à 300 entreprises/organisations inscrites, 30 à 50 conventions de stage effectivement signées via la plateforme.</w:t>
      </w:r>
    </w:p>
    <w:p>
      <w:pPr>
        <w:pStyle w:val="ListParagraph"/>
        <w:numPr>
          <w:ilvl w:val="0"/>
          <w:numId w:val="1"/>
        </w:numPr>
        <w:spacing w:after="80"/>
      </w:pPr>
      <w:r>
        <w:t xml:space="preserve">Aucune fonctionnalité payante activée à ce stade, sauf test contrôlé de PROTECT sur un petit échantillon pour mesurer l'intention de payer réelle.</w:t>
      </w:r>
    </w:p>
    <w:p>
      <w:pPr>
        <w:pStyle w:val="Heading2"/>
        <w:spacing w:after="150" w:before="300"/>
      </w:pPr>
      <w:r>
        <w:t xml:space="preserve">Le socle gratuit indispensable — à ne jamais différer</w:t>
      </w:r>
    </w:p>
    <w:p>
      <w:pPr>
        <w:spacing w:after="160"/>
      </w:pPr>
      <w:r>
        <w:t xml:space="preserve">Un jeune qui ne sait pas rédiger une lettre de motivation et qui ne reçoit jamais de nouvelles de sa candidature abandonne l'application, quel que soit le prix demandé ailleurs. Ce n'est pas un service de confort : c'est la condition minimale pour que la Couche 1 produise une preuve d'usage réelle. Trois briques doivent donc être gratuites dès le premier jour, à l'intérieur même des modules Profils et Candidatures — pas différées en Couche 2 ou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860"/>
      </w:tblGrid>
      <w:tr>
        <w:tc>
          <w:tcPr>
            <w:tcW w:type="dxa" w:w="2900"/>
            <w:shd w:fill="1B2A4A" w:val="clear"/>
            <w:tcMar>
              <w:top w:type="dxa" w:w="100"/>
              <w:left w:type="dxa" w:w="120"/>
              <w:bottom w:type="dxa" w:w="100"/>
              <w:right w:type="dxa" w:w="120"/>
            </w:tcMar>
          </w:tcPr>
          <w:p>
            <w:r>
              <w:rPr>
                <w:b/>
                <w:bCs/>
                <w:color w:val="FFFFFF"/>
                <w:sz w:val="19"/>
                <w:szCs w:val="19"/>
              </w:rPr>
              <w:t xml:space="preserve">Brique gratuite</w:t>
            </w:r>
          </w:p>
        </w:tc>
        <w:tc>
          <w:tcPr>
            <w:tcW w:type="dxa" w:w="3600"/>
            <w:shd w:fill="1B2A4A" w:val="clear"/>
            <w:tcMar>
              <w:top w:type="dxa" w:w="100"/>
              <w:left w:type="dxa" w:w="120"/>
              <w:bottom w:type="dxa" w:w="100"/>
              <w:right w:type="dxa" w:w="120"/>
            </w:tcMar>
          </w:tcPr>
          <w:p>
            <w:r>
              <w:rPr>
                <w:b/>
                <w:bCs/>
                <w:color w:val="FFFFFF"/>
                <w:sz w:val="19"/>
                <w:szCs w:val="19"/>
              </w:rPr>
              <w:t xml:space="preserve">Ce qu'elle couvre</w:t>
            </w:r>
          </w:p>
        </w:tc>
        <w:tc>
          <w:tcPr>
            <w:tcW w:type="dxa" w:w="2860"/>
            <w:shd w:fill="1B2A4A" w:val="clear"/>
            <w:tcMar>
              <w:top w:type="dxa" w:w="100"/>
              <w:left w:type="dxa" w:w="120"/>
              <w:bottom w:type="dxa" w:w="100"/>
              <w:right w:type="dxa" w:w="120"/>
            </w:tcMar>
          </w:tcPr>
          <w:p>
            <w:r>
              <w:rPr>
                <w:b/>
                <w:bCs/>
                <w:color w:val="FFFFFF"/>
                <w:sz w:val="19"/>
                <w:szCs w:val="19"/>
              </w:rPr>
              <w:t xml:space="preserve">Ordre de grandeur du coût technique</w:t>
            </w:r>
          </w:p>
        </w:tc>
      </w:tr>
      <w:tr>
        <w:tc>
          <w:tcPr>
            <w:tcW w:type="dxa" w:w="2900"/>
            <w:tcMar>
              <w:top w:type="dxa" w:w="100"/>
              <w:left w:type="dxa" w:w="120"/>
              <w:bottom w:type="dxa" w:w="100"/>
              <w:right w:type="dxa" w:w="120"/>
            </w:tcMar>
          </w:tcPr>
          <w:p>
            <w:r>
              <w:rPr>
                <w:sz w:val="19"/>
                <w:szCs w:val="19"/>
              </w:rPr>
              <w:t xml:space="preserve">Assistant CV / Lettre de motivation basique</w:t>
            </w:r>
          </w:p>
        </w:tc>
        <w:tc>
          <w:tcPr>
            <w:tcW w:type="dxa" w:w="3600"/>
            <w:tcMar>
              <w:top w:type="dxa" w:w="100"/>
              <w:left w:type="dxa" w:w="120"/>
              <w:bottom w:type="dxa" w:w="100"/>
              <w:right w:type="dxa" w:w="120"/>
            </w:tcMar>
          </w:tcPr>
          <w:p>
            <w:r>
              <w:rPr>
                <w:sz w:val="19"/>
                <w:szCs w:val="19"/>
              </w:rPr>
              <w:t xml:space="preserve">Génération automatique à partir du profil déjà rempli, sur un modèle simple et guidé (quelques questions, pas de relecture humaine)</w:t>
            </w:r>
          </w:p>
        </w:tc>
        <w:tc>
          <w:tcPr>
            <w:tcW w:type="dxa" w:w="2860"/>
            <w:tcMar>
              <w:top w:type="dxa" w:w="100"/>
              <w:left w:type="dxa" w:w="120"/>
              <w:bottom w:type="dxa" w:w="100"/>
              <w:right w:type="dxa" w:w="120"/>
            </w:tcMar>
          </w:tcPr>
          <w:p>
            <w:r>
              <w:rPr>
                <w:sz w:val="19"/>
                <w:szCs w:val="19"/>
              </w:rPr>
              <w:t xml:space="preserve">Coût marginal faible par génération (appel à un modèle d'IA standard) — de l'ordre de quelques millions de FCFA par an pour plusieurs milliers d'utilisateurs actifs, à affiner avec le volume réel</w:t>
            </w:r>
          </w:p>
        </w:tc>
      </w:tr>
      <w:tr>
        <w:tc>
          <w:tcPr>
            <w:tcW w:type="dxa" w:w="2900"/>
            <w:tcMar>
              <w:top w:type="dxa" w:w="100"/>
              <w:left w:type="dxa" w:w="120"/>
              <w:bottom w:type="dxa" w:w="100"/>
              <w:right w:type="dxa" w:w="120"/>
            </w:tcMar>
          </w:tcPr>
          <w:p>
            <w:r>
              <w:rPr>
                <w:sz w:val="19"/>
                <w:szCs w:val="19"/>
              </w:rPr>
              <w:t xml:space="preserve">Notifications de base</w:t>
            </w:r>
          </w:p>
        </w:tc>
        <w:tc>
          <w:tcPr>
            <w:tcW w:type="dxa" w:w="3600"/>
            <w:tcMar>
              <w:top w:type="dxa" w:w="100"/>
              <w:left w:type="dxa" w:w="120"/>
              <w:bottom w:type="dxa" w:w="100"/>
              <w:right w:type="dxa" w:w="120"/>
            </w:tcMar>
          </w:tcPr>
          <w:p>
            <w:r>
              <w:rPr>
                <w:sz w:val="19"/>
                <w:szCs w:val="19"/>
              </w:rPr>
              <w:t xml:space="preserve">Statut de candidature (reçue, en cours, acceptée, refusée) et alerte de nouvelle offre correspondant au profil</w:t>
            </w:r>
          </w:p>
        </w:tc>
        <w:tc>
          <w:tcPr>
            <w:tcW w:type="dxa" w:w="2860"/>
            <w:tcMar>
              <w:top w:type="dxa" w:w="100"/>
              <w:left w:type="dxa" w:w="120"/>
              <w:bottom w:type="dxa" w:w="100"/>
              <w:right w:type="dxa" w:w="120"/>
            </w:tcMar>
          </w:tcPr>
          <w:p>
            <w:r>
              <w:rPr>
                <w:sz w:val="19"/>
                <w:szCs w:val="19"/>
              </w:rPr>
              <w:t xml:space="preserve">Coût d'infrastructure de notification (in-app + SMS de base) faible et déjà standard pour ce type d'application, à intégrer au budget technique général plutôt qu'à isoler</w:t>
            </w:r>
          </w:p>
        </w:tc>
      </w:tr>
      <w:tr>
        <w:tc>
          <w:tcPr>
            <w:tcW w:type="dxa" w:w="2900"/>
            <w:tcMar>
              <w:top w:type="dxa" w:w="100"/>
              <w:left w:type="dxa" w:w="120"/>
              <w:bottom w:type="dxa" w:w="100"/>
              <w:right w:type="dxa" w:w="120"/>
            </w:tcMar>
          </w:tcPr>
          <w:p>
            <w:r>
              <w:rPr>
                <w:sz w:val="19"/>
                <w:szCs w:val="19"/>
              </w:rPr>
              <w:t xml:space="preserve">FAQ / assistant de questions courantes</w:t>
            </w:r>
          </w:p>
        </w:tc>
        <w:tc>
          <w:tcPr>
            <w:tcW w:type="dxa" w:w="3600"/>
            <w:tcMar>
              <w:top w:type="dxa" w:w="100"/>
              <w:left w:type="dxa" w:w="120"/>
              <w:bottom w:type="dxa" w:w="100"/>
              <w:right w:type="dxa" w:w="120"/>
            </w:tcMar>
          </w:tcPr>
          <w:p>
            <w:r>
              <w:rPr>
                <w:sz w:val="19"/>
                <w:szCs w:val="19"/>
              </w:rPr>
              <w:t xml:space="preserve">Réponses immédiates 24/7 aux blocages fréquents (comment candidater, que faire sans réponse, etc.) — un chatbot simple, pas un conseiller humain</w:t>
            </w:r>
          </w:p>
        </w:tc>
        <w:tc>
          <w:tcPr>
            <w:tcW w:type="dxa" w:w="2860"/>
            <w:tcMar>
              <w:top w:type="dxa" w:w="100"/>
              <w:left w:type="dxa" w:w="120"/>
              <w:bottom w:type="dxa" w:w="100"/>
              <w:right w:type="dxa" w:w="120"/>
            </w:tcMar>
          </w:tcPr>
          <w:p>
            <w:r>
              <w:rPr>
                <w:sz w:val="19"/>
                <w:szCs w:val="19"/>
              </w:rPr>
              <w:t xml:space="preserve">Coût faible, largement inférieur aux deux briques précédentes une fois la base de questions constituée</w:t>
            </w:r>
          </w:p>
        </w:tc>
      </w:tr>
    </w:tbl>
    <w:p>
      <w:pPr>
        <w:spacing w:after="100"/>
      </w:pP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b/>
                <w:bCs/>
                <w:color w:val="1B2A4A"/>
                <w:sz w:val="21"/>
                <w:szCs w:val="21"/>
              </w:rPr>
              <w:t xml:space="preserve">Chiffres à valider, pas à figer</w:t>
            </w:r>
          </w:p>
          <w:p>
            <w:r>
              <w:rPr>
                <w:i/>
                <w:iCs/>
                <w:color w:val="333333"/>
                <w:sz w:val="20"/>
                <w:szCs w:val="20"/>
              </w:rPr>
              <w:t xml:space="preserve">Ces ordres de grandeur sont indicatifs et dépendent du prestataire d'IA retenu, du volume réel d'utilisateurs et des tarifs Mobile Money/SMS négociés localement. Ils doivent être vérifiés avec un devis technique réel avant d'être intégrés à un budget engageant — ce document ne remplace pas un chiffrage technique ni un avis financier professionnel.</w:t>
            </w:r>
          </w:p>
        </w:tc>
      </w:tr>
    </w:tbl>
    <w:p>
      <w:pPr>
        <w:spacing w:after="100"/>
      </w:pPr>
    </w:p>
    <w:p>
      <w:pPr>
        <w:pStyle w:val="Heading2"/>
        <w:spacing w:after="150" w:before="300"/>
      </w:pPr>
      <w:r>
        <w:t xml:space="preserve">Couche 2 — Monétiser (9 à 18 mois, toujours Cameroun, extension progressive)</w:t>
      </w:r>
    </w:p>
    <w:p>
      <w:pPr>
        <w:spacing w:after="160"/>
      </w:pPr>
      <w:r>
        <w:t xml:space="preserve">Objectif : convertir la confiance acquise en revenus récurrents et ponctuels, sur la base de comportements réels observés en Couche 1, pas d'hypothèses.</w:t>
      </w:r>
    </w:p>
    <w:p>
      <w:pPr>
        <w:pStyle w:val="ListParagraph"/>
        <w:numPr>
          <w:ilvl w:val="0"/>
          <w:numId w:val="1"/>
        </w:numPr>
        <w:spacing w:after="80"/>
      </w:pPr>
      <w:r>
        <w:t xml:space="preserve">Lancement de PROTECT et PRO en micro-paiement Mobile Money (paiement à l'usage ou trimestriel plutôt que prélèvement mensuel automatique) — recentré sur l'accompagnement juridique (contrat de stage litigieux, abus, questions de droit du travail) et la préparation à l'entretien (réponses personnalisées, mise en situation), et non sur l'aide de base à la candidature qui reste gratuite.</w:t>
      </w:r>
    </w:p>
    <w:p>
      <w:pPr>
        <w:pStyle w:val="ListParagraph"/>
        <w:numPr>
          <w:ilvl w:val="0"/>
          <w:numId w:val="1"/>
        </w:numPr>
        <w:spacing w:after="80"/>
      </w:pPr>
      <w:r>
        <w:t xml:space="preserve">Lancement de BUSINESS pour les entreprises : accès prioritaire au vivier, statistiques de recrutement, badge « Entreprise Vérifiée ».</w:t>
      </w:r>
    </w:p>
    <w:p>
      <w:pPr>
        <w:pStyle w:val="ListParagraph"/>
        <w:numPr>
          <w:ilvl w:val="0"/>
          <w:numId w:val="1"/>
        </w:numPr>
        <w:spacing w:after="80"/>
      </w:pPr>
      <w:r>
        <w:t xml:space="preserve">Premiers contrats INSTITUTION avec 2 à 3 établissements pilotes (visibilité, statistiques d'insertion, EDU-ID).</w:t>
      </w:r>
    </w:p>
    <w:p>
      <w:pPr>
        <w:pStyle w:val="ListParagraph"/>
        <w:numPr>
          <w:ilvl w:val="0"/>
          <w:numId w:val="1"/>
        </w:numPr>
        <w:spacing w:after="80"/>
      </w:pPr>
      <w:r>
        <w:t xml:space="preserve">Premiers partenariats de financement institutionnel ciblés (voir section 4) pour financer la gratuité du socle, sans dépendre uniquement des abonnements individuels.</w:t>
      </w:r>
    </w:p>
    <w:p>
      <w:pPr>
        <w:pStyle w:val="Heading2"/>
        <w:spacing w:after="150" w:before="300"/>
      </w:pPr>
      <w:r>
        <w:t xml:space="preserve">Couche 3 — Étendre (18 mois et au-delà)</w:t>
      </w:r>
    </w:p>
    <w:p>
      <w:pPr>
        <w:spacing w:after="160"/>
      </w:pPr>
      <w:r>
        <w:t xml:space="preserve">Objectif : ce qui est aujourd'hui décrit dans le corpus stratégique (IA avancée, mentorat rémunéré, ambassadeurs, Summit, Fonds de Développement des Talents, expansion multi-pays, LS Marketplace) — activé module par module, uniquement si son financement est déjà identifié avant le développement, pas après.</w:t>
      </w:r>
    </w:p>
    <w:p>
      <w:pPr>
        <w:pStyle w:val="ListParagraph"/>
        <w:numPr>
          <w:ilvl w:val="0"/>
          <w:numId w:val="1"/>
        </w:numPr>
        <w:spacing w:after="80"/>
      </w:pPr>
      <w:r>
        <w:t xml:space="preserve">Expansion pays par pays, en commençant par un marché à profil économique proche (ex. Côte d'Ivoire ou Sénégal) plutôt qu'un déploiement panafricain simultané.</w:t>
      </w:r>
    </w:p>
    <w:p>
      <w:pPr>
        <w:pStyle w:val="ListParagraph"/>
        <w:numPr>
          <w:ilvl w:val="0"/>
          <w:numId w:val="1"/>
        </w:numPr>
        <w:spacing w:after="80"/>
      </w:pPr>
      <w:r>
        <w:t xml:space="preserve">Ouverture du module Ambassadeurs/Parrainage uniquement après validation juridique formelle du dispositif de rémunération (risque identifié précédemment).</w:t>
      </w:r>
    </w:p>
    <w:p>
      <w:pPr>
        <w:pStyle w:val="ListParagraph"/>
        <w:numPr>
          <w:ilvl w:val="0"/>
          <w:numId w:val="1"/>
        </w:numPr>
        <w:spacing w:after="80"/>
      </w:pPr>
      <w:r>
        <w:t xml:space="preserve">Commercialisation de l'Observatoire de l'Employabilité auprès des institutions et bailleurs — c'est ici que la rentabilité peut réellement s'accélérer.</w:t>
      </w:r>
    </w:p>
    <w:p>
      <w:pPr>
        <w:pStyle w:val="Heading1"/>
        <w:spacing w:after="200" w:before="400"/>
      </w:pPr>
      <w:r>
        <w:t xml:space="preserve">4. Modèle de revenus adapté au contexte africain</w:t>
      </w:r>
    </w:p>
    <w:p>
      <w:pPr>
        <w:spacing w:after="160"/>
      </w:pPr>
      <w:r>
        <w:t xml:space="preserve">Cinq sources de revenus, classées par facilité d'activation et non par ordre du corpus existant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c>
          <w:tcPr>
            <w:tcW w:type="dxa" w:w="3100"/>
            <w:shd w:fill="1B2A4A" w:val="clear"/>
            <w:tcMar>
              <w:top w:type="dxa" w:w="100"/>
              <w:left w:type="dxa" w:w="120"/>
              <w:bottom w:type="dxa" w:w="100"/>
              <w:right w:type="dxa" w:w="120"/>
            </w:tcMar>
          </w:tcPr>
          <w:p>
            <w:r>
              <w:rPr>
                <w:b/>
                <w:bCs/>
                <w:color w:val="FFFFFF"/>
                <w:sz w:val="19"/>
                <w:szCs w:val="19"/>
              </w:rPr>
              <w:t xml:space="preserve">Source de revenu</w:t>
            </w:r>
          </w:p>
        </w:tc>
        <w:tc>
          <w:tcPr>
            <w:tcW w:type="dxa" w:w="3100"/>
            <w:shd w:fill="1B2A4A" w:val="clear"/>
            <w:tcMar>
              <w:top w:type="dxa" w:w="100"/>
              <w:left w:type="dxa" w:w="120"/>
              <w:bottom w:type="dxa" w:w="100"/>
              <w:right w:type="dxa" w:w="120"/>
            </w:tcMar>
          </w:tcPr>
          <w:p>
            <w:r>
              <w:rPr>
                <w:b/>
                <w:bCs/>
                <w:color w:val="FFFFFF"/>
                <w:sz w:val="19"/>
                <w:szCs w:val="19"/>
              </w:rPr>
              <w:t xml:space="preserve">Payeur réel</w:t>
            </w:r>
          </w:p>
        </w:tc>
        <w:tc>
          <w:tcPr>
            <w:tcW w:type="dxa" w:w="3160"/>
            <w:shd w:fill="1B2A4A" w:val="clear"/>
            <w:tcMar>
              <w:top w:type="dxa" w:w="100"/>
              <w:left w:type="dxa" w:w="120"/>
              <w:bottom w:type="dxa" w:w="100"/>
              <w:right w:type="dxa" w:w="120"/>
            </w:tcMar>
          </w:tcPr>
          <w:p>
            <w:r>
              <w:rPr>
                <w:b/>
                <w:bCs/>
                <w:color w:val="FFFFFF"/>
                <w:sz w:val="19"/>
                <w:szCs w:val="19"/>
              </w:rPr>
              <w:t xml:space="preserve">Mécanisme</w:t>
            </w:r>
          </w:p>
        </w:tc>
      </w:tr>
      <w:tr>
        <w:tc>
          <w:tcPr>
            <w:tcW w:type="dxa" w:w="3100"/>
            <w:tcMar>
              <w:top w:type="dxa" w:w="100"/>
              <w:left w:type="dxa" w:w="120"/>
              <w:bottom w:type="dxa" w:w="100"/>
              <w:right w:type="dxa" w:w="120"/>
            </w:tcMar>
          </w:tcPr>
          <w:p>
            <w:r>
              <w:rPr>
                <w:sz w:val="19"/>
                <w:szCs w:val="19"/>
              </w:rPr>
              <w:t xml:space="preserve">PROTECT / PRO</w:t>
            </w:r>
          </w:p>
        </w:tc>
        <w:tc>
          <w:tcPr>
            <w:tcW w:type="dxa" w:w="3100"/>
            <w:tcMar>
              <w:top w:type="dxa" w:w="100"/>
              <w:left w:type="dxa" w:w="120"/>
              <w:bottom w:type="dxa" w:w="100"/>
              <w:right w:type="dxa" w:w="120"/>
            </w:tcMar>
          </w:tcPr>
          <w:p>
            <w:r>
              <w:rPr>
                <w:sz w:val="19"/>
                <w:szCs w:val="19"/>
              </w:rPr>
              <w:t xml:space="preserve">Jeunes et familles solvables (minorité assumée)</w:t>
            </w:r>
          </w:p>
        </w:tc>
        <w:tc>
          <w:tcPr>
            <w:tcW w:type="dxa" w:w="3160"/>
            <w:tcMar>
              <w:top w:type="dxa" w:w="100"/>
              <w:left w:type="dxa" w:w="120"/>
              <w:bottom w:type="dxa" w:w="100"/>
              <w:right w:type="dxa" w:w="120"/>
            </w:tcMar>
          </w:tcPr>
          <w:p>
            <w:r>
              <w:rPr>
                <w:sz w:val="19"/>
                <w:szCs w:val="19"/>
              </w:rPr>
              <w:t xml:space="preserve">Micro-paiement Mobile Money, à l'acte ou trimestriel — centré sur l'accompagnement juridique et la préparation à l'entretien ; l'aide de base à la candidature reste gratuite (voir socle gratuit, section 3)</w:t>
            </w:r>
          </w:p>
        </w:tc>
      </w:tr>
      <w:tr>
        <w:tc>
          <w:tcPr>
            <w:tcW w:type="dxa" w:w="3100"/>
            <w:tcMar>
              <w:top w:type="dxa" w:w="100"/>
              <w:left w:type="dxa" w:w="120"/>
              <w:bottom w:type="dxa" w:w="100"/>
              <w:right w:type="dxa" w:w="120"/>
            </w:tcMar>
          </w:tcPr>
          <w:p>
            <w:r>
              <w:rPr>
                <w:sz w:val="19"/>
                <w:szCs w:val="19"/>
              </w:rPr>
              <w:t xml:space="preserve">BUSINESS</w:t>
            </w:r>
          </w:p>
        </w:tc>
        <w:tc>
          <w:tcPr>
            <w:tcW w:type="dxa" w:w="3100"/>
            <w:tcMar>
              <w:top w:type="dxa" w:w="100"/>
              <w:left w:type="dxa" w:w="120"/>
              <w:bottom w:type="dxa" w:w="100"/>
              <w:right w:type="dxa" w:w="120"/>
            </w:tcMar>
          </w:tcPr>
          <w:p>
            <w:r>
              <w:rPr>
                <w:sz w:val="19"/>
                <w:szCs w:val="19"/>
              </w:rPr>
              <w:t xml:space="preserve">Entreprises et recruteurs</w:t>
            </w:r>
          </w:p>
        </w:tc>
        <w:tc>
          <w:tcPr>
            <w:tcW w:type="dxa" w:w="3160"/>
            <w:tcMar>
              <w:top w:type="dxa" w:w="100"/>
              <w:left w:type="dxa" w:w="120"/>
              <w:bottom w:type="dxa" w:w="100"/>
              <w:right w:type="dxa" w:w="120"/>
            </w:tcMar>
          </w:tcPr>
          <w:p>
            <w:r>
              <w:rPr>
                <w:sz w:val="19"/>
                <w:szCs w:val="19"/>
              </w:rPr>
              <w:t xml:space="preserve">Abonnement annuel : accès prioritaire au vivier, statistiques, badge vérifié</w:t>
            </w:r>
          </w:p>
        </w:tc>
      </w:tr>
      <w:tr>
        <w:tc>
          <w:tcPr>
            <w:tcW w:type="dxa" w:w="3100"/>
            <w:tcMar>
              <w:top w:type="dxa" w:w="100"/>
              <w:left w:type="dxa" w:w="120"/>
              <w:bottom w:type="dxa" w:w="100"/>
              <w:right w:type="dxa" w:w="120"/>
            </w:tcMar>
          </w:tcPr>
          <w:p>
            <w:r>
              <w:rPr>
                <w:sz w:val="19"/>
                <w:szCs w:val="19"/>
              </w:rPr>
              <w:t xml:space="preserve">INSTITUTION</w:t>
            </w:r>
          </w:p>
        </w:tc>
        <w:tc>
          <w:tcPr>
            <w:tcW w:type="dxa" w:w="3100"/>
            <w:tcMar>
              <w:top w:type="dxa" w:w="100"/>
              <w:left w:type="dxa" w:w="120"/>
              <w:bottom w:type="dxa" w:w="100"/>
              <w:right w:type="dxa" w:w="120"/>
            </w:tcMar>
          </w:tcPr>
          <w:p>
            <w:r>
              <w:rPr>
                <w:sz w:val="19"/>
                <w:szCs w:val="19"/>
              </w:rPr>
              <w:t xml:space="preserve">Établissements d'enseignement</w:t>
            </w:r>
          </w:p>
        </w:tc>
        <w:tc>
          <w:tcPr>
            <w:tcW w:type="dxa" w:w="3160"/>
            <w:tcMar>
              <w:top w:type="dxa" w:w="100"/>
              <w:left w:type="dxa" w:w="120"/>
              <w:bottom w:type="dxa" w:w="100"/>
              <w:right w:type="dxa" w:w="120"/>
            </w:tcMar>
          </w:tcPr>
          <w:p>
            <w:r>
              <w:rPr>
                <w:sz w:val="19"/>
                <w:szCs w:val="19"/>
              </w:rPr>
              <w:t xml:space="preserve">Contrat annuel : visibilité, statistiques d'insertion, EDU-ID, outils de suivi</w:t>
            </w:r>
          </w:p>
        </w:tc>
      </w:tr>
      <w:tr>
        <w:tc>
          <w:tcPr>
            <w:tcW w:type="dxa" w:w="3100"/>
            <w:tcMar>
              <w:top w:type="dxa" w:w="100"/>
              <w:left w:type="dxa" w:w="120"/>
              <w:bottom w:type="dxa" w:w="100"/>
              <w:right w:type="dxa" w:w="120"/>
            </w:tcMar>
          </w:tcPr>
          <w:p>
            <w:r>
              <w:rPr>
                <w:sz w:val="19"/>
                <w:szCs w:val="19"/>
              </w:rPr>
              <w:t xml:space="preserve">Partenariats à impact</w:t>
            </w:r>
          </w:p>
        </w:tc>
        <w:tc>
          <w:tcPr>
            <w:tcW w:type="dxa" w:w="3100"/>
            <w:tcMar>
              <w:top w:type="dxa" w:w="100"/>
              <w:left w:type="dxa" w:w="120"/>
              <w:bottom w:type="dxa" w:w="100"/>
              <w:right w:type="dxa" w:w="120"/>
            </w:tcMar>
          </w:tcPr>
          <w:p>
            <w:r>
              <w:rPr>
                <w:sz w:val="19"/>
                <w:szCs w:val="19"/>
              </w:rPr>
              <w:t xml:space="preserve">Bailleurs, coopérations, ONG, grandes entreprises panafricaines (RSE)</w:t>
            </w:r>
          </w:p>
        </w:tc>
        <w:tc>
          <w:tcPr>
            <w:tcW w:type="dxa" w:w="3160"/>
            <w:tcMar>
              <w:top w:type="dxa" w:w="100"/>
              <w:left w:type="dxa" w:w="120"/>
              <w:bottom w:type="dxa" w:w="100"/>
              <w:right w:type="dxa" w:w="120"/>
            </w:tcMar>
          </w:tcPr>
          <w:p>
            <w:r>
              <w:rPr>
                <w:sz w:val="19"/>
                <w:szCs w:val="19"/>
              </w:rPr>
              <w:t xml:space="preserve">Financement du socle gratuit contre indicateurs d'impact mesurables (jeunes insérés, filles touchées, zones rurales couvertes)</w:t>
            </w:r>
          </w:p>
        </w:tc>
      </w:tr>
      <w:tr>
        <w:tc>
          <w:tcPr>
            <w:tcW w:type="dxa" w:w="3100"/>
            <w:tcMar>
              <w:top w:type="dxa" w:w="100"/>
              <w:left w:type="dxa" w:w="120"/>
              <w:bottom w:type="dxa" w:w="100"/>
              <w:right w:type="dxa" w:w="120"/>
            </w:tcMar>
          </w:tcPr>
          <w:p>
            <w:r>
              <w:rPr>
                <w:sz w:val="19"/>
                <w:szCs w:val="19"/>
              </w:rPr>
              <w:t xml:space="preserve">Observatoire / données</w:t>
            </w:r>
          </w:p>
        </w:tc>
        <w:tc>
          <w:tcPr>
            <w:tcW w:type="dxa" w:w="3100"/>
            <w:tcMar>
              <w:top w:type="dxa" w:w="100"/>
              <w:left w:type="dxa" w:w="120"/>
              <w:bottom w:type="dxa" w:w="100"/>
              <w:right w:type="dxa" w:w="120"/>
            </w:tcMar>
          </w:tcPr>
          <w:p>
            <w:r>
              <w:rPr>
                <w:sz w:val="19"/>
                <w:szCs w:val="19"/>
              </w:rPr>
              <w:t xml:space="preserve">Ministères, établissements, bailleurs, grandes entreprises</w:t>
            </w:r>
          </w:p>
        </w:tc>
        <w:tc>
          <w:tcPr>
            <w:tcW w:type="dxa" w:w="3160"/>
            <w:tcMar>
              <w:top w:type="dxa" w:w="100"/>
              <w:left w:type="dxa" w:w="120"/>
              <w:bottom w:type="dxa" w:w="100"/>
              <w:right w:type="dxa" w:w="120"/>
            </w:tcMar>
          </w:tcPr>
          <w:p>
            <w:r>
              <w:rPr>
                <w:sz w:val="19"/>
                <w:szCs w:val="19"/>
              </w:rPr>
              <w:t xml:space="preserve">Accès encadré à des statistiques anonymisées et rapports sectoriels — l'actif le plus scalable à moyen terme</w:t>
            </w:r>
          </w:p>
        </w:tc>
      </w:tr>
    </w:tbl>
    <w:p>
      <w:pPr>
        <w:spacing w:after="160"/>
      </w:pP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b/>
                <w:bCs/>
                <w:color w:val="1B2A4A"/>
                <w:sz w:val="21"/>
                <w:szCs w:val="21"/>
              </w:rPr>
              <w:t xml:space="preserve">Point d'attention</w:t>
            </w:r>
          </w:p>
          <w:p>
            <w:r>
              <w:rPr>
                <w:i/>
                <w:iCs/>
                <w:color w:val="333333"/>
                <w:sz w:val="20"/>
                <w:szCs w:val="20"/>
              </w:rPr>
              <w:t xml:space="preserve">Le financement par les bailleurs et partenariats à impact n'est pas un revenu de complément marginal dans ce contexte : c'est souvent le mécanisme qui permet de tenir la promesse de gratuité sans que la plateforme dépende exclusivement de jeunes à faible pouvoir d'achat. Il mérite d'être traité comme un axe commercial à part entière, avec une personne dédiée dès la Couche 2.</w:t>
            </w:r>
          </w:p>
        </w:tc>
      </w:tr>
    </w:tbl>
    <w:p>
      <w:pPr>
        <w:spacing w:after="100"/>
      </w:pPr>
    </w:p>
    <w:p>
      <w:pPr>
        <w:pStyle w:val="Heading1"/>
        <w:spacing w:after="200" w:before="400"/>
      </w:pPr>
      <w:r>
        <w:t xml:space="preserve">5. Ordres de grandeur indicatifs — à tester, non à figer</w:t>
      </w:r>
    </w:p>
    <w:p>
      <w:pPr>
        <w:spacing w:after="160"/>
      </w:pPr>
      <w:r>
        <w:t xml:space="preserve">Les chiffres suivants sont des hypothèses de travail destinées à être confrontées à la réalité du terrain en Couche 1, et non des prévisions financières engageantes. Aucune décision d'investissement ne devrait s'appuyer sur ces seuls ordres de grandeur sans étude de marché et sans avis d'un expert-comptable ou conseiller financier.</w:t>
      </w:r>
    </w:p>
    <w:p>
      <w:pPr>
        <w:pStyle w:val="ListParagraph"/>
        <w:numPr>
          <w:ilvl w:val="0"/>
          <w:numId w:val="1"/>
        </w:numPr>
        <w:spacing w:after="80"/>
      </w:pPr>
      <w:r>
        <w:t xml:space="preserve">Taux de conversion attendu FREE → PROTECT/PRO dans des marchés comparables à faible pouvoir d'achat : de l'ordre de 2 à 5 % de la base active, à valider localement.</w:t>
      </w:r>
    </w:p>
    <w:p>
      <w:pPr>
        <w:pStyle w:val="ListParagraph"/>
        <w:numPr>
          <w:ilvl w:val="0"/>
          <w:numId w:val="1"/>
        </w:numPr>
        <w:spacing w:after="80"/>
      </w:pPr>
      <w:r>
        <w:t xml:space="preserve">Un contrat BUSINESS ou INSTITUTION représente typiquement plusieurs dizaines de fois la valeur d'un abonnement individuel PROTECT — la priorité commerciale de la Couche 2 devrait donc porter sur un nombre resserré d'entreprises et d'établissements plutôt que sur le volume individuel.</w:t>
      </w:r>
    </w:p>
    <w:p>
      <w:pPr>
        <w:pStyle w:val="ListParagraph"/>
        <w:numPr>
          <w:ilvl w:val="0"/>
          <w:numId w:val="1"/>
        </w:numPr>
        <w:spacing w:after="80"/>
      </w:pPr>
      <w:r>
        <w:t xml:space="preserve">Le seuil de preuve de la Couche 1 (3 000 à 5 000 profils jeunes, 150 à 300 organisations) est dimensionné pour être atteignable par une petite équipe en 9 mois sans budget marketing massif, via les établissements partenaires eux-mêmes comme canal de distribution gratuit.</w:t>
      </w:r>
    </w:p>
    <w:p>
      <w:pPr>
        <w:pStyle w:val="Heading1"/>
        <w:spacing w:after="200" w:before="400"/>
      </w:pPr>
      <w:r>
        <w:t xml:space="preserve">6. Calendrier 2026-2027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c>
          <w:tcPr>
            <w:tcW w:type="dxa" w:w="2500"/>
            <w:shd w:fill="1B2A4A" w:val="clear"/>
            <w:tcMar>
              <w:top w:type="dxa" w:w="100"/>
              <w:left w:type="dxa" w:w="120"/>
              <w:bottom w:type="dxa" w:w="100"/>
              <w:right w:type="dxa" w:w="120"/>
            </w:tcMar>
          </w:tcPr>
          <w:p>
            <w:r>
              <w:rPr>
                <w:b/>
                <w:bCs/>
                <w:color w:val="FFFFFF"/>
                <w:sz w:val="19"/>
                <w:szCs w:val="19"/>
              </w:rPr>
              <w:t xml:space="preserve">Période</w:t>
            </w:r>
          </w:p>
        </w:tc>
        <w:tc>
          <w:tcPr>
            <w:tcW w:type="dxa" w:w="4400"/>
            <w:shd w:fill="1B2A4A" w:val="clear"/>
            <w:tcMar>
              <w:top w:type="dxa" w:w="100"/>
              <w:left w:type="dxa" w:w="120"/>
              <w:bottom w:type="dxa" w:w="100"/>
              <w:right w:type="dxa" w:w="120"/>
            </w:tcMar>
          </w:tcPr>
          <w:p>
            <w:r>
              <w:rPr>
                <w:b/>
                <w:bCs/>
                <w:color w:val="FFFFFF"/>
                <w:sz w:val="19"/>
                <w:szCs w:val="19"/>
              </w:rPr>
              <w:t xml:space="preserve">Jalon principal</w:t>
            </w:r>
          </w:p>
        </w:tc>
        <w:tc>
          <w:tcPr>
            <w:tcW w:type="dxa" w:w="2460"/>
            <w:shd w:fill="1B2A4A" w:val="clear"/>
            <w:tcMar>
              <w:top w:type="dxa" w:w="100"/>
              <w:left w:type="dxa" w:w="120"/>
              <w:bottom w:type="dxa" w:w="100"/>
              <w:right w:type="dxa" w:w="120"/>
            </w:tcMar>
          </w:tcPr>
          <w:p>
            <w:r>
              <w:rPr>
                <w:b/>
                <w:bCs/>
                <w:color w:val="FFFFFF"/>
                <w:sz w:val="19"/>
                <w:szCs w:val="19"/>
              </w:rPr>
              <w:t xml:space="preserve">Décision associée</w:t>
            </w:r>
          </w:p>
        </w:tc>
      </w:tr>
      <w:tr>
        <w:tc>
          <w:tcPr>
            <w:tcW w:type="dxa" w:w="2500"/>
            <w:tcMar>
              <w:top w:type="dxa" w:w="100"/>
              <w:left w:type="dxa" w:w="120"/>
              <w:bottom w:type="dxa" w:w="100"/>
              <w:right w:type="dxa" w:w="120"/>
            </w:tcMar>
          </w:tcPr>
          <w:p>
            <w:r>
              <w:rPr>
                <w:sz w:val="19"/>
                <w:szCs w:val="19"/>
              </w:rPr>
              <w:t xml:space="preserve">T3-T4 2026</w:t>
            </w:r>
          </w:p>
        </w:tc>
        <w:tc>
          <w:tcPr>
            <w:tcW w:type="dxa" w:w="4400"/>
            <w:tcMar>
              <w:top w:type="dxa" w:w="100"/>
              <w:left w:type="dxa" w:w="120"/>
              <w:bottom w:type="dxa" w:w="100"/>
              <w:right w:type="dxa" w:w="120"/>
            </w:tcMar>
          </w:tcPr>
          <w:p>
            <w:r>
              <w:rPr>
                <w:sz w:val="19"/>
                <w:szCs w:val="19"/>
              </w:rPr>
              <w:t xml:space="preserve">Lancement MVP Couche 1 à Yaoundé et Douala</w:t>
            </w:r>
          </w:p>
        </w:tc>
        <w:tc>
          <w:tcPr>
            <w:tcW w:type="dxa" w:w="2460"/>
            <w:tcMar>
              <w:top w:type="dxa" w:w="100"/>
              <w:left w:type="dxa" w:w="120"/>
              <w:bottom w:type="dxa" w:w="100"/>
              <w:right w:type="dxa" w:w="120"/>
            </w:tcMar>
          </w:tcPr>
          <w:p>
            <w:r>
              <w:rPr>
                <w:sz w:val="19"/>
                <w:szCs w:val="19"/>
              </w:rPr>
              <w:t xml:space="preserve">Geler tout module hors Couche 1</w:t>
            </w:r>
          </w:p>
        </w:tc>
      </w:tr>
      <w:tr>
        <w:tc>
          <w:tcPr>
            <w:tcW w:type="dxa" w:w="2500"/>
            <w:tcMar>
              <w:top w:type="dxa" w:w="100"/>
              <w:left w:type="dxa" w:w="120"/>
              <w:bottom w:type="dxa" w:w="100"/>
              <w:right w:type="dxa" w:w="120"/>
            </w:tcMar>
          </w:tcPr>
          <w:p>
            <w:r>
              <w:rPr>
                <w:sz w:val="19"/>
                <w:szCs w:val="19"/>
              </w:rPr>
              <w:t xml:space="preserve">T1 2027</w:t>
            </w:r>
          </w:p>
        </w:tc>
        <w:tc>
          <w:tcPr>
            <w:tcW w:type="dxa" w:w="4400"/>
            <w:tcMar>
              <w:top w:type="dxa" w:w="100"/>
              <w:left w:type="dxa" w:w="120"/>
              <w:bottom w:type="dxa" w:w="100"/>
              <w:right w:type="dxa" w:w="120"/>
            </w:tcMar>
          </w:tcPr>
          <w:p>
            <w:r>
              <w:rPr>
                <w:sz w:val="19"/>
                <w:szCs w:val="19"/>
              </w:rPr>
              <w:t xml:space="preserve">Premiers indicateurs de traction (profils, candidatures, conventions signées)</w:t>
            </w:r>
          </w:p>
        </w:tc>
        <w:tc>
          <w:tcPr>
            <w:tcW w:type="dxa" w:w="2460"/>
            <w:tcMar>
              <w:top w:type="dxa" w:w="100"/>
              <w:left w:type="dxa" w:w="120"/>
              <w:bottom w:type="dxa" w:w="100"/>
              <w:right w:type="dxa" w:w="120"/>
            </w:tcMar>
          </w:tcPr>
          <w:p>
            <w:r>
              <w:rPr>
                <w:sz w:val="19"/>
                <w:szCs w:val="19"/>
              </w:rPr>
              <w:t xml:space="preserve">Go / no-go sur l'activation de PROTECT payant</w:t>
            </w:r>
          </w:p>
        </w:tc>
      </w:tr>
      <w:tr>
        <w:tc>
          <w:tcPr>
            <w:tcW w:type="dxa" w:w="2500"/>
            <w:tcMar>
              <w:top w:type="dxa" w:w="100"/>
              <w:left w:type="dxa" w:w="120"/>
              <w:bottom w:type="dxa" w:w="100"/>
              <w:right w:type="dxa" w:w="120"/>
            </w:tcMar>
          </w:tcPr>
          <w:p>
            <w:r>
              <w:rPr>
                <w:sz w:val="19"/>
                <w:szCs w:val="19"/>
              </w:rPr>
              <w:t xml:space="preserve">T2 2027</w:t>
            </w:r>
          </w:p>
        </w:tc>
        <w:tc>
          <w:tcPr>
            <w:tcW w:type="dxa" w:w="4400"/>
            <w:tcMar>
              <w:top w:type="dxa" w:w="100"/>
              <w:left w:type="dxa" w:w="120"/>
              <w:bottom w:type="dxa" w:w="100"/>
              <w:right w:type="dxa" w:w="120"/>
            </w:tcMar>
          </w:tcPr>
          <w:p>
            <w:r>
              <w:rPr>
                <w:sz w:val="19"/>
                <w:szCs w:val="19"/>
              </w:rPr>
              <w:t xml:space="preserve">Lancement PROTECT/PRO en paiement Mobile Money</w:t>
            </w:r>
          </w:p>
        </w:tc>
        <w:tc>
          <w:tcPr>
            <w:tcW w:type="dxa" w:w="2460"/>
            <w:tcMar>
              <w:top w:type="dxa" w:w="100"/>
              <w:left w:type="dxa" w:w="120"/>
              <w:bottom w:type="dxa" w:w="100"/>
              <w:right w:type="dxa" w:w="120"/>
            </w:tcMar>
          </w:tcPr>
          <w:p>
            <w:r>
              <w:rPr>
                <w:sz w:val="19"/>
                <w:szCs w:val="19"/>
              </w:rPr>
              <w:t xml:space="preserve">Mesure réelle du taux de conversion</w:t>
            </w:r>
          </w:p>
        </w:tc>
      </w:tr>
      <w:tr>
        <w:tc>
          <w:tcPr>
            <w:tcW w:type="dxa" w:w="2500"/>
            <w:tcMar>
              <w:top w:type="dxa" w:w="100"/>
              <w:left w:type="dxa" w:w="120"/>
              <w:bottom w:type="dxa" w:w="100"/>
              <w:right w:type="dxa" w:w="120"/>
            </w:tcMar>
          </w:tcPr>
          <w:p>
            <w:r>
              <w:rPr>
                <w:sz w:val="19"/>
                <w:szCs w:val="19"/>
              </w:rPr>
              <w:t xml:space="preserve">T3 2027</w:t>
            </w:r>
          </w:p>
        </w:tc>
        <w:tc>
          <w:tcPr>
            <w:tcW w:type="dxa" w:w="4400"/>
            <w:tcMar>
              <w:top w:type="dxa" w:w="100"/>
              <w:left w:type="dxa" w:w="120"/>
              <w:bottom w:type="dxa" w:w="100"/>
              <w:right w:type="dxa" w:w="120"/>
            </w:tcMar>
          </w:tcPr>
          <w:p>
            <w:r>
              <w:rPr>
                <w:sz w:val="19"/>
                <w:szCs w:val="19"/>
              </w:rPr>
              <w:t xml:space="preserve">Premiers contrats BUSINESS et INSTITUTION pilotes</w:t>
            </w:r>
          </w:p>
        </w:tc>
        <w:tc>
          <w:tcPr>
            <w:tcW w:type="dxa" w:w="2460"/>
            <w:tcMar>
              <w:top w:type="dxa" w:w="100"/>
              <w:left w:type="dxa" w:w="120"/>
              <w:bottom w:type="dxa" w:w="100"/>
              <w:right w:type="dxa" w:w="120"/>
            </w:tcMar>
          </w:tcPr>
          <w:p>
            <w:r>
              <w:rPr>
                <w:sz w:val="19"/>
                <w:szCs w:val="19"/>
              </w:rPr>
              <w:t xml:space="preserve">Recrutement d'un responsable partenariats institutionnels</w:t>
            </w:r>
          </w:p>
        </w:tc>
      </w:tr>
      <w:tr>
        <w:tc>
          <w:tcPr>
            <w:tcW w:type="dxa" w:w="2500"/>
            <w:tcMar>
              <w:top w:type="dxa" w:w="100"/>
              <w:left w:type="dxa" w:w="120"/>
              <w:bottom w:type="dxa" w:w="100"/>
              <w:right w:type="dxa" w:w="120"/>
            </w:tcMar>
          </w:tcPr>
          <w:p>
            <w:r>
              <w:rPr>
                <w:sz w:val="19"/>
                <w:szCs w:val="19"/>
              </w:rPr>
              <w:t xml:space="preserve">T4 2027</w:t>
            </w:r>
          </w:p>
        </w:tc>
        <w:tc>
          <w:tcPr>
            <w:tcW w:type="dxa" w:w="4400"/>
            <w:tcMar>
              <w:top w:type="dxa" w:w="100"/>
              <w:left w:type="dxa" w:w="120"/>
              <w:bottom w:type="dxa" w:w="100"/>
              <w:right w:type="dxa" w:w="120"/>
            </w:tcMar>
          </w:tcPr>
          <w:p>
            <w:r>
              <w:rPr>
                <w:sz w:val="19"/>
                <w:szCs w:val="19"/>
              </w:rPr>
              <w:t xml:space="preserve">Bilan Couche 1 + 2 ; décision d'extension géographique</w:t>
            </w:r>
          </w:p>
        </w:tc>
        <w:tc>
          <w:tcPr>
            <w:tcW w:type="dxa" w:w="2460"/>
            <w:tcMar>
              <w:top w:type="dxa" w:w="100"/>
              <w:left w:type="dxa" w:w="120"/>
              <w:bottom w:type="dxa" w:w="100"/>
              <w:right w:type="dxa" w:w="120"/>
            </w:tcMar>
          </w:tcPr>
          <w:p>
            <w:r>
              <w:rPr>
                <w:sz w:val="19"/>
                <w:szCs w:val="19"/>
              </w:rPr>
              <w:t xml:space="preserve">Choix du deuxième pays et du calendrier Couche 3</w:t>
            </w:r>
          </w:p>
        </w:tc>
      </w:tr>
    </w:tbl>
    <w:p>
      <w:pPr>
        <w:spacing w:after="160"/>
      </w:pPr>
    </w:p>
    <w:p>
      <w:pPr>
        <w:pStyle w:val="Heading1"/>
        <w:spacing w:after="200" w:before="400"/>
      </w:pPr>
      <w:r>
        <w:t xml:space="preserve">7. Gouvernance et rôle du futur PDG</w:t>
      </w:r>
    </w:p>
    <w:p>
      <w:pPr>
        <w:spacing w:after="160"/>
      </w:pPr>
      <w:r>
        <w:t xml:space="preserve">Le corpus existant prévoit une gouvernance riche (comités, conseil scientifique, comité consultatif panafricain). À ce stade du projet, une gouvernance aussi étoffée serait prématurée et coûteuse en temps de décision. La recommandation est de la simplifier fortement pendant la Couche 1 :</w:t>
      </w:r>
    </w:p>
    <w:p>
      <w:pPr>
        <w:pStyle w:val="ListParagraph"/>
        <w:numPr>
          <w:ilvl w:val="0"/>
          <w:numId w:val="1"/>
        </w:numPr>
        <w:spacing w:after="80"/>
      </w:pPr>
      <w:r>
        <w:t xml:space="preserve">Un PDG unique, décisionnaire, responsable de la traction et du budget — sans comité à consulter pour les décisions opérationnelles courantes.</w:t>
      </w:r>
    </w:p>
    <w:p>
      <w:pPr>
        <w:pStyle w:val="ListParagraph"/>
        <w:numPr>
          <w:ilvl w:val="0"/>
          <w:numId w:val="1"/>
        </w:numPr>
        <w:spacing w:after="80"/>
      </w:pPr>
      <w:r>
        <w:t xml:space="preserve">Un point de gouvernance mensuel, pas plus, tant que la Couche 1 n'est pas validée.</w:t>
      </w:r>
    </w:p>
    <w:p>
      <w:pPr>
        <w:pStyle w:val="ListParagraph"/>
        <w:numPr>
          <w:ilvl w:val="0"/>
          <w:numId w:val="1"/>
        </w:numPr>
        <w:spacing w:after="80"/>
      </w:pPr>
      <w:r>
        <w:t xml:space="preserve">Les structures prévues dans le Manuel Institutionnel et l'ATLAS (comités, conseil consultatif panafricain, conseil scientifique de l'Observatoire) sont à activer en Couche 3, au moment où la taille de l'organisation le justifiera réellement.</w:t>
      </w:r>
    </w:p>
    <w:p>
      <w:pPr>
        <w:pStyle w:val="Heading1"/>
        <w:spacing w:after="200" w:before="400"/>
      </w:pPr>
      <w:r>
        <w:t xml:space="preserve">8. Risques clés à surveiller en priorité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shd w:fill="1B2A4A" w:val="clear"/>
            <w:tcMar>
              <w:top w:type="dxa" w:w="100"/>
              <w:left w:type="dxa" w:w="120"/>
              <w:bottom w:type="dxa" w:w="100"/>
              <w:right w:type="dxa" w:w="120"/>
            </w:tcMar>
          </w:tcPr>
          <w:p>
            <w:r>
              <w:rPr>
                <w:b/>
                <w:bCs/>
                <w:color w:val="FFFFFF"/>
                <w:sz w:val="19"/>
                <w:szCs w:val="19"/>
              </w:rPr>
              <w:t xml:space="preserve">Risque</w:t>
            </w:r>
          </w:p>
        </w:tc>
        <w:tc>
          <w:tcPr>
            <w:tcW w:type="dxa" w:w="3200"/>
            <w:shd w:fill="1B2A4A" w:val="clear"/>
            <w:tcMar>
              <w:top w:type="dxa" w:w="100"/>
              <w:left w:type="dxa" w:w="120"/>
              <w:bottom w:type="dxa" w:w="100"/>
              <w:right w:type="dxa" w:w="120"/>
            </w:tcMar>
          </w:tcPr>
          <w:p>
            <w:r>
              <w:rPr>
                <w:b/>
                <w:bCs/>
                <w:color w:val="FFFFFF"/>
                <w:sz w:val="19"/>
                <w:szCs w:val="19"/>
              </w:rPr>
              <w:t xml:space="preserve">Impact si ignoré</w:t>
            </w:r>
          </w:p>
        </w:tc>
        <w:tc>
          <w:tcPr>
            <w:tcW w:type="dxa" w:w="3160"/>
            <w:shd w:fill="1B2A4A" w:val="clear"/>
            <w:tcMar>
              <w:top w:type="dxa" w:w="100"/>
              <w:left w:type="dxa" w:w="120"/>
              <w:bottom w:type="dxa" w:w="100"/>
              <w:right w:type="dxa" w:w="120"/>
            </w:tcMar>
          </w:tcPr>
          <w:p>
            <w:r>
              <w:rPr>
                <w:b/>
                <w:bCs/>
                <w:color w:val="FFFFFF"/>
                <w:sz w:val="19"/>
                <w:szCs w:val="19"/>
              </w:rPr>
              <w:t xml:space="preserve">Mesure de maîtrise</w:t>
            </w:r>
          </w:p>
        </w:tc>
      </w:tr>
      <w:tr>
        <w:tc>
          <w:tcPr>
            <w:tcW w:type="dxa" w:w="3000"/>
            <w:tcMar>
              <w:top w:type="dxa" w:w="100"/>
              <w:left w:type="dxa" w:w="120"/>
              <w:bottom w:type="dxa" w:w="100"/>
              <w:right w:type="dxa" w:w="120"/>
            </w:tcMar>
          </w:tcPr>
          <w:p>
            <w:r>
              <w:rPr>
                <w:sz w:val="19"/>
                <w:szCs w:val="19"/>
              </w:rPr>
              <w:t xml:space="preserve">Dispersion sur trop de modules avant traction prouvée</w:t>
            </w:r>
          </w:p>
        </w:tc>
        <w:tc>
          <w:tcPr>
            <w:tcW w:type="dxa" w:w="3200"/>
            <w:tcMar>
              <w:top w:type="dxa" w:w="100"/>
              <w:left w:type="dxa" w:w="120"/>
              <w:bottom w:type="dxa" w:w="100"/>
              <w:right w:type="dxa" w:w="120"/>
            </w:tcMar>
          </w:tcPr>
          <w:p>
            <w:r>
              <w:rPr>
                <w:sz w:val="19"/>
                <w:szCs w:val="19"/>
              </w:rPr>
              <w:t xml:space="preserve">Épuisement des ressources sans revenu ni preuve de marché</w:t>
            </w:r>
          </w:p>
        </w:tc>
        <w:tc>
          <w:tcPr>
            <w:tcW w:type="dxa" w:w="3160"/>
            <w:tcMar>
              <w:top w:type="dxa" w:w="100"/>
              <w:left w:type="dxa" w:w="120"/>
              <w:bottom w:type="dxa" w:w="100"/>
              <w:right w:type="dxa" w:w="120"/>
            </w:tcMar>
          </w:tcPr>
          <w:p>
            <w:r>
              <w:rPr>
                <w:sz w:val="19"/>
                <w:szCs w:val="19"/>
              </w:rPr>
              <w:t xml:space="preserve">Gel strict des Couches 2 et 3 tant que la Couche 1 n'atteint pas son seuil de preuve</w:t>
            </w:r>
          </w:p>
        </w:tc>
      </w:tr>
      <w:tr>
        <w:tc>
          <w:tcPr>
            <w:tcW w:type="dxa" w:w="3000"/>
            <w:tcMar>
              <w:top w:type="dxa" w:w="100"/>
              <w:left w:type="dxa" w:w="120"/>
              <w:bottom w:type="dxa" w:w="100"/>
              <w:right w:type="dxa" w:w="120"/>
            </w:tcMar>
          </w:tcPr>
          <w:p>
            <w:r>
              <w:rPr>
                <w:sz w:val="19"/>
                <w:szCs w:val="19"/>
              </w:rPr>
              <w:t xml:space="preserve">Dispositif Ambassadeurs/Parrainage assimilable à de la vente pyramidale</w:t>
            </w:r>
          </w:p>
        </w:tc>
        <w:tc>
          <w:tcPr>
            <w:tcW w:type="dxa" w:w="3200"/>
            <w:tcMar>
              <w:top w:type="dxa" w:w="100"/>
              <w:left w:type="dxa" w:w="120"/>
              <w:bottom w:type="dxa" w:w="100"/>
              <w:right w:type="dxa" w:w="120"/>
            </w:tcMar>
          </w:tcPr>
          <w:p>
            <w:r>
              <w:rPr>
                <w:sz w:val="19"/>
                <w:szCs w:val="19"/>
              </w:rPr>
              <w:t xml:space="preserve">Risque juridique et réputationnel, variable selon les pays</w:t>
            </w:r>
          </w:p>
        </w:tc>
        <w:tc>
          <w:tcPr>
            <w:tcW w:type="dxa" w:w="3160"/>
            <w:tcMar>
              <w:top w:type="dxa" w:w="100"/>
              <w:left w:type="dxa" w:w="120"/>
              <w:bottom w:type="dxa" w:w="100"/>
              <w:right w:type="dxa" w:w="120"/>
            </w:tcMar>
          </w:tcPr>
          <w:p>
            <w:r>
              <w:rPr>
                <w:sz w:val="19"/>
                <w:szCs w:val="19"/>
              </w:rPr>
              <w:t xml:space="preserve">Avis juridique formel avant toute activation, quel que soit le pays</w:t>
            </w:r>
          </w:p>
        </w:tc>
      </w:tr>
      <w:tr>
        <w:tc>
          <w:tcPr>
            <w:tcW w:type="dxa" w:w="3000"/>
            <w:tcMar>
              <w:top w:type="dxa" w:w="100"/>
              <w:left w:type="dxa" w:w="120"/>
              <w:bottom w:type="dxa" w:w="100"/>
              <w:right w:type="dxa" w:w="120"/>
            </w:tcMar>
          </w:tcPr>
          <w:p>
            <w:r>
              <w:rPr>
                <w:sz w:val="19"/>
                <w:szCs w:val="19"/>
              </w:rPr>
              <w:t xml:space="preserve">Dépendance excessive aux abonnements individuels dans un marché à faible pouvoir d'achat</w:t>
            </w:r>
          </w:p>
        </w:tc>
        <w:tc>
          <w:tcPr>
            <w:tcW w:type="dxa" w:w="3200"/>
            <w:tcMar>
              <w:top w:type="dxa" w:w="100"/>
              <w:left w:type="dxa" w:w="120"/>
              <w:bottom w:type="dxa" w:w="100"/>
              <w:right w:type="dxa" w:w="120"/>
            </w:tcMar>
          </w:tcPr>
          <w:p>
            <w:r>
              <w:rPr>
                <w:sz w:val="19"/>
                <w:szCs w:val="19"/>
              </w:rPr>
              <w:t xml:space="preserve">Plafond de revenu bas, cash-flow fragile</w:t>
            </w:r>
          </w:p>
        </w:tc>
        <w:tc>
          <w:tcPr>
            <w:tcW w:type="dxa" w:w="3160"/>
            <w:tcMar>
              <w:top w:type="dxa" w:w="100"/>
              <w:left w:type="dxa" w:w="120"/>
              <w:bottom w:type="dxa" w:w="100"/>
              <w:right w:type="dxa" w:w="120"/>
            </w:tcMar>
          </w:tcPr>
          <w:p>
            <w:r>
              <w:rPr>
                <w:sz w:val="19"/>
                <w:szCs w:val="19"/>
              </w:rPr>
              <w:t xml:space="preserve">Développer en parallèle l'axe partenariats institutionnels et bailleurs dès la Couche 2</w:t>
            </w:r>
          </w:p>
        </w:tc>
      </w:tr>
      <w:tr>
        <w:tc>
          <w:tcPr>
            <w:tcW w:type="dxa" w:w="3000"/>
            <w:tcMar>
              <w:top w:type="dxa" w:w="100"/>
              <w:left w:type="dxa" w:w="120"/>
              <w:bottom w:type="dxa" w:w="100"/>
              <w:right w:type="dxa" w:w="120"/>
            </w:tcMar>
          </w:tcPr>
          <w:p>
            <w:r>
              <w:rPr>
                <w:sz w:val="19"/>
                <w:szCs w:val="19"/>
              </w:rPr>
              <w:t xml:space="preserve">Complexité multi-pays et multi-monnaies gérée trop tôt</w:t>
            </w:r>
          </w:p>
        </w:tc>
        <w:tc>
          <w:tcPr>
            <w:tcW w:type="dxa" w:w="3200"/>
            <w:tcMar>
              <w:top w:type="dxa" w:w="100"/>
              <w:left w:type="dxa" w:w="120"/>
              <w:bottom w:type="dxa" w:w="100"/>
              <w:right w:type="dxa" w:w="120"/>
            </w:tcMar>
          </w:tcPr>
          <w:p>
            <w:r>
              <w:rPr>
                <w:sz w:val="19"/>
                <w:szCs w:val="19"/>
              </w:rPr>
              <w:t xml:space="preserve">Coûts techniques et de conformité disproportionnés</w:t>
            </w:r>
          </w:p>
        </w:tc>
        <w:tc>
          <w:tcPr>
            <w:tcW w:type="dxa" w:w="3160"/>
            <w:tcMar>
              <w:top w:type="dxa" w:w="100"/>
              <w:left w:type="dxa" w:w="120"/>
              <w:bottom w:type="dxa" w:w="100"/>
              <w:right w:type="dxa" w:w="120"/>
            </w:tcMar>
          </w:tcPr>
          <w:p>
            <w:r>
              <w:rPr>
                <w:sz w:val="19"/>
                <w:szCs w:val="19"/>
              </w:rPr>
              <w:t xml:space="preserve">Un seul pays jusqu'à preuve de la Couche 1 et 2 complète</w:t>
            </w:r>
          </w:p>
        </w:tc>
      </w:tr>
    </w:tbl>
    <w:p>
      <w:pPr>
        <w:spacing w:after="160"/>
      </w:pPr>
    </w:p>
    <w:p>
      <w:pPr>
        <w:pStyle w:val="Heading1"/>
        <w:spacing w:after="200" w:before="400"/>
      </w:pPr>
      <w:r>
        <w:t xml:space="preserve">9. Prochaines étapes concrètes — 30 / 60 / 90 jours</w:t>
      </w:r>
    </w:p>
    <w:p>
      <w:pPr>
        <w:pStyle w:val="Heading2"/>
        <w:spacing w:after="150" w:before="300"/>
      </w:pPr>
      <w:r>
        <w:t xml:space="preserve">30 jours</w:t>
      </w:r>
    </w:p>
    <w:p>
      <w:pPr>
        <w:pStyle w:val="ListParagraph"/>
        <w:numPr>
          <w:ilvl w:val="0"/>
          <w:numId w:val="1"/>
        </w:numPr>
        <w:spacing w:after="80"/>
      </w:pPr>
      <w:r>
        <w:t xml:space="preserve">Geler formellement le périmètre à la Couche 1 (7 modules listés en section 3).</w:t>
      </w:r>
    </w:p>
    <w:p>
      <w:pPr>
        <w:pStyle w:val="ListParagraph"/>
        <w:numPr>
          <w:ilvl w:val="0"/>
          <w:numId w:val="1"/>
        </w:numPr>
        <w:spacing w:after="80"/>
      </w:pPr>
      <w:r>
        <w:t xml:space="preserve">Choisir les deux villes de lancement et identifier 5 à 10 établissements partenaires fondateurs.</w:t>
      </w:r>
    </w:p>
    <w:p>
      <w:pPr>
        <w:pStyle w:val="ListParagraph"/>
        <w:numPr>
          <w:ilvl w:val="0"/>
          <w:numId w:val="1"/>
        </w:numPr>
        <w:spacing w:after="80"/>
      </w:pPr>
      <w:r>
        <w:t xml:space="preserve">Nommer un responsable unique du produit pour la phase de preuve.</w:t>
      </w:r>
    </w:p>
    <w:p>
      <w:pPr>
        <w:pStyle w:val="Heading2"/>
        <w:spacing w:after="150" w:before="300"/>
      </w:pPr>
      <w:r>
        <w:t xml:space="preserve">60 jours</w:t>
      </w:r>
    </w:p>
    <w:p>
      <w:pPr>
        <w:pStyle w:val="ListParagraph"/>
        <w:numPr>
          <w:ilvl w:val="0"/>
          <w:numId w:val="1"/>
        </w:numPr>
        <w:spacing w:after="80"/>
      </w:pPr>
      <w:r>
        <w:t xml:space="preserve">Version fonctionnelle testable avec un premier groupe d'utilisateurs réels (pas une démo interne).</w:t>
      </w:r>
    </w:p>
    <w:p>
      <w:pPr>
        <w:pStyle w:val="ListParagraph"/>
        <w:numPr>
          <w:ilvl w:val="0"/>
          <w:numId w:val="1"/>
        </w:numPr>
        <w:spacing w:after="80"/>
      </w:pPr>
      <w:r>
        <w:t xml:space="preserve">Premiers accords avec établissements et entreprises pilotes, sans contrepartie financière à ce stade.</w:t>
      </w:r>
    </w:p>
    <w:p>
      <w:pPr>
        <w:pStyle w:val="Heading2"/>
        <w:spacing w:after="150" w:before="300"/>
      </w:pPr>
      <w:r>
        <w:t xml:space="preserve">90 jours</w:t>
      </w:r>
    </w:p>
    <w:p>
      <w:pPr>
        <w:pStyle w:val="ListParagraph"/>
        <w:numPr>
          <w:ilvl w:val="0"/>
          <w:numId w:val="1"/>
        </w:numPr>
        <w:spacing w:after="80"/>
      </w:pPr>
      <w:r>
        <w:t xml:space="preserve">Premiers indicateurs réels de traction (inscriptions, candidatures, conventions) comparés aux seuils de la section 3.</w:t>
      </w:r>
    </w:p>
    <w:p>
      <w:pPr>
        <w:pStyle w:val="ListParagraph"/>
        <w:numPr>
          <w:ilvl w:val="0"/>
          <w:numId w:val="1"/>
        </w:numPr>
        <w:spacing w:after="80"/>
      </w:pPr>
      <w:r>
        <w:t xml:space="preserve">Décision formelle : ajuster, poursuivre ou pivoter avant tout investissement supplémentaire en développement.</w:t>
      </w:r>
    </w:p>
    <w:p>
      <w:pPr>
        <w:spacing w:after="200"/>
      </w:pPr>
    </w:p>
    <w:tbl>
      <w:tblPr>
        <w:tblW w:type="pct" w:w="100%"/>
        <w:tblBorders>
          <w:top w:val="single" w:color="1B2A4A" w:sz="4"/>
          <w:left w:val="single" w:color="1B2A4A" w:sz="4"/>
          <w:bottom w:val="single" w:color="1B2A4A" w:sz="4"/>
          <w:right w:val="single" w:color="1B2A4A"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80"/>
            </w:pPr>
            <w:r>
              <w:rPr>
                <w:b/>
                <w:bCs/>
                <w:color w:val="1B2A4A"/>
                <w:sz w:val="21"/>
                <w:szCs w:val="21"/>
              </w:rPr>
              <w:t xml:space="preserve">En une phrase</w:t>
            </w:r>
          </w:p>
          <w:p>
            <w:r>
              <w:rPr>
                <w:i/>
                <w:iCs/>
                <w:color w:val="333333"/>
                <w:sz w:val="20"/>
                <w:szCs w:val="20"/>
              </w:rPr>
              <w:t xml:space="preserve">LES STAGIAIRES a déjà la vision et l'architecture d'un futur groupe panafricain ; ce qui manque encore, ce n'est pas un module supplémentaire à documenter, c'est une preuve de traction sur un seul marché — et c'est cette preuve, pas le corpus documentaire, qui convaincra un investisseur, un bailleur ou un partenaire stratégique.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Document stratégique et confidentiel —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LES STAGIAIRES — Feuille de route stratégique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860B" w:sz="8" w:space="4"/>
      </w:pBdr>
      <w:spacing w:after="200" w:before="400"/>
    </w:pPr>
    <w:rPr>
      <w:rFonts w:ascii="Calibri" w:cs="Calibri" w:eastAsia="Calibri" w:hAnsi="Calibri"/>
      <w:b/>
      <w:bCs/>
      <w:color w:val="1B2A4A"/>
      <w:sz w:val="30"/>
      <w:szCs w:val="30"/>
    </w:rPr>
  </w:style>
  <w:style w:type="paragraph" w:styleId="Heading2">
    <w:name w:val="Heading 2"/>
    <w:basedOn w:val="Normal"/>
    <w:next w:val="Normal"/>
    <w:pPr>
      <w:spacing w:after="120" w:before="260"/>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2026-07-22T07:29:23.579Z</dcterms:created>
  <dcterms:modified xsi:type="dcterms:W3CDTF">2026-07-22T07:29:23.592Z</dcterms:modified>
</cp:coreProperties>
</file>

<file path=docProps/custom.xml><?xml version="1.0" encoding="utf-8"?>
<Properties xmlns="http://schemas.openxmlformats.org/officeDocument/2006/custom-properties" xmlns:vt="http://schemas.openxmlformats.org/officeDocument/2006/docPropsVTypes"/>
</file>