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5989" w:rsidRPr="00C86A59" w:rsidRDefault="00895989" w:rsidP="00895989">
      <w:pPr>
        <w:spacing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 w:rsidRPr="00C86A59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AC307D" wp14:editId="43CCE39B">
            <wp:simplePos x="0" y="0"/>
            <wp:positionH relativeFrom="column">
              <wp:posOffset>4095750</wp:posOffset>
            </wp:positionH>
            <wp:positionV relativeFrom="paragraph">
              <wp:posOffset>-200025</wp:posOffset>
            </wp:positionV>
            <wp:extent cx="1923415" cy="687070"/>
            <wp:effectExtent l="0" t="0" r="63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87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A59">
        <w:rPr>
          <w:rFonts w:ascii="Arial Narrow" w:hAnsi="Arial Narrow" w:cs="LiberationSansNarrow-Bold"/>
          <w:b/>
          <w:bCs/>
          <w:sz w:val="24"/>
          <w:szCs w:val="24"/>
        </w:rPr>
        <w:t>Universidad Rafael Landívar</w:t>
      </w:r>
      <w:r w:rsidRPr="00C86A59">
        <w:rPr>
          <w:rFonts w:ascii="Arial Narrow" w:eastAsia="Times New Roman" w:hAnsi="Arial Narrow" w:cs="Times New Roman"/>
          <w:w w:val="0"/>
          <w:sz w:val="24"/>
          <w:szCs w:val="24"/>
          <w:shd w:val="clear" w:color="auto" w:fill="000000"/>
          <w:lang w:bidi="en-US"/>
        </w:rPr>
        <w:t xml:space="preserve"> </w:t>
      </w:r>
    </w:p>
    <w:p w:rsidR="00895989" w:rsidRDefault="00895989" w:rsidP="00895989">
      <w:pPr>
        <w:spacing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 w:rsidRPr="00C86A59">
        <w:rPr>
          <w:rFonts w:ascii="Arial Narrow" w:hAnsi="Arial Narrow" w:cs="LiberationSansNarrow-Bold"/>
          <w:b/>
          <w:bCs/>
          <w:sz w:val="24"/>
          <w:szCs w:val="24"/>
        </w:rPr>
        <w:t xml:space="preserve">Introducción a la </w:t>
      </w:r>
      <w:r>
        <w:rPr>
          <w:rFonts w:ascii="Arial Narrow" w:hAnsi="Arial Narrow" w:cs="LiberationSansNarrow-Bold"/>
          <w:b/>
          <w:bCs/>
          <w:sz w:val="24"/>
          <w:szCs w:val="24"/>
        </w:rPr>
        <w:t>P</w:t>
      </w:r>
      <w:r w:rsidRPr="00C86A59">
        <w:rPr>
          <w:rFonts w:ascii="Arial Narrow" w:hAnsi="Arial Narrow" w:cs="LiberationSansNarrow-Bold"/>
          <w:b/>
          <w:bCs/>
          <w:sz w:val="24"/>
          <w:szCs w:val="24"/>
        </w:rPr>
        <w:t>rogramación</w:t>
      </w:r>
    </w:p>
    <w:p w:rsidR="00895989" w:rsidRPr="00C86A59" w:rsidRDefault="00895989" w:rsidP="00895989">
      <w:pPr>
        <w:spacing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>
        <w:rPr>
          <w:rFonts w:ascii="Arial Narrow" w:hAnsi="Arial Narrow" w:cs="LiberationSansNarrow-Bold"/>
          <w:b/>
          <w:bCs/>
          <w:sz w:val="24"/>
          <w:szCs w:val="24"/>
        </w:rPr>
        <w:t>Primer Ciclo 2015</w:t>
      </w:r>
    </w:p>
    <w:p w:rsidR="00895989" w:rsidRPr="00C86A59" w:rsidRDefault="00895989" w:rsidP="00895989">
      <w:pPr>
        <w:autoSpaceDE w:val="0"/>
        <w:autoSpaceDN w:val="0"/>
        <w:adjustRightInd w:val="0"/>
        <w:spacing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:rsidR="00895989" w:rsidRDefault="00895989">
      <w:pPr>
        <w:jc w:val="center"/>
        <w:rPr>
          <w:b/>
        </w:rPr>
      </w:pPr>
    </w:p>
    <w:p w:rsidR="00895989" w:rsidRDefault="00895989">
      <w:pPr>
        <w:jc w:val="center"/>
        <w:rPr>
          <w:b/>
        </w:rPr>
      </w:pPr>
    </w:p>
    <w:p w:rsidR="00BC192D" w:rsidRDefault="00340F43">
      <w:pPr>
        <w:jc w:val="center"/>
      </w:pPr>
      <w:r>
        <w:rPr>
          <w:b/>
        </w:rPr>
        <w:t>Proyecto #1</w:t>
      </w:r>
    </w:p>
    <w:p w:rsidR="00BC192D" w:rsidRDefault="00340F43">
      <w:pPr>
        <w:jc w:val="center"/>
      </w:pPr>
      <w:r>
        <w:rPr>
          <w:b/>
        </w:rPr>
        <w:t>Simulación de Sistema de Transporte Público - TRANSMETRO</w:t>
      </w:r>
    </w:p>
    <w:p w:rsidR="00BC192D" w:rsidRDefault="00340F43">
      <w:r>
        <w:rPr>
          <w:sz w:val="24"/>
        </w:rPr>
        <w:t xml:space="preserve"> </w:t>
      </w:r>
    </w:p>
    <w:p w:rsidR="00BC192D" w:rsidRDefault="00340F43">
      <w:r>
        <w:rPr>
          <w:sz w:val="24"/>
        </w:rPr>
        <w:t xml:space="preserve"> </w:t>
      </w:r>
    </w:p>
    <w:p w:rsidR="00BC192D" w:rsidRDefault="00340F43">
      <w:r>
        <w:rPr>
          <w:b/>
        </w:rPr>
        <w:t>Transmetro</w:t>
      </w:r>
    </w:p>
    <w:p w:rsidR="00BC192D" w:rsidRDefault="00BC192D"/>
    <w:p w:rsidR="00BC192D" w:rsidRDefault="00340F43">
      <w:r>
        <w:t>El sistema de transporte público Transmetro de la municipalidad de Guatemala ha llegado a su usuario número 650</w:t>
      </w:r>
      <w:r w:rsidR="00895989">
        <w:t>,000</w:t>
      </w:r>
      <w:r>
        <w:t>. Esto no sería posible sin un estricto sistema de control y planificación de rutas. Usted ha sido escogido para implementar un sistema i</w:t>
      </w:r>
      <w:r>
        <w:t>nformático que ayude tanto a los administradores como a usuarios del transmetro.</w:t>
      </w:r>
    </w:p>
    <w:p w:rsidR="00BC192D" w:rsidRDefault="00BC192D"/>
    <w:p w:rsidR="00BC192D" w:rsidRDefault="00340F43">
      <w:r>
        <w:t>Administradores</w:t>
      </w:r>
    </w:p>
    <w:p w:rsidR="00BC192D" w:rsidRDefault="00340F43">
      <w:pPr>
        <w:numPr>
          <w:ilvl w:val="0"/>
          <w:numId w:val="4"/>
        </w:numPr>
        <w:ind w:hanging="359"/>
        <w:contextualSpacing/>
      </w:pPr>
      <w:r>
        <w:t>Creación de Ejes (manual): los ejes son las rutas que siguen los buses del transmetro. Los ejes poseen las siguientes características.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Nombre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 xml:space="preserve">6 estaciones, 1 </w:t>
      </w:r>
      <w:r>
        <w:t>de ellas es siempre la estación central que se encuentra en la municipalidad.</w:t>
      </w:r>
    </w:p>
    <w:p w:rsidR="00BC192D" w:rsidRDefault="00340F43">
      <w:pPr>
        <w:numPr>
          <w:ilvl w:val="0"/>
          <w:numId w:val="4"/>
        </w:numPr>
        <w:ind w:hanging="359"/>
        <w:contextualSpacing/>
      </w:pPr>
      <w:r>
        <w:t>Creación de Estaciones (manual): las estaciones de transmetro son los puntos donde los usuarios puede abordar o descender. Las estaciones poseen las siguientes características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No</w:t>
      </w:r>
      <w:r>
        <w:t>mbre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Siguiente estación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Precio hacía siguiente estación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Estación previa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Precio hacia estación previa</w:t>
      </w:r>
    </w:p>
    <w:p w:rsidR="00BC192D" w:rsidRDefault="00340F43">
      <w:pPr>
        <w:numPr>
          <w:ilvl w:val="0"/>
          <w:numId w:val="4"/>
        </w:numPr>
        <w:ind w:hanging="359"/>
        <w:contextualSpacing/>
      </w:pPr>
      <w:r>
        <w:t>Carga de eje por medio de un archivo: los ejes deben poder cargarse por medio un archivo separado por comas CSV. Cada línea del archivo consiste en una est</w:t>
      </w:r>
      <w:r>
        <w:t xml:space="preserve">ación. El primer valor indica el nombre de la estación, el segundo es el nombre de la siguiente estación, el tercero es el precio en centavos que se cobra para llegar a dicha estación, el cuarto es </w:t>
      </w:r>
      <w:proofErr w:type="spellStart"/>
      <w:r>
        <w:t>es</w:t>
      </w:r>
      <w:proofErr w:type="spellEnd"/>
      <w:r>
        <w:t xml:space="preserve"> el nombre de la estación anterior y el último es el pre</w:t>
      </w:r>
      <w:r>
        <w:t>cio en centavos para llegar a dicha estación. El archivo debe tener 6 estaciones e incluir a la estación “</w:t>
      </w:r>
      <w:proofErr w:type="spellStart"/>
      <w:r>
        <w:t>Muni</w:t>
      </w:r>
      <w:proofErr w:type="spellEnd"/>
      <w:r>
        <w:t>” en alguna de ellas. Si la estación es inicial o final debe indicar que la siguiente o la previa tienen valor “</w:t>
      </w:r>
      <w:proofErr w:type="spellStart"/>
      <w:r>
        <w:t>null</w:t>
      </w:r>
      <w:proofErr w:type="spellEnd"/>
      <w:r>
        <w:t>”.</w:t>
      </w:r>
    </w:p>
    <w:p w:rsidR="00895989" w:rsidRDefault="00895989">
      <w:r>
        <w:br w:type="page"/>
      </w:r>
    </w:p>
    <w:p w:rsidR="00895989" w:rsidRDefault="00895989" w:rsidP="00895989">
      <w:pPr>
        <w:ind w:left="720"/>
        <w:contextualSpacing/>
      </w:pPr>
    </w:p>
    <w:p w:rsidR="00BC192D" w:rsidRDefault="00340F43">
      <w:pPr>
        <w:numPr>
          <w:ilvl w:val="0"/>
          <w:numId w:val="4"/>
        </w:numPr>
        <w:ind w:hanging="359"/>
        <w:contextualSpacing/>
      </w:pPr>
      <w:r>
        <w:t>Archivo ejemplo:</w:t>
      </w:r>
    </w:p>
    <w:p w:rsidR="00BC192D" w:rsidRPr="00895989" w:rsidRDefault="00340F43">
      <w:pPr>
        <w:ind w:left="2880"/>
        <w:jc w:val="both"/>
        <w:rPr>
          <w:rFonts w:ascii="Courier New" w:hAnsi="Courier New" w:cs="Courier New"/>
        </w:rPr>
      </w:pPr>
      <w:r w:rsidRPr="00895989">
        <w:rPr>
          <w:rFonts w:ascii="Courier New" w:hAnsi="Courier New" w:cs="Courier New"/>
        </w:rPr>
        <w:t>Estacion0</w:t>
      </w:r>
      <w:proofErr w:type="gramStart"/>
      <w:r w:rsidRPr="00895989">
        <w:rPr>
          <w:rFonts w:ascii="Courier New" w:hAnsi="Courier New" w:cs="Courier New"/>
        </w:rPr>
        <w:t>,</w:t>
      </w:r>
      <w:r w:rsidRPr="00895989">
        <w:rPr>
          <w:rFonts w:ascii="Courier New" w:hAnsi="Courier New" w:cs="Courier New"/>
        </w:rPr>
        <w:t>Estacion1,25,null,0</w:t>
      </w:r>
      <w:proofErr w:type="gramEnd"/>
    </w:p>
    <w:p w:rsidR="00BC192D" w:rsidRPr="00895989" w:rsidRDefault="00340F43">
      <w:pPr>
        <w:ind w:left="2880"/>
        <w:jc w:val="both"/>
        <w:rPr>
          <w:rFonts w:ascii="Courier New" w:hAnsi="Courier New" w:cs="Courier New"/>
        </w:rPr>
      </w:pPr>
      <w:r w:rsidRPr="00895989">
        <w:rPr>
          <w:rFonts w:ascii="Courier New" w:hAnsi="Courier New" w:cs="Courier New"/>
        </w:rPr>
        <w:t>Estacion1</w:t>
      </w:r>
      <w:proofErr w:type="gramStart"/>
      <w:r w:rsidRPr="00895989">
        <w:rPr>
          <w:rFonts w:ascii="Courier New" w:hAnsi="Courier New" w:cs="Courier New"/>
        </w:rPr>
        <w:t>,Muni,55,Estacion0,25</w:t>
      </w:r>
      <w:proofErr w:type="gramEnd"/>
    </w:p>
    <w:p w:rsidR="00BC192D" w:rsidRPr="00895989" w:rsidRDefault="00340F43">
      <w:pPr>
        <w:ind w:left="2880"/>
        <w:jc w:val="both"/>
        <w:rPr>
          <w:rFonts w:ascii="Courier New" w:hAnsi="Courier New" w:cs="Courier New"/>
        </w:rPr>
      </w:pPr>
      <w:r w:rsidRPr="00895989">
        <w:rPr>
          <w:rFonts w:ascii="Courier New" w:hAnsi="Courier New" w:cs="Courier New"/>
        </w:rPr>
        <w:t>Muni</w:t>
      </w:r>
      <w:proofErr w:type="gramStart"/>
      <w:r w:rsidRPr="00895989">
        <w:rPr>
          <w:rFonts w:ascii="Courier New" w:hAnsi="Courier New" w:cs="Courier New"/>
        </w:rPr>
        <w:t>,Estacion2,15,Estacion1,55</w:t>
      </w:r>
      <w:proofErr w:type="gramEnd"/>
    </w:p>
    <w:p w:rsidR="00BC192D" w:rsidRPr="00895989" w:rsidRDefault="00340F43">
      <w:pPr>
        <w:ind w:left="2880"/>
        <w:jc w:val="both"/>
        <w:rPr>
          <w:rFonts w:ascii="Courier New" w:hAnsi="Courier New" w:cs="Courier New"/>
        </w:rPr>
      </w:pPr>
      <w:r w:rsidRPr="00895989">
        <w:rPr>
          <w:rFonts w:ascii="Courier New" w:hAnsi="Courier New" w:cs="Courier New"/>
        </w:rPr>
        <w:t>Estacion2</w:t>
      </w:r>
      <w:proofErr w:type="gramStart"/>
      <w:r w:rsidRPr="00895989">
        <w:rPr>
          <w:rFonts w:ascii="Courier New" w:hAnsi="Courier New" w:cs="Courier New"/>
        </w:rPr>
        <w:t>,Estacion3,43,Muni,15</w:t>
      </w:r>
      <w:proofErr w:type="gramEnd"/>
    </w:p>
    <w:p w:rsidR="00BC192D" w:rsidRPr="00895989" w:rsidRDefault="00340F43">
      <w:pPr>
        <w:ind w:left="2880"/>
        <w:jc w:val="both"/>
        <w:rPr>
          <w:rFonts w:ascii="Courier New" w:hAnsi="Courier New" w:cs="Courier New"/>
        </w:rPr>
      </w:pPr>
      <w:r w:rsidRPr="00895989">
        <w:rPr>
          <w:rFonts w:ascii="Courier New" w:hAnsi="Courier New" w:cs="Courier New"/>
        </w:rPr>
        <w:t>Estacion3</w:t>
      </w:r>
      <w:proofErr w:type="gramStart"/>
      <w:r w:rsidRPr="00895989">
        <w:rPr>
          <w:rFonts w:ascii="Courier New" w:hAnsi="Courier New" w:cs="Courier New"/>
        </w:rPr>
        <w:t>,Estacion4,15,Estacion2,43</w:t>
      </w:r>
      <w:proofErr w:type="gramEnd"/>
    </w:p>
    <w:p w:rsidR="00BC192D" w:rsidRDefault="00340F43" w:rsidP="00895989">
      <w:pPr>
        <w:ind w:left="2880"/>
        <w:jc w:val="both"/>
      </w:pPr>
      <w:r w:rsidRPr="00895989">
        <w:rPr>
          <w:rFonts w:ascii="Courier New" w:hAnsi="Courier New" w:cs="Courier New"/>
        </w:rPr>
        <w:t>Estacion4</w:t>
      </w:r>
      <w:proofErr w:type="gramStart"/>
      <w:r w:rsidRPr="00895989">
        <w:rPr>
          <w:rFonts w:ascii="Courier New" w:hAnsi="Courier New" w:cs="Courier New"/>
        </w:rPr>
        <w:t>,null,0,Estacion3,15</w:t>
      </w:r>
      <w:proofErr w:type="gramEnd"/>
    </w:p>
    <w:p w:rsidR="00BC192D" w:rsidRDefault="00BC192D"/>
    <w:p w:rsidR="00BC192D" w:rsidRDefault="00340F43">
      <w:pPr>
        <w:numPr>
          <w:ilvl w:val="0"/>
          <w:numId w:val="4"/>
        </w:numPr>
        <w:ind w:hanging="359"/>
        <w:contextualSpacing/>
      </w:pPr>
      <w:r>
        <w:t xml:space="preserve">Condiciones: 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Los ejes no pueden tener estaciones con los mismos nombres con la excepción de la estación “</w:t>
      </w:r>
      <w:proofErr w:type="spellStart"/>
      <w:r>
        <w:t>Muni</w:t>
      </w:r>
      <w:proofErr w:type="spellEnd"/>
      <w:r>
        <w:t>”.</w:t>
      </w:r>
    </w:p>
    <w:p w:rsidR="00BC192D" w:rsidRDefault="00340F43">
      <w:pPr>
        <w:numPr>
          <w:ilvl w:val="1"/>
          <w:numId w:val="4"/>
        </w:numPr>
        <w:ind w:hanging="359"/>
        <w:contextualSpacing/>
      </w:pPr>
      <w:r>
        <w:t>Los usuarios no puede utilizar el sistema a menos que existan por lo menos 2 ejes.</w:t>
      </w:r>
    </w:p>
    <w:p w:rsidR="00BC192D" w:rsidRDefault="00BC192D"/>
    <w:p w:rsidR="00BC192D" w:rsidRDefault="00340F43">
      <w:r>
        <w:t>Usuarios</w:t>
      </w:r>
    </w:p>
    <w:p w:rsidR="00BC192D" w:rsidRDefault="00340F43">
      <w:pPr>
        <w:numPr>
          <w:ilvl w:val="0"/>
          <w:numId w:val="1"/>
        </w:numPr>
        <w:ind w:hanging="359"/>
        <w:contextualSpacing/>
      </w:pPr>
      <w:r>
        <w:t>Compra de boleto</w:t>
      </w:r>
    </w:p>
    <w:p w:rsidR="00BC192D" w:rsidRDefault="00340F43">
      <w:pPr>
        <w:numPr>
          <w:ilvl w:val="1"/>
          <w:numId w:val="1"/>
        </w:numPr>
        <w:ind w:hanging="359"/>
        <w:contextualSpacing/>
      </w:pPr>
      <w:r>
        <w:t>Al comprar un boleto el usuario debe ingresar l</w:t>
      </w:r>
      <w:r>
        <w:t>a siguiente información.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Estación en la que abordará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Estación destino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Fecha en la que utilizará el servicio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Edad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Indicar si está embarazada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Indicar si viajará con un niño menor a 3 años.</w:t>
      </w:r>
    </w:p>
    <w:p w:rsidR="00BC192D" w:rsidRDefault="00340F43">
      <w:pPr>
        <w:numPr>
          <w:ilvl w:val="1"/>
          <w:numId w:val="1"/>
        </w:numPr>
        <w:ind w:hanging="359"/>
        <w:contextualSpacing/>
      </w:pPr>
      <w:r>
        <w:t>El sistema entonces generará para el usuario las siguientes salidas: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La ruta que debe seguir para llegar a su destino.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>El precio de su ticket.</w:t>
      </w:r>
    </w:p>
    <w:p w:rsidR="00BC192D" w:rsidRDefault="00340F43">
      <w:pPr>
        <w:numPr>
          <w:ilvl w:val="3"/>
          <w:numId w:val="1"/>
        </w:numPr>
        <w:ind w:hanging="359"/>
        <w:contextualSpacing/>
      </w:pPr>
      <w:r>
        <w:t>La mujeres embarazadas o con niños menores a 3 años viajan gratis.</w:t>
      </w:r>
    </w:p>
    <w:p w:rsidR="00BC192D" w:rsidRDefault="00340F43">
      <w:pPr>
        <w:numPr>
          <w:ilvl w:val="3"/>
          <w:numId w:val="1"/>
        </w:numPr>
        <w:ind w:hanging="359"/>
        <w:contextualSpacing/>
      </w:pPr>
      <w:r>
        <w:t>Todo ciudadano entre 15 y 25 años es considerado estudiante y tendrá un 21% de descuento.</w:t>
      </w:r>
    </w:p>
    <w:p w:rsidR="00BC192D" w:rsidRDefault="00340F43">
      <w:pPr>
        <w:numPr>
          <w:ilvl w:val="2"/>
          <w:numId w:val="1"/>
        </w:numPr>
        <w:ind w:hanging="359"/>
        <w:contextualSpacing/>
      </w:pPr>
      <w:r>
        <w:t xml:space="preserve">Tiempo estimado de viaje. </w:t>
      </w:r>
    </w:p>
    <w:p w:rsidR="00BC192D" w:rsidRDefault="00340F43">
      <w:pPr>
        <w:numPr>
          <w:ilvl w:val="3"/>
          <w:numId w:val="1"/>
        </w:numPr>
        <w:ind w:hanging="359"/>
        <w:contextualSpacing/>
      </w:pPr>
      <w:r>
        <w:t>El precio es un indicador de la distancia, los primeros 10 km cuestan 7 centavos cada km adicional cuesta 2 centavos. Todos los buses viajan a una velocidad constante de 40km/h.</w:t>
      </w:r>
    </w:p>
    <w:p w:rsidR="00BC192D" w:rsidRDefault="00340F43">
      <w:r>
        <w:rPr>
          <w:sz w:val="24"/>
        </w:rPr>
        <w:t xml:space="preserve"> </w:t>
      </w:r>
    </w:p>
    <w:p w:rsidR="00BC192D" w:rsidRDefault="00BC192D"/>
    <w:p w:rsidR="00895989" w:rsidRDefault="00895989">
      <w:pPr>
        <w:rPr>
          <w:b/>
        </w:rPr>
      </w:pPr>
      <w:r>
        <w:rPr>
          <w:b/>
        </w:rPr>
        <w:br w:type="page"/>
      </w:r>
    </w:p>
    <w:p w:rsidR="00BC192D" w:rsidRDefault="00340F43">
      <w:bookmarkStart w:id="0" w:name="_GoBack"/>
      <w:bookmarkEnd w:id="0"/>
      <w:r>
        <w:rPr>
          <w:b/>
        </w:rPr>
        <w:lastRenderedPageBreak/>
        <w:t>Documentos Requeridos</w:t>
      </w:r>
    </w:p>
    <w:p w:rsidR="00BC192D" w:rsidRDefault="00340F43">
      <w:r>
        <w:t>El documento debe contener</w:t>
      </w:r>
      <w:r>
        <w:t>:</w:t>
      </w:r>
    </w:p>
    <w:p w:rsidR="00BC192D" w:rsidRDefault="00340F43">
      <w:pPr>
        <w:numPr>
          <w:ilvl w:val="0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>Análisis</w:t>
      </w:r>
    </w:p>
    <w:p w:rsidR="00BC192D" w:rsidRDefault="00340F43">
      <w:pPr>
        <w:numPr>
          <w:ilvl w:val="1"/>
          <w:numId w:val="3"/>
        </w:numPr>
        <w:ind w:hanging="359"/>
        <w:contextualSpacing/>
      </w:pPr>
      <w:r>
        <w:t>Entradas</w:t>
      </w:r>
    </w:p>
    <w:p w:rsidR="00BC192D" w:rsidRDefault="00340F43">
      <w:pPr>
        <w:numPr>
          <w:ilvl w:val="1"/>
          <w:numId w:val="3"/>
        </w:numPr>
        <w:ind w:hanging="359"/>
        <w:contextualSpacing/>
      </w:pPr>
      <w:r>
        <w:t>Salidas</w:t>
      </w:r>
    </w:p>
    <w:p w:rsidR="00BC192D" w:rsidRDefault="00340F43">
      <w:pPr>
        <w:numPr>
          <w:ilvl w:val="0"/>
          <w:numId w:val="3"/>
        </w:numPr>
        <w:ind w:hanging="359"/>
        <w:contextualSpacing/>
      </w:pPr>
      <w:r>
        <w:t>Diseño:</w:t>
      </w:r>
    </w:p>
    <w:p w:rsidR="00BC192D" w:rsidRDefault="00340F43">
      <w:pPr>
        <w:numPr>
          <w:ilvl w:val="1"/>
          <w:numId w:val="3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Diagrama de clases </w:t>
      </w:r>
    </w:p>
    <w:p w:rsidR="00BC192D" w:rsidRDefault="00340F43">
      <w:pPr>
        <w:numPr>
          <w:ilvl w:val="2"/>
          <w:numId w:val="3"/>
        </w:numPr>
        <w:ind w:hanging="359"/>
        <w:contextualSpacing/>
      </w:pPr>
      <w:r>
        <w:t>Identificación de clases, objetos y sus respectivos métodos y atributos</w:t>
      </w:r>
    </w:p>
    <w:p w:rsidR="00BC192D" w:rsidRDefault="00340F43">
      <w:pPr>
        <w:numPr>
          <w:ilvl w:val="1"/>
          <w:numId w:val="3"/>
        </w:numPr>
        <w:ind w:hanging="359"/>
        <w:contextualSpacing/>
      </w:pPr>
      <w:r>
        <w:t>Diagrama de flujo</w:t>
      </w:r>
    </w:p>
    <w:p w:rsidR="00BC192D" w:rsidRDefault="00340F43">
      <w:pPr>
        <w:numPr>
          <w:ilvl w:val="1"/>
          <w:numId w:val="3"/>
        </w:numPr>
        <w:ind w:hanging="359"/>
        <w:contextualSpacing/>
      </w:pPr>
      <w:r>
        <w:t>Diseño de pantalla de cómo se verá el sistema.</w:t>
      </w:r>
    </w:p>
    <w:p w:rsidR="00BC192D" w:rsidRDefault="00340F43">
      <w:pPr>
        <w:ind w:left="72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Conclusiones</w:t>
      </w:r>
    </w:p>
    <w:p w:rsidR="00BC192D" w:rsidRDefault="00340F43">
      <w:pPr>
        <w:ind w:left="72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Bibliografía</w:t>
      </w:r>
    </w:p>
    <w:p w:rsidR="00BC192D" w:rsidRDefault="00340F43">
      <w:r>
        <w:t xml:space="preserve"> </w:t>
      </w:r>
    </w:p>
    <w:p w:rsidR="00BC192D" w:rsidRDefault="00BC192D"/>
    <w:p w:rsidR="00BC192D" w:rsidRDefault="00340F43">
      <w:r>
        <w:t xml:space="preserve">Con el diseño realizado codificar en el lenguaje </w:t>
      </w:r>
      <w:proofErr w:type="spellStart"/>
      <w:r>
        <w:t>Phyton</w:t>
      </w:r>
      <w:proofErr w:type="spellEnd"/>
      <w:r>
        <w:t xml:space="preserve"> y en modo consola. </w:t>
      </w:r>
    </w:p>
    <w:p w:rsidR="00BC192D" w:rsidRDefault="00BC192D"/>
    <w:p w:rsidR="00BC192D" w:rsidRDefault="00340F43">
      <w:r>
        <w:t>Se deberá entregar:</w:t>
      </w:r>
    </w:p>
    <w:p w:rsidR="00BC192D" w:rsidRDefault="00340F43">
      <w:pPr>
        <w:numPr>
          <w:ilvl w:val="0"/>
          <w:numId w:val="2"/>
        </w:numPr>
        <w:ind w:hanging="359"/>
        <w:contextualSpacing/>
      </w:pPr>
      <w:r>
        <w:t>Programa fuente y su respectiva documentación interna</w:t>
      </w:r>
    </w:p>
    <w:p w:rsidR="00BC192D" w:rsidRDefault="00340F43">
      <w:pPr>
        <w:numPr>
          <w:ilvl w:val="0"/>
          <w:numId w:val="2"/>
        </w:numPr>
        <w:ind w:hanging="359"/>
        <w:contextualSpacing/>
      </w:pPr>
      <w:r>
        <w:t>Manual de usuario</w:t>
      </w:r>
    </w:p>
    <w:p w:rsidR="00BC192D" w:rsidRDefault="00340F43">
      <w:r>
        <w:t xml:space="preserve"> </w:t>
      </w:r>
    </w:p>
    <w:p w:rsidR="00BC192D" w:rsidRDefault="00340F43">
      <w:r>
        <w:rPr>
          <w:b/>
        </w:rPr>
        <w:t>Aspectos a evaluar:</w:t>
      </w:r>
    </w:p>
    <w:p w:rsidR="00BC192D" w:rsidRDefault="00340F43">
      <w:r>
        <w:t xml:space="preserve"> </w:t>
      </w:r>
    </w:p>
    <w:tbl>
      <w:tblPr>
        <w:tblStyle w:val="a"/>
        <w:tblW w:w="3690" w:type="dxa"/>
        <w:jc w:val="center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55"/>
        <w:gridCol w:w="1035"/>
      </w:tblGrid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Documentación</w:t>
            </w:r>
          </w:p>
        </w:tc>
        <w:tc>
          <w:tcPr>
            <w:tcW w:w="103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10</w:t>
            </w:r>
          </w:p>
        </w:tc>
      </w:tr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26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Análisis</w:t>
            </w:r>
          </w:p>
        </w:tc>
        <w:tc>
          <w:tcPr>
            <w:tcW w:w="1035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20</w:t>
            </w:r>
          </w:p>
        </w:tc>
      </w:tr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Diseño</w:t>
            </w:r>
          </w:p>
        </w:tc>
        <w:tc>
          <w:tcPr>
            <w:tcW w:w="1035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15</w:t>
            </w:r>
          </w:p>
        </w:tc>
      </w:tr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5" w:type="dxa"/>
            <w:tcBorders>
              <w:left w:val="single" w:sz="8" w:space="0" w:color="BFBFBF"/>
              <w:bottom w:val="single" w:sz="12" w:space="0" w:color="000000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Diagrama de Clases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15</w:t>
            </w:r>
          </w:p>
        </w:tc>
      </w:tr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5" w:type="dxa"/>
            <w:tcBorders>
              <w:left w:val="single" w:sz="8" w:space="0" w:color="BFBFBF"/>
              <w:bottom w:val="single" w:sz="12" w:space="0" w:color="000000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Codificación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40</w:t>
            </w:r>
          </w:p>
        </w:tc>
      </w:tr>
      <w:tr w:rsidR="00BC192D" w:rsidTr="008959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6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center"/>
            </w:pPr>
            <w:r>
              <w:t>Total</w:t>
            </w:r>
          </w:p>
        </w:tc>
        <w:tc>
          <w:tcPr>
            <w:tcW w:w="1035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92D" w:rsidRDefault="00340F43">
            <w:pPr>
              <w:jc w:val="right"/>
            </w:pPr>
            <w:r>
              <w:t>100</w:t>
            </w:r>
          </w:p>
        </w:tc>
      </w:tr>
    </w:tbl>
    <w:p w:rsidR="00BC192D" w:rsidRDefault="00340F43">
      <w:r>
        <w:rPr>
          <w:sz w:val="24"/>
        </w:rPr>
        <w:t xml:space="preserve"> </w:t>
      </w:r>
    </w:p>
    <w:p w:rsidR="00BC192D" w:rsidRDefault="00BC192D"/>
    <w:sectPr w:rsidR="00BC192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F43" w:rsidRDefault="00340F43" w:rsidP="00895989">
      <w:pPr>
        <w:spacing w:line="240" w:lineRule="auto"/>
      </w:pPr>
      <w:r>
        <w:separator/>
      </w:r>
    </w:p>
  </w:endnote>
  <w:endnote w:type="continuationSeparator" w:id="0">
    <w:p w:rsidR="00340F43" w:rsidRDefault="00340F43" w:rsidP="00895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SansNarrow-Bold"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540004"/>
      <w:docPartObj>
        <w:docPartGallery w:val="Page Numbers (Bottom of Page)"/>
        <w:docPartUnique/>
      </w:docPartObj>
    </w:sdtPr>
    <w:sdtContent>
      <w:p w:rsidR="00895989" w:rsidRDefault="00895989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95989">
          <w:rPr>
            <w:noProof/>
            <w:lang w:val="es-ES"/>
          </w:rPr>
          <w:t>3</w:t>
        </w:r>
        <w:r>
          <w:fldChar w:fldCharType="end"/>
        </w:r>
        <w:r>
          <w:t xml:space="preserve">  </w:t>
        </w:r>
      </w:p>
    </w:sdtContent>
  </w:sdt>
  <w:p w:rsidR="00895989" w:rsidRDefault="008959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F43" w:rsidRDefault="00340F43" w:rsidP="00895989">
      <w:pPr>
        <w:spacing w:line="240" w:lineRule="auto"/>
      </w:pPr>
      <w:r>
        <w:separator/>
      </w:r>
    </w:p>
  </w:footnote>
  <w:footnote w:type="continuationSeparator" w:id="0">
    <w:p w:rsidR="00340F43" w:rsidRDefault="00340F43" w:rsidP="008959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304E"/>
    <w:multiLevelType w:val="multilevel"/>
    <w:tmpl w:val="A5147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547EC9"/>
    <w:multiLevelType w:val="multilevel"/>
    <w:tmpl w:val="8E8E3E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0F25F2"/>
    <w:multiLevelType w:val="multilevel"/>
    <w:tmpl w:val="F572BD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4184036"/>
    <w:multiLevelType w:val="multilevel"/>
    <w:tmpl w:val="3F6A13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192D"/>
    <w:rsid w:val="00340F43"/>
    <w:rsid w:val="007404C4"/>
    <w:rsid w:val="00895989"/>
    <w:rsid w:val="00B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598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989"/>
  </w:style>
  <w:style w:type="paragraph" w:styleId="Piedepgina">
    <w:name w:val="footer"/>
    <w:basedOn w:val="Normal"/>
    <w:link w:val="PiedepginaCar"/>
    <w:uiPriority w:val="99"/>
    <w:unhideWhenUsed/>
    <w:rsid w:val="0089598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GT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598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989"/>
  </w:style>
  <w:style w:type="paragraph" w:styleId="Piedepgina">
    <w:name w:val="footer"/>
    <w:basedOn w:val="Normal"/>
    <w:link w:val="PiedepginaCar"/>
    <w:uiPriority w:val="99"/>
    <w:unhideWhenUsed/>
    <w:rsid w:val="0089598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 Proyecto No. 1.docx</vt:lpstr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Proyecto No. 1.docx</dc:title>
  <dc:creator>María Del Carmen Castillo Martini</dc:creator>
  <cp:lastModifiedBy>María Del Carmen Castillo Martini</cp:lastModifiedBy>
  <cp:revision>2</cp:revision>
  <dcterms:created xsi:type="dcterms:W3CDTF">2015-02-09T14:33:00Z</dcterms:created>
  <dcterms:modified xsi:type="dcterms:W3CDTF">2015-02-09T14:33:00Z</dcterms:modified>
</cp:coreProperties>
</file>