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C242A" w14:textId="77777777" w:rsidR="00C83FB0" w:rsidRDefault="00C83FB0" w:rsidP="00CD78D7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370FEDC5" w14:textId="712A7E6F" w:rsidR="0011416C" w:rsidRDefault="0011416C" w:rsidP="00050083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Calibri" w:hAnsi="Calibri" w:cs="Calibri"/>
          <w:noProof/>
          <w:color w:val="000000"/>
          <w:sz w:val="40"/>
          <w:szCs w:val="40"/>
          <w:bdr w:val="none" w:sz="0" w:space="0" w:color="auto" w:frame="1"/>
        </w:rPr>
        <w:drawing>
          <wp:inline distT="0" distB="0" distL="0" distR="0" wp14:anchorId="004D3F27" wp14:editId="5E2EA437">
            <wp:extent cx="3387256" cy="1521170"/>
            <wp:effectExtent l="0" t="0" r="381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4878" cy="1524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16083" w14:textId="1520428E" w:rsidR="00050083" w:rsidRDefault="00050083" w:rsidP="00050083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  <w:lang w:val="en-GB"/>
        </w:rPr>
      </w:pPr>
    </w:p>
    <w:p w14:paraId="11A60792" w14:textId="77777777" w:rsidR="00050083" w:rsidRDefault="00050083" w:rsidP="00050083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  <w:lang w:val="en-GB"/>
        </w:rPr>
      </w:pPr>
    </w:p>
    <w:p w14:paraId="7E251C21" w14:textId="3F82387D" w:rsidR="00C83FB0" w:rsidRPr="00050083" w:rsidRDefault="00C83FB0" w:rsidP="00C83FB0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050083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DSA302 </w:t>
      </w:r>
      <w:r w:rsidR="00050083" w:rsidRPr="00050083">
        <w:rPr>
          <w:rFonts w:ascii="Times New Roman" w:hAnsi="Times New Roman" w:cs="Times New Roman"/>
          <w:b/>
          <w:bCs/>
          <w:sz w:val="24"/>
          <w:szCs w:val="24"/>
          <w:lang w:val="en-GB"/>
        </w:rPr>
        <w:t>Project</w:t>
      </w:r>
      <w:r w:rsidRPr="00050083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Report</w:t>
      </w:r>
    </w:p>
    <w:p w14:paraId="0FB5CB62" w14:textId="77777777" w:rsidR="009E4738" w:rsidRDefault="009E4738" w:rsidP="00050083">
      <w:pPr>
        <w:pStyle w:val="NormalWeb"/>
        <w:spacing w:before="0" w:beforeAutospacing="0" w:after="240" w:afterAutospacing="0"/>
        <w:jc w:val="center"/>
        <w:rPr>
          <w:rFonts w:ascii="Calibri" w:hAnsi="Calibri" w:cs="Calibri"/>
          <w:color w:val="000000"/>
          <w:sz w:val="28"/>
          <w:szCs w:val="28"/>
        </w:rPr>
      </w:pPr>
    </w:p>
    <w:p w14:paraId="300E7716" w14:textId="740C1CB2" w:rsidR="00050083" w:rsidRPr="009E4738" w:rsidRDefault="00050083" w:rsidP="00050083">
      <w:pPr>
        <w:pStyle w:val="NormalWeb"/>
        <w:spacing w:before="0" w:beforeAutospacing="0" w:after="240" w:afterAutospacing="0"/>
        <w:jc w:val="center"/>
        <w:rPr>
          <w:sz w:val="20"/>
          <w:szCs w:val="20"/>
        </w:rPr>
      </w:pPr>
      <w:r w:rsidRPr="009E4738">
        <w:rPr>
          <w:color w:val="000000"/>
          <w:sz w:val="20"/>
          <w:szCs w:val="20"/>
        </w:rPr>
        <w:t>Group Members:</w:t>
      </w:r>
    </w:p>
    <w:tbl>
      <w:tblPr>
        <w:tblW w:w="0" w:type="auto"/>
        <w:tblInd w:w="273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0"/>
        <w:gridCol w:w="1140"/>
      </w:tblGrid>
      <w:tr w:rsidR="00050083" w:rsidRPr="009E4738" w14:paraId="0616A6AA" w14:textId="77777777" w:rsidTr="6BCA4254">
        <w:trPr>
          <w:trHeight w:val="540"/>
        </w:trPr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FB445C" w14:textId="77777777" w:rsidR="00050083" w:rsidRPr="009E4738" w:rsidRDefault="00050083">
            <w:pPr>
              <w:pStyle w:val="NormalWeb"/>
              <w:spacing w:before="0" w:beforeAutospacing="0" w:after="240" w:afterAutospacing="0"/>
              <w:jc w:val="center"/>
              <w:rPr>
                <w:sz w:val="20"/>
                <w:szCs w:val="20"/>
              </w:rPr>
            </w:pPr>
            <w:r w:rsidRPr="009E4738">
              <w:rPr>
                <w:b/>
                <w:bCs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7A4E33" w14:textId="77777777" w:rsidR="00050083" w:rsidRPr="009E4738" w:rsidRDefault="00050083">
            <w:pPr>
              <w:pStyle w:val="NormalWeb"/>
              <w:spacing w:before="0" w:beforeAutospacing="0" w:after="240" w:afterAutospacing="0"/>
              <w:jc w:val="center"/>
              <w:rPr>
                <w:sz w:val="20"/>
                <w:szCs w:val="20"/>
              </w:rPr>
            </w:pPr>
            <w:r w:rsidRPr="009E4738">
              <w:rPr>
                <w:b/>
                <w:bCs/>
                <w:color w:val="000000"/>
                <w:sz w:val="20"/>
                <w:szCs w:val="20"/>
              </w:rPr>
              <w:t>Student ID</w:t>
            </w:r>
          </w:p>
        </w:tc>
      </w:tr>
      <w:tr w:rsidR="00050083" w:rsidRPr="009E4738" w14:paraId="602BB5BF" w14:textId="77777777" w:rsidTr="6BCA4254">
        <w:trPr>
          <w:trHeight w:val="480"/>
        </w:trPr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047AB6" w14:textId="02AA3473" w:rsidR="00050083" w:rsidRPr="009E4738" w:rsidRDefault="00050083">
            <w:pPr>
              <w:pStyle w:val="NormalWeb"/>
              <w:spacing w:before="0" w:beforeAutospacing="0" w:after="240" w:afterAutospacing="0"/>
              <w:jc w:val="center"/>
              <w:rPr>
                <w:sz w:val="20"/>
                <w:szCs w:val="20"/>
              </w:rPr>
            </w:pPr>
            <w:r w:rsidRPr="009E4738">
              <w:rPr>
                <w:color w:val="000000"/>
                <w:sz w:val="20"/>
                <w:szCs w:val="20"/>
              </w:rPr>
              <w:t xml:space="preserve">Chen </w:t>
            </w:r>
            <w:proofErr w:type="spellStart"/>
            <w:r w:rsidRPr="009E4738">
              <w:rPr>
                <w:color w:val="000000"/>
                <w:sz w:val="20"/>
                <w:szCs w:val="20"/>
              </w:rPr>
              <w:t>Yupeng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E45F5F" w14:textId="59E365CF" w:rsidR="00050083" w:rsidRPr="009E4738" w:rsidRDefault="00486D54">
            <w:pPr>
              <w:pStyle w:val="NormalWeb"/>
              <w:spacing w:before="0" w:beforeAutospacing="0" w:after="240" w:afterAutospacing="0"/>
              <w:jc w:val="center"/>
              <w:rPr>
                <w:sz w:val="20"/>
                <w:szCs w:val="20"/>
              </w:rPr>
            </w:pPr>
            <w:r w:rsidRPr="009E4738">
              <w:rPr>
                <w:color w:val="000000"/>
                <w:sz w:val="20"/>
                <w:szCs w:val="20"/>
              </w:rPr>
              <w:t>01336721</w:t>
            </w:r>
          </w:p>
        </w:tc>
      </w:tr>
      <w:tr w:rsidR="00050083" w:rsidRPr="009E4738" w14:paraId="15D6BC54" w14:textId="77777777" w:rsidTr="6BCA4254">
        <w:trPr>
          <w:trHeight w:val="480"/>
        </w:trPr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56BD2F" w14:textId="6A5F683C" w:rsidR="00050083" w:rsidRPr="009E4738" w:rsidRDefault="009545EE">
            <w:pPr>
              <w:pStyle w:val="NormalWeb"/>
              <w:spacing w:before="0" w:beforeAutospacing="0" w:after="240" w:afterAutospacing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Lester Ye Ge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A48D89" w14:textId="7481BC12" w:rsidR="00050083" w:rsidRPr="009E4738" w:rsidRDefault="009A74FE">
            <w:pPr>
              <w:pStyle w:val="NormalWeb"/>
              <w:spacing w:before="0" w:beforeAutospacing="0" w:after="240" w:afterAutospac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01337915</w:t>
            </w:r>
          </w:p>
        </w:tc>
      </w:tr>
      <w:tr w:rsidR="00050083" w:rsidRPr="009E4738" w14:paraId="652785C8" w14:textId="77777777" w:rsidTr="6BCA4254">
        <w:trPr>
          <w:trHeight w:val="750"/>
        </w:trPr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03AA38" w14:textId="1D8D0A5B" w:rsidR="00050083" w:rsidRPr="009E4738" w:rsidRDefault="009545EE">
            <w:pPr>
              <w:pStyle w:val="NormalWeb"/>
              <w:spacing w:before="0" w:beforeAutospacing="0" w:after="240" w:afterAutospacing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Deanna</w:t>
            </w:r>
            <w:r w:rsidR="00FC68AA">
              <w:rPr>
                <w:color w:val="000000"/>
                <w:sz w:val="20"/>
                <w:szCs w:val="20"/>
              </w:rPr>
              <w:t xml:space="preserve"> Seng See Yin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A62007" w14:textId="659E70FB" w:rsidR="00050083" w:rsidRPr="009E4738" w:rsidRDefault="006732BF" w:rsidP="6BCA4254">
            <w:pPr>
              <w:pStyle w:val="NormalWeb"/>
              <w:spacing w:before="0" w:beforeAutospacing="0" w:after="240" w:afterAutospacing="0"/>
              <w:jc w:val="center"/>
              <w:rPr>
                <w:sz w:val="20"/>
                <w:szCs w:val="20"/>
              </w:rPr>
            </w:pPr>
            <w:r w:rsidRPr="6BCA4254">
              <w:rPr>
                <w:sz w:val="20"/>
                <w:szCs w:val="20"/>
              </w:rPr>
              <w:t>01450555</w:t>
            </w:r>
          </w:p>
        </w:tc>
      </w:tr>
    </w:tbl>
    <w:p w14:paraId="2AEFB195" w14:textId="77777777" w:rsidR="00C83FB0" w:rsidRDefault="00C83FB0" w:rsidP="00050083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6619C0B8" w14:textId="77777777" w:rsidR="00C83FB0" w:rsidRDefault="00C83FB0" w:rsidP="00CD78D7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67A1F28D" w14:textId="77777777" w:rsidR="00C83FB0" w:rsidRDefault="00C83FB0" w:rsidP="00CD78D7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0214F377" w14:textId="77777777" w:rsidR="00C83FB0" w:rsidRDefault="00C83FB0" w:rsidP="00CD78D7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63F8A80C" w14:textId="77777777" w:rsidR="00C83FB0" w:rsidRDefault="00C83FB0" w:rsidP="00CD78D7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09BE44A1" w14:textId="77777777" w:rsidR="00C83FB0" w:rsidRDefault="00C83FB0" w:rsidP="00CD78D7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4A2858A4" w14:textId="77777777" w:rsidR="00C83FB0" w:rsidRDefault="00C83FB0" w:rsidP="00CD78D7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33A7A797" w14:textId="77777777" w:rsidR="00C83FB0" w:rsidRDefault="00C83FB0" w:rsidP="00CD78D7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29CBE710" w14:textId="77777777" w:rsidR="00C83FB0" w:rsidRDefault="00C83FB0" w:rsidP="00CD78D7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6194150D" w14:textId="77777777" w:rsidR="00C83FB0" w:rsidRDefault="00C83FB0" w:rsidP="00CD78D7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25F96E17" w14:textId="7FB053B9" w:rsidR="00C83FB0" w:rsidRPr="009667CC" w:rsidRDefault="00C83FB0" w:rsidP="00CD78D7">
      <w:pPr>
        <w:spacing w:line="240" w:lineRule="auto"/>
        <w:rPr>
          <w:rFonts w:ascii="Times New Roman" w:hAnsi="Times New Roman" w:cs="Times New Roman"/>
          <w:sz w:val="28"/>
          <w:szCs w:val="28"/>
          <w:lang w:val="en-GB"/>
        </w:rPr>
      </w:pPr>
    </w:p>
    <w:p w14:paraId="7E328B73" w14:textId="77777777" w:rsidR="00D53A5E" w:rsidRDefault="00D53A5E" w:rsidP="00CD78D7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19D47406" w14:textId="5E9466A4" w:rsidR="00D46E79" w:rsidRPr="009A2796" w:rsidRDefault="00D46E79" w:rsidP="00CD78D7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9A2796">
        <w:rPr>
          <w:rFonts w:ascii="Times New Roman" w:hAnsi="Times New Roman" w:cs="Times New Roman"/>
          <w:b/>
          <w:bCs/>
          <w:sz w:val="28"/>
          <w:szCs w:val="28"/>
          <w:lang w:val="en-GB"/>
        </w:rPr>
        <w:lastRenderedPageBreak/>
        <w:t>1. Portfolio Asset Selection</w:t>
      </w:r>
    </w:p>
    <w:p w14:paraId="7D0E986B" w14:textId="175421F7" w:rsidR="00D46E79" w:rsidRDefault="00D46E79" w:rsidP="00CD78D7">
      <w:pPr>
        <w:spacing w:line="240" w:lineRule="auto"/>
        <w:rPr>
          <w:rFonts w:ascii="Times New Roman" w:hAnsi="Times New Roman" w:cs="Times New Roman"/>
          <w:sz w:val="20"/>
          <w:szCs w:val="20"/>
          <w:lang w:val="en-GB"/>
        </w:rPr>
      </w:pPr>
      <w:r w:rsidRPr="00D46E79">
        <w:rPr>
          <w:rFonts w:ascii="Times New Roman" w:hAnsi="Times New Roman" w:cs="Times New Roman"/>
          <w:sz w:val="20"/>
          <w:szCs w:val="20"/>
          <w:lang w:val="en-GB"/>
        </w:rPr>
        <w:t>1.1 Initial Portfolio</w:t>
      </w:r>
      <w:r w:rsidR="006B7D5F">
        <w:rPr>
          <w:rFonts w:ascii="Times New Roman" w:hAnsi="Times New Roman" w:cs="Times New Roman"/>
          <w:sz w:val="20"/>
          <w:szCs w:val="20"/>
          <w:lang w:val="en-GB"/>
        </w:rPr>
        <w:t xml:space="preserve"> Selection</w:t>
      </w:r>
    </w:p>
    <w:p w14:paraId="47AF8E51" w14:textId="49F6122C" w:rsidR="00133FD3" w:rsidRDefault="006B7D5F" w:rsidP="00CD78D7">
      <w:pPr>
        <w:spacing w:line="240" w:lineRule="auto"/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 xml:space="preserve">Our group initially </w:t>
      </w:r>
      <w:r w:rsidR="00C7074B">
        <w:rPr>
          <w:rFonts w:ascii="Times New Roman" w:hAnsi="Times New Roman" w:cs="Times New Roman"/>
          <w:sz w:val="20"/>
          <w:szCs w:val="20"/>
          <w:lang w:val="en-GB"/>
        </w:rPr>
        <w:t xml:space="preserve">selected </w:t>
      </w:r>
      <w:r>
        <w:rPr>
          <w:rFonts w:ascii="Times New Roman" w:hAnsi="Times New Roman" w:cs="Times New Roman"/>
          <w:sz w:val="20"/>
          <w:szCs w:val="20"/>
          <w:lang w:val="en-GB"/>
        </w:rPr>
        <w:t xml:space="preserve">a portfolio consisting of ten ETFs representing ten asset </w:t>
      </w:r>
      <w:r w:rsidR="00DA2191">
        <w:rPr>
          <w:rFonts w:ascii="Times New Roman" w:hAnsi="Times New Roman" w:cs="Times New Roman"/>
          <w:sz w:val="20"/>
          <w:szCs w:val="20"/>
          <w:lang w:val="en-GB"/>
        </w:rPr>
        <w:t>sub-</w:t>
      </w:r>
      <w:r>
        <w:rPr>
          <w:rFonts w:ascii="Times New Roman" w:hAnsi="Times New Roman" w:cs="Times New Roman"/>
          <w:sz w:val="20"/>
          <w:szCs w:val="20"/>
          <w:lang w:val="en-GB"/>
        </w:rPr>
        <w:t xml:space="preserve">classes. Amongst these ten asset </w:t>
      </w:r>
      <w:r w:rsidR="00940EB8">
        <w:rPr>
          <w:rFonts w:ascii="Times New Roman" w:hAnsi="Times New Roman" w:cs="Times New Roman"/>
          <w:sz w:val="20"/>
          <w:szCs w:val="20"/>
          <w:lang w:val="en-GB"/>
        </w:rPr>
        <w:t>sub-</w:t>
      </w:r>
      <w:r>
        <w:rPr>
          <w:rFonts w:ascii="Times New Roman" w:hAnsi="Times New Roman" w:cs="Times New Roman"/>
          <w:sz w:val="20"/>
          <w:szCs w:val="20"/>
          <w:lang w:val="en-GB"/>
        </w:rPr>
        <w:t xml:space="preserve">classes, there were </w:t>
      </w:r>
      <w:r w:rsidR="008A51BC">
        <w:rPr>
          <w:rFonts w:ascii="Times New Roman" w:hAnsi="Times New Roman" w:cs="Times New Roman"/>
          <w:sz w:val="20"/>
          <w:szCs w:val="20"/>
          <w:lang w:val="en-GB"/>
        </w:rPr>
        <w:t>three</w:t>
      </w:r>
      <w:r>
        <w:rPr>
          <w:rFonts w:ascii="Times New Roman" w:hAnsi="Times New Roman" w:cs="Times New Roman"/>
          <w:sz w:val="20"/>
          <w:szCs w:val="20"/>
          <w:lang w:val="en-GB"/>
        </w:rPr>
        <w:t xml:space="preserve"> equities ETFs; two bond ETFs; two real-estate ETFs; and three currency ETFs. </w:t>
      </w:r>
      <w:r w:rsidR="00936BC7">
        <w:rPr>
          <w:rFonts w:ascii="Times New Roman" w:hAnsi="Times New Roman" w:cs="Times New Roman"/>
          <w:sz w:val="20"/>
          <w:szCs w:val="20"/>
          <w:lang w:val="en-GB"/>
        </w:rPr>
        <w:t xml:space="preserve">The </w:t>
      </w:r>
      <w:r w:rsidR="008A51BC">
        <w:rPr>
          <w:rFonts w:ascii="Times New Roman" w:hAnsi="Times New Roman" w:cs="Times New Roman"/>
          <w:sz w:val="20"/>
          <w:szCs w:val="20"/>
          <w:lang w:val="en-GB"/>
        </w:rPr>
        <w:t>three</w:t>
      </w:r>
      <w:r w:rsidR="00936BC7">
        <w:rPr>
          <w:rFonts w:ascii="Times New Roman" w:hAnsi="Times New Roman" w:cs="Times New Roman"/>
          <w:sz w:val="20"/>
          <w:szCs w:val="20"/>
          <w:lang w:val="en-GB"/>
        </w:rPr>
        <w:t xml:space="preserve"> equities ETFs, QQQ</w:t>
      </w:r>
      <w:r w:rsidR="008A51BC">
        <w:rPr>
          <w:rFonts w:ascii="Times New Roman" w:hAnsi="Times New Roman" w:cs="Times New Roman"/>
          <w:sz w:val="20"/>
          <w:szCs w:val="20"/>
          <w:lang w:val="en-GB"/>
        </w:rPr>
        <w:t xml:space="preserve">, </w:t>
      </w:r>
      <w:r w:rsidR="00936BC7">
        <w:rPr>
          <w:rFonts w:ascii="Times New Roman" w:hAnsi="Times New Roman" w:cs="Times New Roman"/>
          <w:sz w:val="20"/>
          <w:szCs w:val="20"/>
          <w:lang w:val="en-GB"/>
        </w:rPr>
        <w:t>FEZ</w:t>
      </w:r>
      <w:r w:rsidR="008A51BC">
        <w:rPr>
          <w:rFonts w:ascii="Times New Roman" w:hAnsi="Times New Roman" w:cs="Times New Roman"/>
          <w:sz w:val="20"/>
          <w:szCs w:val="20"/>
          <w:lang w:val="en-GB"/>
        </w:rPr>
        <w:t xml:space="preserve"> and AIA</w:t>
      </w:r>
      <w:r w:rsidR="00936BC7">
        <w:rPr>
          <w:rFonts w:ascii="Times New Roman" w:hAnsi="Times New Roman" w:cs="Times New Roman"/>
          <w:sz w:val="20"/>
          <w:szCs w:val="20"/>
          <w:lang w:val="en-GB"/>
        </w:rPr>
        <w:t xml:space="preserve"> tracks the NASDAQ</w:t>
      </w:r>
      <w:r w:rsidR="00176A93">
        <w:rPr>
          <w:rFonts w:ascii="Times New Roman" w:hAnsi="Times New Roman" w:cs="Times New Roman"/>
          <w:sz w:val="20"/>
          <w:szCs w:val="20"/>
          <w:lang w:val="en-GB"/>
        </w:rPr>
        <w:t>-</w:t>
      </w:r>
      <w:r w:rsidR="00936BC7">
        <w:rPr>
          <w:rFonts w:ascii="Times New Roman" w:hAnsi="Times New Roman" w:cs="Times New Roman"/>
          <w:sz w:val="20"/>
          <w:szCs w:val="20"/>
          <w:lang w:val="en-GB"/>
        </w:rPr>
        <w:t>100 index</w:t>
      </w:r>
      <w:r w:rsidR="008A51BC">
        <w:rPr>
          <w:rFonts w:ascii="Times New Roman" w:hAnsi="Times New Roman" w:cs="Times New Roman"/>
          <w:sz w:val="20"/>
          <w:szCs w:val="20"/>
          <w:lang w:val="en-GB"/>
        </w:rPr>
        <w:t xml:space="preserve">, </w:t>
      </w:r>
      <w:r w:rsidR="00176A93">
        <w:rPr>
          <w:rFonts w:ascii="Times New Roman" w:hAnsi="Times New Roman" w:cs="Times New Roman"/>
          <w:sz w:val="20"/>
          <w:szCs w:val="20"/>
          <w:lang w:val="en-GB"/>
        </w:rPr>
        <w:t>EURO STOXX-50 index</w:t>
      </w:r>
      <w:r w:rsidR="008A51BC">
        <w:rPr>
          <w:rFonts w:ascii="Times New Roman" w:hAnsi="Times New Roman" w:cs="Times New Roman"/>
          <w:sz w:val="20"/>
          <w:szCs w:val="20"/>
          <w:lang w:val="en-GB"/>
        </w:rPr>
        <w:t xml:space="preserve"> and </w:t>
      </w:r>
      <w:r w:rsidR="008A51BC" w:rsidRPr="008A51BC">
        <w:rPr>
          <w:rFonts w:ascii="Times New Roman" w:hAnsi="Times New Roman" w:cs="Times New Roman"/>
          <w:sz w:val="20"/>
          <w:szCs w:val="20"/>
          <w:lang w:val="en-GB"/>
        </w:rPr>
        <w:t xml:space="preserve">S&amp;P Asia 50 </w:t>
      </w:r>
      <w:r w:rsidR="008A51BC">
        <w:rPr>
          <w:rFonts w:ascii="Times New Roman" w:hAnsi="Times New Roman" w:cs="Times New Roman"/>
          <w:sz w:val="20"/>
          <w:szCs w:val="20"/>
          <w:lang w:val="en-GB"/>
        </w:rPr>
        <w:t>i</w:t>
      </w:r>
      <w:r w:rsidR="008A51BC" w:rsidRPr="008A51BC">
        <w:rPr>
          <w:rFonts w:ascii="Times New Roman" w:hAnsi="Times New Roman" w:cs="Times New Roman"/>
          <w:sz w:val="20"/>
          <w:szCs w:val="20"/>
          <w:lang w:val="en-GB"/>
        </w:rPr>
        <w:t>ndex</w:t>
      </w:r>
      <w:r w:rsidR="008A51BC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="00176A93">
        <w:rPr>
          <w:rFonts w:ascii="Times New Roman" w:hAnsi="Times New Roman" w:cs="Times New Roman"/>
          <w:sz w:val="20"/>
          <w:szCs w:val="20"/>
          <w:lang w:val="en-GB"/>
        </w:rPr>
        <w:t xml:space="preserve">respectively. </w:t>
      </w:r>
      <w:r w:rsidR="006965F5">
        <w:rPr>
          <w:rFonts w:ascii="Times New Roman" w:hAnsi="Times New Roman" w:cs="Times New Roman"/>
          <w:sz w:val="20"/>
          <w:szCs w:val="20"/>
          <w:lang w:val="en-GB"/>
        </w:rPr>
        <w:t xml:space="preserve">The two bond ETFs, </w:t>
      </w:r>
      <w:r w:rsidR="00936BC7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="006965F5">
        <w:rPr>
          <w:rFonts w:ascii="Times New Roman" w:hAnsi="Times New Roman" w:cs="Times New Roman"/>
          <w:sz w:val="20"/>
          <w:szCs w:val="20"/>
          <w:lang w:val="en-GB"/>
        </w:rPr>
        <w:t xml:space="preserve">FXNAX and SEGA.MI, tracks </w:t>
      </w:r>
      <w:r w:rsidR="006965F5" w:rsidRPr="006965F5">
        <w:rPr>
          <w:rFonts w:ascii="Times New Roman" w:hAnsi="Times New Roman" w:cs="Times New Roman"/>
          <w:sz w:val="20"/>
          <w:szCs w:val="20"/>
          <w:lang w:val="en-GB"/>
        </w:rPr>
        <w:t>Bloomberg Barclays U.S. Aggregate Bond Index</w:t>
      </w:r>
      <w:r w:rsidR="00E471A7">
        <w:rPr>
          <w:rFonts w:ascii="Times New Roman" w:hAnsi="Times New Roman" w:cs="Times New Roman"/>
          <w:sz w:val="20"/>
          <w:szCs w:val="20"/>
          <w:lang w:val="en-GB"/>
        </w:rPr>
        <w:t xml:space="preserve"> and </w:t>
      </w:r>
      <w:r w:rsidR="00E471A7" w:rsidRPr="00E471A7">
        <w:rPr>
          <w:rFonts w:ascii="Times New Roman" w:hAnsi="Times New Roman" w:cs="Times New Roman"/>
          <w:sz w:val="20"/>
          <w:szCs w:val="20"/>
          <w:lang w:val="en-GB"/>
        </w:rPr>
        <w:t>Bloomberg Barclays Euro Treasury Bond Index</w:t>
      </w:r>
      <w:r w:rsidR="00E471A7">
        <w:rPr>
          <w:rFonts w:ascii="Times New Roman" w:hAnsi="Times New Roman" w:cs="Times New Roman"/>
          <w:sz w:val="20"/>
          <w:szCs w:val="20"/>
          <w:lang w:val="en-GB"/>
        </w:rPr>
        <w:t xml:space="preserve"> respectively. </w:t>
      </w:r>
      <w:r w:rsidR="008A51BC">
        <w:rPr>
          <w:rFonts w:ascii="Times New Roman" w:hAnsi="Times New Roman" w:cs="Times New Roman"/>
          <w:sz w:val="20"/>
          <w:szCs w:val="20"/>
          <w:lang w:val="en-GB"/>
        </w:rPr>
        <w:t xml:space="preserve">The two </w:t>
      </w:r>
      <w:r w:rsidR="003A0D47">
        <w:rPr>
          <w:rFonts w:ascii="Times New Roman" w:hAnsi="Times New Roman" w:cs="Times New Roman"/>
          <w:sz w:val="20"/>
          <w:szCs w:val="20"/>
          <w:lang w:val="en-GB"/>
        </w:rPr>
        <w:t xml:space="preserve">real-estate ETFs, VNQ and IQQP.DE tracks the </w:t>
      </w:r>
      <w:r w:rsidR="003A0D47" w:rsidRPr="003A0D47">
        <w:rPr>
          <w:rFonts w:ascii="Times New Roman" w:hAnsi="Times New Roman" w:cs="Times New Roman"/>
          <w:sz w:val="20"/>
          <w:szCs w:val="20"/>
          <w:lang w:val="en-GB"/>
        </w:rPr>
        <w:t>MSCI US Investable Market Real Estate 25/50 Index</w:t>
      </w:r>
      <w:r w:rsidR="003A0D47">
        <w:rPr>
          <w:rFonts w:ascii="Times New Roman" w:hAnsi="Times New Roman" w:cs="Times New Roman"/>
          <w:sz w:val="20"/>
          <w:szCs w:val="20"/>
          <w:lang w:val="en-GB"/>
        </w:rPr>
        <w:t xml:space="preserve"> and </w:t>
      </w:r>
      <w:r w:rsidR="003A0D47" w:rsidRPr="003A0D47">
        <w:rPr>
          <w:rFonts w:ascii="Times New Roman" w:hAnsi="Times New Roman" w:cs="Times New Roman"/>
          <w:sz w:val="20"/>
          <w:szCs w:val="20"/>
          <w:lang w:val="en-GB"/>
        </w:rPr>
        <w:t xml:space="preserve">FTSE EPRA </w:t>
      </w:r>
      <w:proofErr w:type="spellStart"/>
      <w:r w:rsidR="003A0D47" w:rsidRPr="003A0D47">
        <w:rPr>
          <w:rFonts w:ascii="Times New Roman" w:hAnsi="Times New Roman" w:cs="Times New Roman"/>
          <w:sz w:val="20"/>
          <w:szCs w:val="20"/>
          <w:lang w:val="en-GB"/>
        </w:rPr>
        <w:t>Nareit</w:t>
      </w:r>
      <w:proofErr w:type="spellEnd"/>
      <w:r w:rsidR="003A0D47" w:rsidRPr="003A0D47">
        <w:rPr>
          <w:rFonts w:ascii="Times New Roman" w:hAnsi="Times New Roman" w:cs="Times New Roman"/>
          <w:sz w:val="20"/>
          <w:szCs w:val="20"/>
          <w:lang w:val="en-GB"/>
        </w:rPr>
        <w:t xml:space="preserve"> Developed Europe ex UK Index</w:t>
      </w:r>
      <w:r w:rsidR="003A0D47">
        <w:rPr>
          <w:rFonts w:ascii="Times New Roman" w:hAnsi="Times New Roman" w:cs="Times New Roman"/>
          <w:sz w:val="20"/>
          <w:szCs w:val="20"/>
          <w:lang w:val="en-GB"/>
        </w:rPr>
        <w:t>. Lastly, the three currency ETFs, UUP, FXE, and FXY are the Invesco currency</w:t>
      </w:r>
      <w:r w:rsidR="00B94778">
        <w:rPr>
          <w:rFonts w:ascii="Times New Roman" w:hAnsi="Times New Roman" w:cs="Times New Roman"/>
          <w:sz w:val="20"/>
          <w:szCs w:val="20"/>
          <w:lang w:val="en-GB"/>
        </w:rPr>
        <w:t xml:space="preserve"> trust</w:t>
      </w:r>
      <w:r w:rsidR="003A0D47">
        <w:rPr>
          <w:rFonts w:ascii="Times New Roman" w:hAnsi="Times New Roman" w:cs="Times New Roman"/>
          <w:sz w:val="20"/>
          <w:szCs w:val="20"/>
          <w:lang w:val="en-GB"/>
        </w:rPr>
        <w:t xml:space="preserve"> ETFs </w:t>
      </w:r>
      <w:r w:rsidR="00B94778">
        <w:rPr>
          <w:rFonts w:ascii="Times New Roman" w:hAnsi="Times New Roman" w:cs="Times New Roman"/>
          <w:sz w:val="20"/>
          <w:szCs w:val="20"/>
          <w:lang w:val="en-GB"/>
        </w:rPr>
        <w:t>for US</w:t>
      </w:r>
      <w:r w:rsidR="00C20B6C">
        <w:rPr>
          <w:rFonts w:ascii="Times New Roman" w:hAnsi="Times New Roman" w:cs="Times New Roman"/>
          <w:sz w:val="20"/>
          <w:szCs w:val="20"/>
          <w:lang w:val="en-GB"/>
        </w:rPr>
        <w:t xml:space="preserve"> dollar</w:t>
      </w:r>
      <w:r w:rsidR="00B94778">
        <w:rPr>
          <w:rFonts w:ascii="Times New Roman" w:hAnsi="Times New Roman" w:cs="Times New Roman"/>
          <w:sz w:val="20"/>
          <w:szCs w:val="20"/>
          <w:lang w:val="en-GB"/>
        </w:rPr>
        <w:t xml:space="preserve">, </w:t>
      </w:r>
      <w:r w:rsidR="00C20B6C">
        <w:rPr>
          <w:rFonts w:ascii="Times New Roman" w:hAnsi="Times New Roman" w:cs="Times New Roman"/>
          <w:sz w:val="20"/>
          <w:szCs w:val="20"/>
          <w:lang w:val="en-GB"/>
        </w:rPr>
        <w:t>Euro</w:t>
      </w:r>
      <w:r w:rsidR="00B94778">
        <w:rPr>
          <w:rFonts w:ascii="Times New Roman" w:hAnsi="Times New Roman" w:cs="Times New Roman"/>
          <w:sz w:val="20"/>
          <w:szCs w:val="20"/>
          <w:lang w:val="en-GB"/>
        </w:rPr>
        <w:t xml:space="preserve">, and Japanese Yen respectively. </w:t>
      </w:r>
      <w:r w:rsidR="000B3228">
        <w:rPr>
          <w:rFonts w:ascii="Times New Roman" w:hAnsi="Times New Roman" w:cs="Times New Roman"/>
          <w:sz w:val="20"/>
          <w:szCs w:val="20"/>
          <w:lang w:val="en-GB"/>
        </w:rPr>
        <w:t>These asset</w:t>
      </w:r>
      <w:r w:rsidR="00465E95">
        <w:rPr>
          <w:rFonts w:ascii="Times New Roman" w:hAnsi="Times New Roman" w:cs="Times New Roman"/>
          <w:sz w:val="20"/>
          <w:szCs w:val="20"/>
          <w:lang w:val="en-GB"/>
        </w:rPr>
        <w:t xml:space="preserve"> sub-</w:t>
      </w:r>
      <w:r w:rsidR="000B3228">
        <w:rPr>
          <w:rFonts w:ascii="Times New Roman" w:hAnsi="Times New Roman" w:cs="Times New Roman"/>
          <w:sz w:val="20"/>
          <w:szCs w:val="20"/>
          <w:lang w:val="en-GB"/>
        </w:rPr>
        <w:t>classes have been summarised in the following table.</w:t>
      </w:r>
    </w:p>
    <w:p w14:paraId="0EE2B79F" w14:textId="77777777" w:rsidR="008677D6" w:rsidRDefault="008677D6" w:rsidP="00CD78D7">
      <w:pPr>
        <w:spacing w:line="240" w:lineRule="auto"/>
        <w:rPr>
          <w:rFonts w:ascii="Times New Roman" w:hAnsi="Times New Roman" w:cs="Times New Roman"/>
          <w:sz w:val="20"/>
          <w:szCs w:val="20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612"/>
        <w:gridCol w:w="1530"/>
        <w:gridCol w:w="2267"/>
        <w:gridCol w:w="1804"/>
      </w:tblGrid>
      <w:tr w:rsidR="008E0869" w14:paraId="5FDA3F1F" w14:textId="77777777" w:rsidTr="00443093">
        <w:tc>
          <w:tcPr>
            <w:tcW w:w="1803" w:type="dxa"/>
          </w:tcPr>
          <w:p w14:paraId="1116F6D8" w14:textId="5A36D410" w:rsidR="008E0869" w:rsidRPr="008E0869" w:rsidRDefault="008E0869" w:rsidP="008E086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008E086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Name of ETF</w:t>
            </w:r>
          </w:p>
        </w:tc>
        <w:tc>
          <w:tcPr>
            <w:tcW w:w="1612" w:type="dxa"/>
          </w:tcPr>
          <w:p w14:paraId="3908860D" w14:textId="4864C21F" w:rsidR="008E0869" w:rsidRPr="008E0869" w:rsidRDefault="008E0869" w:rsidP="008E086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008E086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Underlying Index</w:t>
            </w:r>
          </w:p>
        </w:tc>
        <w:tc>
          <w:tcPr>
            <w:tcW w:w="1530" w:type="dxa"/>
          </w:tcPr>
          <w:p w14:paraId="170B6270" w14:textId="600F08D1" w:rsidR="008E0869" w:rsidRPr="008E0869" w:rsidRDefault="008E0869" w:rsidP="008E086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008E086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Ticker Symbol</w:t>
            </w:r>
          </w:p>
        </w:tc>
        <w:tc>
          <w:tcPr>
            <w:tcW w:w="2267" w:type="dxa"/>
          </w:tcPr>
          <w:p w14:paraId="2ACC21A1" w14:textId="493EC31F" w:rsidR="008E0869" w:rsidRPr="008E0869" w:rsidRDefault="00443093" w:rsidP="008E086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Fund Type/Index Description</w:t>
            </w:r>
          </w:p>
        </w:tc>
        <w:tc>
          <w:tcPr>
            <w:tcW w:w="1804" w:type="dxa"/>
          </w:tcPr>
          <w:p w14:paraId="7432E724" w14:textId="4C477E97" w:rsidR="008E0869" w:rsidRPr="008E0869" w:rsidRDefault="008E0869" w:rsidP="008E086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008E086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Sub-asset Class</w:t>
            </w:r>
          </w:p>
        </w:tc>
      </w:tr>
      <w:tr w:rsidR="008E0869" w14:paraId="644A6B9C" w14:textId="77777777" w:rsidTr="00443093">
        <w:tc>
          <w:tcPr>
            <w:tcW w:w="1803" w:type="dxa"/>
          </w:tcPr>
          <w:p w14:paraId="52B46998" w14:textId="1996C289" w:rsidR="008E0869" w:rsidRDefault="00361447" w:rsidP="0044309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361447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Invesco QQQ Trust Series 1</w:t>
            </w:r>
          </w:p>
        </w:tc>
        <w:tc>
          <w:tcPr>
            <w:tcW w:w="1612" w:type="dxa"/>
          </w:tcPr>
          <w:p w14:paraId="6E43C42F" w14:textId="48E2200D" w:rsidR="008E0869" w:rsidRDefault="00036D8E" w:rsidP="0044309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NASDAQ-100</w:t>
            </w:r>
          </w:p>
        </w:tc>
        <w:tc>
          <w:tcPr>
            <w:tcW w:w="1530" w:type="dxa"/>
          </w:tcPr>
          <w:p w14:paraId="38CA225B" w14:textId="386CDBF9" w:rsidR="008E0869" w:rsidRDefault="00036D8E" w:rsidP="0044309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QQQ</w:t>
            </w:r>
          </w:p>
        </w:tc>
        <w:tc>
          <w:tcPr>
            <w:tcW w:w="2267" w:type="dxa"/>
          </w:tcPr>
          <w:p w14:paraId="3D94CA76" w14:textId="0321C894" w:rsidR="008E0869" w:rsidRDefault="00036D8E" w:rsidP="0044309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</w:t>
            </w:r>
            <w:r w:rsidR="00443093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ETF.</w:t>
            </w:r>
            <w:r w:rsidR="00A961BE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</w:t>
            </w:r>
            <w:r w:rsidR="00443093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Nasdaq-100 is an i</w:t>
            </w: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ndex comprising 100 of the largest non-financial companies list on Nasdaq Stock Market.</w:t>
            </w:r>
            <w:r w:rsidR="00443093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1804" w:type="dxa"/>
          </w:tcPr>
          <w:p w14:paraId="1027DCB3" w14:textId="293EF61F" w:rsidR="008E0869" w:rsidRDefault="009C0824" w:rsidP="0044309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Equities – US</w:t>
            </w:r>
          </w:p>
        </w:tc>
      </w:tr>
      <w:tr w:rsidR="008E0869" w14:paraId="01B0F8A3" w14:textId="77777777" w:rsidTr="00443093">
        <w:tc>
          <w:tcPr>
            <w:tcW w:w="1803" w:type="dxa"/>
          </w:tcPr>
          <w:p w14:paraId="160F1C70" w14:textId="6E736619" w:rsidR="008E0869" w:rsidRDefault="009221DD" w:rsidP="0044309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9221DD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SPDR Euro Stoxx 50 ETF</w:t>
            </w:r>
          </w:p>
        </w:tc>
        <w:tc>
          <w:tcPr>
            <w:tcW w:w="1612" w:type="dxa"/>
          </w:tcPr>
          <w:p w14:paraId="5CC2A337" w14:textId="5FC975C0" w:rsidR="008E0869" w:rsidRDefault="00036D8E" w:rsidP="0044309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EURO STOXX-50</w:t>
            </w:r>
          </w:p>
        </w:tc>
        <w:tc>
          <w:tcPr>
            <w:tcW w:w="1530" w:type="dxa"/>
          </w:tcPr>
          <w:p w14:paraId="31FC6D77" w14:textId="75E69B08" w:rsidR="008E0869" w:rsidRDefault="00036D8E" w:rsidP="0044309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FEZ</w:t>
            </w:r>
          </w:p>
        </w:tc>
        <w:tc>
          <w:tcPr>
            <w:tcW w:w="2267" w:type="dxa"/>
          </w:tcPr>
          <w:p w14:paraId="3C004B11" w14:textId="74316665" w:rsidR="008E0869" w:rsidRDefault="00A961BE" w:rsidP="0044309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ETF. EURO-STOXX 50 is a stock index of </w:t>
            </w:r>
            <w:r w:rsidR="009A2C78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50 largest and most liquid </w:t>
            </w: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Eurozone stocks</w:t>
            </w:r>
            <w:r w:rsidR="00E80B98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.</w:t>
            </w:r>
          </w:p>
        </w:tc>
        <w:tc>
          <w:tcPr>
            <w:tcW w:w="1804" w:type="dxa"/>
          </w:tcPr>
          <w:p w14:paraId="724CA709" w14:textId="76A187C3" w:rsidR="008E0869" w:rsidRDefault="009C0824" w:rsidP="0044309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Equities </w:t>
            </w:r>
            <w:r w:rsidR="003E70E2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–</w:t>
            </w: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EU</w:t>
            </w:r>
          </w:p>
        </w:tc>
      </w:tr>
      <w:tr w:rsidR="008E0869" w14:paraId="204D3AC8" w14:textId="77777777" w:rsidTr="00443093">
        <w:tc>
          <w:tcPr>
            <w:tcW w:w="1803" w:type="dxa"/>
          </w:tcPr>
          <w:p w14:paraId="7D3F3C22" w14:textId="067E0D22" w:rsidR="008E0869" w:rsidRDefault="003B0B1B" w:rsidP="0044309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3B0B1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iShares Asia 50 ETF</w:t>
            </w:r>
          </w:p>
        </w:tc>
        <w:tc>
          <w:tcPr>
            <w:tcW w:w="1612" w:type="dxa"/>
          </w:tcPr>
          <w:p w14:paraId="7DF2EA06" w14:textId="795B6815" w:rsidR="008E0869" w:rsidRDefault="00036D8E" w:rsidP="0044309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S&amp;P Asia 50</w:t>
            </w:r>
          </w:p>
        </w:tc>
        <w:tc>
          <w:tcPr>
            <w:tcW w:w="1530" w:type="dxa"/>
          </w:tcPr>
          <w:p w14:paraId="6B08DAE5" w14:textId="5F928E46" w:rsidR="008E0869" w:rsidRDefault="00036D8E" w:rsidP="0044309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AIA</w:t>
            </w:r>
          </w:p>
        </w:tc>
        <w:tc>
          <w:tcPr>
            <w:tcW w:w="2267" w:type="dxa"/>
          </w:tcPr>
          <w:p w14:paraId="4DC260A0" w14:textId="409EA8FA" w:rsidR="008E0869" w:rsidRDefault="00E80B98" w:rsidP="0044309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ETF. S&amp;P50 Asia is a stock index of 50 leading blue-chip companies in mostly Hong Kong, Korea, Singapore and Taiwan.</w:t>
            </w:r>
          </w:p>
        </w:tc>
        <w:tc>
          <w:tcPr>
            <w:tcW w:w="1804" w:type="dxa"/>
          </w:tcPr>
          <w:p w14:paraId="3501C772" w14:textId="6E6E7FF5" w:rsidR="008E0869" w:rsidRDefault="003E70E2" w:rsidP="0044309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Equities </w:t>
            </w:r>
            <w:r w:rsidR="001127A5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–</w:t>
            </w: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Asia</w:t>
            </w:r>
          </w:p>
        </w:tc>
      </w:tr>
      <w:tr w:rsidR="008E0869" w14:paraId="6E52136F" w14:textId="77777777" w:rsidTr="00443093">
        <w:tc>
          <w:tcPr>
            <w:tcW w:w="1803" w:type="dxa"/>
          </w:tcPr>
          <w:p w14:paraId="4DD4C061" w14:textId="07382F33" w:rsidR="008E0869" w:rsidRDefault="00E758B2" w:rsidP="0044309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E758B2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Fidelity® U.S. Bond Index Fund</w:t>
            </w:r>
          </w:p>
        </w:tc>
        <w:tc>
          <w:tcPr>
            <w:tcW w:w="1612" w:type="dxa"/>
          </w:tcPr>
          <w:p w14:paraId="75E52C24" w14:textId="6413EE9E" w:rsidR="008E0869" w:rsidRDefault="001007E4" w:rsidP="0044309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6965F5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Bloomberg Barclays U.S. Aggregate Bond Index</w:t>
            </w:r>
          </w:p>
        </w:tc>
        <w:tc>
          <w:tcPr>
            <w:tcW w:w="1530" w:type="dxa"/>
          </w:tcPr>
          <w:p w14:paraId="73DB5849" w14:textId="11130EE9" w:rsidR="008E0869" w:rsidRDefault="00036D8E" w:rsidP="0044309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FXNAX</w:t>
            </w:r>
          </w:p>
        </w:tc>
        <w:tc>
          <w:tcPr>
            <w:tcW w:w="2267" w:type="dxa"/>
          </w:tcPr>
          <w:p w14:paraId="40D6E86C" w14:textId="50617AFB" w:rsidR="008E0869" w:rsidRDefault="007147BE" w:rsidP="0044309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ETF. </w:t>
            </w:r>
            <w:r w:rsidRPr="007147BE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The Bloomberg U.S. Aggregate Bond Index is an market value-weighted index for U.S. dollar denominated investment-grade fixed-rate debt issues</w:t>
            </w: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. </w:t>
            </w:r>
            <w:r w:rsidR="008D460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Returns are mostly in form of interests dividend</w:t>
            </w:r>
          </w:p>
        </w:tc>
        <w:tc>
          <w:tcPr>
            <w:tcW w:w="1804" w:type="dxa"/>
          </w:tcPr>
          <w:p w14:paraId="0F9F5379" w14:textId="46858A66" w:rsidR="008E0869" w:rsidRDefault="00173018" w:rsidP="0044309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Bonds – US</w:t>
            </w:r>
          </w:p>
        </w:tc>
      </w:tr>
      <w:tr w:rsidR="008E0869" w14:paraId="491D25DF" w14:textId="77777777" w:rsidTr="00443093">
        <w:tc>
          <w:tcPr>
            <w:tcW w:w="1803" w:type="dxa"/>
          </w:tcPr>
          <w:p w14:paraId="5DC0784B" w14:textId="6CFAFA67" w:rsidR="008E0869" w:rsidRDefault="00DF30CA" w:rsidP="0044309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DF30C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iShares Core </w:t>
            </w: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E</w:t>
            </w:r>
            <w:r w:rsidR="00185235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uro </w:t>
            </w:r>
            <w:r w:rsidRPr="00DF30C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Govt Bond UCITS ETF</w:t>
            </w:r>
          </w:p>
        </w:tc>
        <w:tc>
          <w:tcPr>
            <w:tcW w:w="1612" w:type="dxa"/>
          </w:tcPr>
          <w:p w14:paraId="3BD3AF89" w14:textId="4F4CB55C" w:rsidR="008E0869" w:rsidRDefault="001007E4" w:rsidP="0044309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E471A7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Bloomberg Barclays Euro Treasury Bond Index</w:t>
            </w:r>
          </w:p>
        </w:tc>
        <w:tc>
          <w:tcPr>
            <w:tcW w:w="1530" w:type="dxa"/>
          </w:tcPr>
          <w:p w14:paraId="4301EFE3" w14:textId="0477716F" w:rsidR="008E0869" w:rsidRDefault="00036D8E" w:rsidP="0044309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SEGA.MI</w:t>
            </w:r>
          </w:p>
        </w:tc>
        <w:tc>
          <w:tcPr>
            <w:tcW w:w="2267" w:type="dxa"/>
          </w:tcPr>
          <w:p w14:paraId="3C5CBE7E" w14:textId="1B0E394D" w:rsidR="008E0869" w:rsidRDefault="00FE076A" w:rsidP="0044309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ETF. </w:t>
            </w:r>
            <w:r w:rsidR="00312ED9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Underlying </w:t>
            </w:r>
            <w:r w:rsidR="00E57474" w:rsidRPr="00E57474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index compose</w:t>
            </w:r>
            <w:r w:rsidR="00312ED9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s</w:t>
            </w:r>
            <w:r w:rsidR="00E57474" w:rsidRPr="00E57474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of Eurozone investment grade government bonds</w:t>
            </w:r>
          </w:p>
        </w:tc>
        <w:tc>
          <w:tcPr>
            <w:tcW w:w="1804" w:type="dxa"/>
          </w:tcPr>
          <w:p w14:paraId="4D04B83F" w14:textId="123AC823" w:rsidR="008E0869" w:rsidRDefault="00173018" w:rsidP="0044309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Bonds – EU</w:t>
            </w:r>
          </w:p>
        </w:tc>
      </w:tr>
      <w:tr w:rsidR="008E0869" w14:paraId="73386319" w14:textId="77777777" w:rsidTr="00443093">
        <w:tc>
          <w:tcPr>
            <w:tcW w:w="1803" w:type="dxa"/>
          </w:tcPr>
          <w:p w14:paraId="7E42C5CF" w14:textId="0B3AD618" w:rsidR="008E0869" w:rsidRDefault="004F11CB" w:rsidP="0044309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4F11C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lastRenderedPageBreak/>
              <w:t>Vanguard Real Estate Index Fund ETF</w:t>
            </w:r>
          </w:p>
        </w:tc>
        <w:tc>
          <w:tcPr>
            <w:tcW w:w="1612" w:type="dxa"/>
          </w:tcPr>
          <w:p w14:paraId="62AB8252" w14:textId="6F673B47" w:rsidR="008E0869" w:rsidRDefault="001007E4" w:rsidP="0044309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3A0D47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MSCI US Investable Market Real Estate 25/50 Index</w:t>
            </w:r>
          </w:p>
        </w:tc>
        <w:tc>
          <w:tcPr>
            <w:tcW w:w="1530" w:type="dxa"/>
          </w:tcPr>
          <w:p w14:paraId="68B361D2" w14:textId="1CA8A0A0" w:rsidR="008E0869" w:rsidRDefault="00036D8E" w:rsidP="0044309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VNQ</w:t>
            </w:r>
          </w:p>
        </w:tc>
        <w:tc>
          <w:tcPr>
            <w:tcW w:w="2267" w:type="dxa"/>
          </w:tcPr>
          <w:p w14:paraId="44BCB3EB" w14:textId="3C5DD4B2" w:rsidR="008E0869" w:rsidRDefault="00506897" w:rsidP="0044309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ETF.</w:t>
            </w:r>
            <w:r w:rsidR="00515F85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Underlying index is designed to capture the large, mid and small cap segments of U.S. equities </w:t>
            </w: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1804" w:type="dxa"/>
          </w:tcPr>
          <w:p w14:paraId="164F172A" w14:textId="21E1ABD9" w:rsidR="008E0869" w:rsidRDefault="00DF604A" w:rsidP="0044309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Real Estate – US</w:t>
            </w:r>
          </w:p>
        </w:tc>
      </w:tr>
      <w:tr w:rsidR="008E0869" w14:paraId="43AE1627" w14:textId="77777777" w:rsidTr="00443093">
        <w:tc>
          <w:tcPr>
            <w:tcW w:w="1803" w:type="dxa"/>
          </w:tcPr>
          <w:p w14:paraId="553EA2CD" w14:textId="2C5DCDC3" w:rsidR="008E0869" w:rsidRDefault="00F746EC" w:rsidP="00515F85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F746E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iShares European Property Yield UCITS ETF EU</w:t>
            </w: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R</w:t>
            </w:r>
            <w:r w:rsidRPr="00F746E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F746E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Dist</w:t>
            </w:r>
            <w:proofErr w:type="spellEnd"/>
          </w:p>
        </w:tc>
        <w:tc>
          <w:tcPr>
            <w:tcW w:w="1612" w:type="dxa"/>
          </w:tcPr>
          <w:p w14:paraId="5EF881E4" w14:textId="698B2EE5" w:rsidR="008E0869" w:rsidRDefault="001007E4" w:rsidP="0044309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3A0D47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FTSE EPRA </w:t>
            </w:r>
            <w:proofErr w:type="spellStart"/>
            <w:r w:rsidRPr="003A0D47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Nareit</w:t>
            </w:r>
            <w:proofErr w:type="spellEnd"/>
            <w:r w:rsidRPr="003A0D47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Developed Europe ex UK Index</w:t>
            </w:r>
          </w:p>
        </w:tc>
        <w:tc>
          <w:tcPr>
            <w:tcW w:w="1530" w:type="dxa"/>
          </w:tcPr>
          <w:p w14:paraId="7E9BE57C" w14:textId="760C500D" w:rsidR="008E0869" w:rsidRDefault="00036D8E" w:rsidP="0044309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IQQP.DE</w:t>
            </w:r>
          </w:p>
        </w:tc>
        <w:tc>
          <w:tcPr>
            <w:tcW w:w="2267" w:type="dxa"/>
          </w:tcPr>
          <w:p w14:paraId="3DBFC833" w14:textId="7BFF33DB" w:rsidR="008E0869" w:rsidRDefault="00515F85" w:rsidP="0044309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ETF. </w:t>
            </w:r>
            <w:r w:rsidR="00DB1308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Underlying</w:t>
            </w:r>
            <w:r w:rsidR="00DB1308" w:rsidRPr="00DB1308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index compose</w:t>
            </w:r>
            <w:r w:rsidR="00DB1308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s</w:t>
            </w:r>
            <w:r w:rsidR="00DB1308" w:rsidRPr="00DB1308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of listed real estate companies and </w:t>
            </w:r>
            <w:r w:rsidR="00266666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REITs </w:t>
            </w:r>
            <w:r w:rsidR="00DB1308" w:rsidRPr="00DB1308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of developed European countries, excluding the UK</w:t>
            </w:r>
            <w:r w:rsidR="00DB1308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.</w:t>
            </w:r>
          </w:p>
        </w:tc>
        <w:tc>
          <w:tcPr>
            <w:tcW w:w="1804" w:type="dxa"/>
          </w:tcPr>
          <w:p w14:paraId="017013A3" w14:textId="111C0965" w:rsidR="008E0869" w:rsidRDefault="00DF604A" w:rsidP="0044309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Real Estate – UK</w:t>
            </w:r>
          </w:p>
        </w:tc>
      </w:tr>
      <w:tr w:rsidR="008E0869" w14:paraId="79CC2DCB" w14:textId="77777777" w:rsidTr="00443093">
        <w:tc>
          <w:tcPr>
            <w:tcW w:w="1803" w:type="dxa"/>
          </w:tcPr>
          <w:p w14:paraId="0894AA05" w14:textId="619B647C" w:rsidR="008E0869" w:rsidRDefault="00F746EC" w:rsidP="0044309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1007E4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Invesco DB US Dollar Index Bullish Fund</w:t>
            </w:r>
          </w:p>
        </w:tc>
        <w:tc>
          <w:tcPr>
            <w:tcW w:w="1612" w:type="dxa"/>
          </w:tcPr>
          <w:p w14:paraId="3B0FD6B1" w14:textId="008F41CF" w:rsidR="001007E4" w:rsidRPr="001007E4" w:rsidRDefault="00A02DF7" w:rsidP="0044309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A02DF7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U.S. Dollar Index (DXY)</w:t>
            </w:r>
          </w:p>
          <w:p w14:paraId="4A4B2435" w14:textId="152C5A93" w:rsidR="008E0869" w:rsidRDefault="008E0869" w:rsidP="0044309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1530" w:type="dxa"/>
          </w:tcPr>
          <w:p w14:paraId="3FB8ED68" w14:textId="682865B9" w:rsidR="008E0869" w:rsidRDefault="00036D8E" w:rsidP="0044309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UUP</w:t>
            </w:r>
          </w:p>
        </w:tc>
        <w:tc>
          <w:tcPr>
            <w:tcW w:w="2267" w:type="dxa"/>
          </w:tcPr>
          <w:p w14:paraId="347874B1" w14:textId="3E37F793" w:rsidR="008E0869" w:rsidRDefault="00EE14BF" w:rsidP="0044309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ETF. Comprises long USD </w:t>
            </w:r>
            <w:r w:rsidR="007B133A" w:rsidRPr="007B133A">
              <w:rPr>
                <w:rFonts w:ascii="Times New Roman" w:hAnsi="Times New Roman" w:cs="Times New Roman"/>
                <w:sz w:val="20"/>
                <w:szCs w:val="20"/>
              </w:rPr>
              <w:t xml:space="preserve">futures contracts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against the currency basket. </w:t>
            </w:r>
          </w:p>
        </w:tc>
        <w:tc>
          <w:tcPr>
            <w:tcW w:w="1804" w:type="dxa"/>
          </w:tcPr>
          <w:p w14:paraId="0C216FD6" w14:textId="03455407" w:rsidR="008E0869" w:rsidRDefault="00DF604A" w:rsidP="0044309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Currency - USD</w:t>
            </w:r>
          </w:p>
        </w:tc>
      </w:tr>
      <w:tr w:rsidR="008E0869" w14:paraId="1E23A0CF" w14:textId="77777777" w:rsidTr="00443093">
        <w:tc>
          <w:tcPr>
            <w:tcW w:w="1803" w:type="dxa"/>
          </w:tcPr>
          <w:p w14:paraId="2905C8C5" w14:textId="17488011" w:rsidR="008E0869" w:rsidRDefault="00F746EC" w:rsidP="0044309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1007E4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Invesco </w:t>
            </w:r>
            <w:proofErr w:type="spellStart"/>
            <w:r w:rsidRPr="001007E4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CurrencyShares</w:t>
            </w:r>
            <w:proofErr w:type="spellEnd"/>
            <w:r w:rsidRPr="001007E4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Euro Trust ETF</w:t>
            </w:r>
          </w:p>
        </w:tc>
        <w:tc>
          <w:tcPr>
            <w:tcW w:w="1612" w:type="dxa"/>
          </w:tcPr>
          <w:p w14:paraId="07A5266B" w14:textId="77777777" w:rsidR="001007E4" w:rsidRPr="001007E4" w:rsidRDefault="001007E4" w:rsidP="0044309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  <w:p w14:paraId="5DF40980" w14:textId="14B0DB8C" w:rsidR="008E0869" w:rsidRDefault="00443093" w:rsidP="0044309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-</w:t>
            </w:r>
          </w:p>
        </w:tc>
        <w:tc>
          <w:tcPr>
            <w:tcW w:w="1530" w:type="dxa"/>
          </w:tcPr>
          <w:p w14:paraId="761D6ED4" w14:textId="65A79C14" w:rsidR="008E0869" w:rsidRDefault="00036D8E" w:rsidP="0044309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FXE</w:t>
            </w:r>
          </w:p>
        </w:tc>
        <w:tc>
          <w:tcPr>
            <w:tcW w:w="2267" w:type="dxa"/>
          </w:tcPr>
          <w:p w14:paraId="6231BA78" w14:textId="3EC3A6F1" w:rsidR="008E0869" w:rsidRDefault="00274AC8" w:rsidP="0044309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ETF. </w:t>
            </w:r>
            <w:r w:rsidR="001E157D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Comprises Euro </w:t>
            </w:r>
            <w:r w:rsidR="00A951D3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currency </w:t>
            </w:r>
            <w:r w:rsidR="001E157D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as the asset held by the fund.</w:t>
            </w:r>
          </w:p>
        </w:tc>
        <w:tc>
          <w:tcPr>
            <w:tcW w:w="1804" w:type="dxa"/>
          </w:tcPr>
          <w:p w14:paraId="28CB6663" w14:textId="5AE2FD59" w:rsidR="008E0869" w:rsidRDefault="000B5F04" w:rsidP="0044309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Currency – Euro</w:t>
            </w:r>
          </w:p>
        </w:tc>
      </w:tr>
      <w:tr w:rsidR="008E0869" w14:paraId="7027FE57" w14:textId="77777777" w:rsidTr="00443093">
        <w:tc>
          <w:tcPr>
            <w:tcW w:w="1803" w:type="dxa"/>
          </w:tcPr>
          <w:p w14:paraId="5B2F7596" w14:textId="71CCD134" w:rsidR="008E0869" w:rsidRDefault="00F746EC" w:rsidP="0044309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1007E4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Invesco </w:t>
            </w:r>
            <w:proofErr w:type="spellStart"/>
            <w:r w:rsidRPr="001007E4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CurrencyShares</w:t>
            </w:r>
            <w:proofErr w:type="spellEnd"/>
            <w:r w:rsidRPr="001007E4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Japanese Yen Trust</w:t>
            </w:r>
          </w:p>
        </w:tc>
        <w:tc>
          <w:tcPr>
            <w:tcW w:w="1612" w:type="dxa"/>
          </w:tcPr>
          <w:p w14:paraId="46BEE810" w14:textId="5FE33744" w:rsidR="008E0869" w:rsidRDefault="00443093" w:rsidP="0044309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-</w:t>
            </w:r>
          </w:p>
        </w:tc>
        <w:tc>
          <w:tcPr>
            <w:tcW w:w="1530" w:type="dxa"/>
          </w:tcPr>
          <w:p w14:paraId="24D98F39" w14:textId="754727D7" w:rsidR="008E0869" w:rsidRDefault="00036D8E" w:rsidP="0044309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FXY</w:t>
            </w:r>
          </w:p>
        </w:tc>
        <w:tc>
          <w:tcPr>
            <w:tcW w:w="2267" w:type="dxa"/>
          </w:tcPr>
          <w:p w14:paraId="49583647" w14:textId="4C26128F" w:rsidR="008E0869" w:rsidRDefault="001E157D" w:rsidP="0044309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ETF. Comprises Yen </w:t>
            </w:r>
            <w:r w:rsidR="00646067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currency </w:t>
            </w: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as the asset held by the fund.</w:t>
            </w:r>
          </w:p>
        </w:tc>
        <w:tc>
          <w:tcPr>
            <w:tcW w:w="1804" w:type="dxa"/>
          </w:tcPr>
          <w:p w14:paraId="582720F3" w14:textId="23346721" w:rsidR="008E0869" w:rsidRDefault="000B5F04" w:rsidP="0044309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Currency </w:t>
            </w:r>
            <w:r w:rsidR="00731754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–</w:t>
            </w: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Yen</w:t>
            </w:r>
          </w:p>
        </w:tc>
      </w:tr>
    </w:tbl>
    <w:p w14:paraId="49458466" w14:textId="4F51BB6B" w:rsidR="008E0869" w:rsidRDefault="00731754" w:rsidP="00731754">
      <w:pPr>
        <w:spacing w:line="360" w:lineRule="auto"/>
        <w:jc w:val="center"/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 xml:space="preserve">Table </w:t>
      </w:r>
      <w:r w:rsidR="00133FD3">
        <w:rPr>
          <w:rFonts w:ascii="Times New Roman" w:hAnsi="Times New Roman" w:cs="Times New Roman"/>
          <w:sz w:val="20"/>
          <w:szCs w:val="20"/>
          <w:lang w:val="en-GB"/>
        </w:rPr>
        <w:t>1</w:t>
      </w:r>
      <w:r>
        <w:rPr>
          <w:rFonts w:ascii="Times New Roman" w:hAnsi="Times New Roman" w:cs="Times New Roman"/>
          <w:sz w:val="20"/>
          <w:szCs w:val="20"/>
          <w:lang w:val="en-GB"/>
        </w:rPr>
        <w:t xml:space="preserve">: </w:t>
      </w:r>
      <w:r w:rsidR="0045793C">
        <w:rPr>
          <w:rFonts w:ascii="Times New Roman" w:hAnsi="Times New Roman" w:cs="Times New Roman"/>
          <w:sz w:val="20"/>
          <w:szCs w:val="20"/>
          <w:lang w:val="en-GB"/>
        </w:rPr>
        <w:t>Overview of initial portfolio composition</w:t>
      </w:r>
    </w:p>
    <w:p w14:paraId="231F09C8" w14:textId="7844C550" w:rsidR="00562F0E" w:rsidRDefault="00562F0E" w:rsidP="00CD78D7">
      <w:pPr>
        <w:spacing w:line="240" w:lineRule="auto"/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>1.1.1 Ideology behind initial portfolio</w:t>
      </w:r>
    </w:p>
    <w:p w14:paraId="01527FF5" w14:textId="2EAC20CC" w:rsidR="00562F0E" w:rsidRDefault="00562F0E" w:rsidP="00CD78D7">
      <w:pPr>
        <w:spacing w:line="240" w:lineRule="auto"/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 xml:space="preserve">The initial portfolio was designed </w:t>
      </w:r>
      <w:r w:rsidR="00BD38C3">
        <w:rPr>
          <w:rFonts w:ascii="Times New Roman" w:hAnsi="Times New Roman" w:cs="Times New Roman"/>
          <w:sz w:val="20"/>
          <w:szCs w:val="20"/>
          <w:lang w:val="en-GB"/>
        </w:rPr>
        <w:t xml:space="preserve">to </w:t>
      </w:r>
      <w:r w:rsidR="007A3258">
        <w:rPr>
          <w:rFonts w:ascii="Times New Roman" w:hAnsi="Times New Roman" w:cs="Times New Roman"/>
          <w:sz w:val="20"/>
          <w:szCs w:val="20"/>
          <w:lang w:val="en-GB"/>
        </w:rPr>
        <w:t xml:space="preserve">achieve </w:t>
      </w:r>
      <w:r w:rsidR="00E45292">
        <w:rPr>
          <w:rFonts w:ascii="Times New Roman" w:hAnsi="Times New Roman" w:cs="Times New Roman"/>
          <w:sz w:val="20"/>
          <w:szCs w:val="20"/>
          <w:lang w:val="en-GB"/>
        </w:rPr>
        <w:t xml:space="preserve">a </w:t>
      </w:r>
      <w:r w:rsidR="00FD397D">
        <w:rPr>
          <w:rFonts w:ascii="Times New Roman" w:hAnsi="Times New Roman" w:cs="Times New Roman"/>
          <w:sz w:val="20"/>
          <w:szCs w:val="20"/>
          <w:lang w:val="en-GB"/>
        </w:rPr>
        <w:t xml:space="preserve">wide spectrum of </w:t>
      </w:r>
      <w:r w:rsidR="00636294">
        <w:rPr>
          <w:rFonts w:ascii="Times New Roman" w:hAnsi="Times New Roman" w:cs="Times New Roman"/>
          <w:sz w:val="20"/>
          <w:szCs w:val="20"/>
          <w:lang w:val="en-GB"/>
        </w:rPr>
        <w:t xml:space="preserve">expected </w:t>
      </w:r>
      <w:r w:rsidR="00FD397D">
        <w:rPr>
          <w:rFonts w:ascii="Times New Roman" w:hAnsi="Times New Roman" w:cs="Times New Roman"/>
          <w:sz w:val="20"/>
          <w:szCs w:val="20"/>
          <w:lang w:val="en-GB"/>
        </w:rPr>
        <w:t xml:space="preserve">returns </w:t>
      </w:r>
      <w:r w:rsidR="00E45292">
        <w:rPr>
          <w:rFonts w:ascii="Times New Roman" w:hAnsi="Times New Roman" w:cs="Times New Roman"/>
          <w:sz w:val="20"/>
          <w:szCs w:val="20"/>
          <w:lang w:val="en-GB"/>
        </w:rPr>
        <w:t>whil</w:t>
      </w:r>
      <w:r w:rsidR="00243D5E">
        <w:rPr>
          <w:rFonts w:ascii="Times New Roman" w:hAnsi="Times New Roman" w:cs="Times New Roman"/>
          <w:sz w:val="20"/>
          <w:szCs w:val="20"/>
          <w:lang w:val="en-GB"/>
        </w:rPr>
        <w:t xml:space="preserve">st minimising the portfolio standard deviation </w:t>
      </w:r>
      <w:r w:rsidR="00834029">
        <w:rPr>
          <w:rFonts w:ascii="Times New Roman" w:hAnsi="Times New Roman" w:cs="Times New Roman"/>
          <w:sz w:val="20"/>
          <w:szCs w:val="20"/>
          <w:lang w:val="en-GB"/>
        </w:rPr>
        <w:t xml:space="preserve">by addition </w:t>
      </w:r>
      <w:r w:rsidR="00FD397D">
        <w:rPr>
          <w:rFonts w:ascii="Times New Roman" w:hAnsi="Times New Roman" w:cs="Times New Roman"/>
          <w:sz w:val="20"/>
          <w:szCs w:val="20"/>
          <w:lang w:val="en-GB"/>
        </w:rPr>
        <w:t xml:space="preserve">of </w:t>
      </w:r>
      <w:r w:rsidR="0029660C">
        <w:rPr>
          <w:rFonts w:ascii="Times New Roman" w:hAnsi="Times New Roman" w:cs="Times New Roman"/>
          <w:sz w:val="20"/>
          <w:szCs w:val="20"/>
          <w:lang w:val="en-GB"/>
        </w:rPr>
        <w:t xml:space="preserve">various </w:t>
      </w:r>
      <w:r w:rsidR="00087481">
        <w:rPr>
          <w:rFonts w:ascii="Times New Roman" w:hAnsi="Times New Roman" w:cs="Times New Roman"/>
          <w:sz w:val="20"/>
          <w:szCs w:val="20"/>
          <w:lang w:val="en-GB"/>
        </w:rPr>
        <w:t xml:space="preserve">other asset </w:t>
      </w:r>
      <w:r w:rsidR="00465E95">
        <w:rPr>
          <w:rFonts w:ascii="Times New Roman" w:hAnsi="Times New Roman" w:cs="Times New Roman"/>
          <w:sz w:val="20"/>
          <w:szCs w:val="20"/>
          <w:lang w:val="en-GB"/>
        </w:rPr>
        <w:t>sub-</w:t>
      </w:r>
      <w:r w:rsidR="00087481">
        <w:rPr>
          <w:rFonts w:ascii="Times New Roman" w:hAnsi="Times New Roman" w:cs="Times New Roman"/>
          <w:sz w:val="20"/>
          <w:szCs w:val="20"/>
          <w:lang w:val="en-GB"/>
        </w:rPr>
        <w:t xml:space="preserve">classes. </w:t>
      </w:r>
      <w:r w:rsidR="004054F8">
        <w:rPr>
          <w:rFonts w:ascii="Times New Roman" w:hAnsi="Times New Roman" w:cs="Times New Roman"/>
          <w:sz w:val="20"/>
          <w:szCs w:val="20"/>
          <w:lang w:val="en-GB"/>
        </w:rPr>
        <w:t>The equities ETFs</w:t>
      </w:r>
      <w:r w:rsidR="00E7768F">
        <w:rPr>
          <w:rFonts w:ascii="Times New Roman" w:hAnsi="Times New Roman" w:cs="Times New Roman"/>
          <w:sz w:val="20"/>
          <w:szCs w:val="20"/>
          <w:lang w:val="en-GB"/>
        </w:rPr>
        <w:t xml:space="preserve"> chosen </w:t>
      </w:r>
      <w:r w:rsidR="008F50CF">
        <w:rPr>
          <w:rFonts w:ascii="Times New Roman" w:hAnsi="Times New Roman" w:cs="Times New Roman"/>
          <w:sz w:val="20"/>
          <w:szCs w:val="20"/>
          <w:lang w:val="en-GB"/>
        </w:rPr>
        <w:t>tracks underlying indices which comprises only a few</w:t>
      </w:r>
      <w:r w:rsidR="00C405A8">
        <w:rPr>
          <w:rFonts w:ascii="Times New Roman" w:hAnsi="Times New Roman" w:cs="Times New Roman"/>
          <w:sz w:val="20"/>
          <w:szCs w:val="20"/>
          <w:lang w:val="en-GB"/>
        </w:rPr>
        <w:t xml:space="preserve">, </w:t>
      </w:r>
      <w:r w:rsidR="008F50CF">
        <w:rPr>
          <w:rFonts w:ascii="Times New Roman" w:hAnsi="Times New Roman" w:cs="Times New Roman"/>
          <w:sz w:val="20"/>
          <w:szCs w:val="20"/>
          <w:lang w:val="en-GB"/>
        </w:rPr>
        <w:t xml:space="preserve">largest stocks </w:t>
      </w:r>
      <w:r w:rsidR="00C405A8">
        <w:rPr>
          <w:rFonts w:ascii="Times New Roman" w:hAnsi="Times New Roman" w:cs="Times New Roman"/>
          <w:sz w:val="20"/>
          <w:szCs w:val="20"/>
          <w:lang w:val="en-GB"/>
        </w:rPr>
        <w:t xml:space="preserve">(less than 100) with the purpose of contributing </w:t>
      </w:r>
      <w:r w:rsidR="00C04085">
        <w:rPr>
          <w:rFonts w:ascii="Times New Roman" w:hAnsi="Times New Roman" w:cs="Times New Roman"/>
          <w:sz w:val="20"/>
          <w:szCs w:val="20"/>
          <w:lang w:val="en-GB"/>
        </w:rPr>
        <w:t xml:space="preserve">higher returns to the portfolio </w:t>
      </w:r>
      <w:r w:rsidR="00F63921">
        <w:rPr>
          <w:rFonts w:ascii="Times New Roman" w:hAnsi="Times New Roman" w:cs="Times New Roman"/>
          <w:sz w:val="20"/>
          <w:szCs w:val="20"/>
          <w:lang w:val="en-GB"/>
        </w:rPr>
        <w:t xml:space="preserve">despite its </w:t>
      </w:r>
      <w:r w:rsidR="00682D25">
        <w:rPr>
          <w:rFonts w:ascii="Times New Roman" w:hAnsi="Times New Roman" w:cs="Times New Roman"/>
          <w:sz w:val="20"/>
          <w:szCs w:val="20"/>
          <w:lang w:val="en-GB"/>
        </w:rPr>
        <w:t>high standard deviation (as Nasdaq-100 is highly tech</w:t>
      </w:r>
      <w:r w:rsidR="002F423C">
        <w:rPr>
          <w:rFonts w:ascii="Times New Roman" w:hAnsi="Times New Roman" w:cs="Times New Roman"/>
          <w:sz w:val="20"/>
          <w:szCs w:val="20"/>
          <w:lang w:val="en-GB"/>
        </w:rPr>
        <w:t>-</w:t>
      </w:r>
      <w:r w:rsidR="00682D25">
        <w:rPr>
          <w:rFonts w:ascii="Times New Roman" w:hAnsi="Times New Roman" w:cs="Times New Roman"/>
          <w:sz w:val="20"/>
          <w:szCs w:val="20"/>
          <w:lang w:val="en-GB"/>
        </w:rPr>
        <w:t>sector biased)</w:t>
      </w:r>
      <w:r w:rsidR="002F423C">
        <w:rPr>
          <w:rFonts w:ascii="Times New Roman" w:hAnsi="Times New Roman" w:cs="Times New Roman"/>
          <w:sz w:val="20"/>
          <w:szCs w:val="20"/>
          <w:lang w:val="en-GB"/>
        </w:rPr>
        <w:t xml:space="preserve">. </w:t>
      </w:r>
      <w:r w:rsidR="008362FD">
        <w:rPr>
          <w:rFonts w:ascii="Times New Roman" w:hAnsi="Times New Roman" w:cs="Times New Roman"/>
          <w:sz w:val="20"/>
          <w:szCs w:val="20"/>
          <w:lang w:val="en-GB"/>
        </w:rPr>
        <w:t xml:space="preserve">This was the desired purpose for adding the other two equities ETFs as well. </w:t>
      </w:r>
      <w:r w:rsidR="00B80DDC">
        <w:rPr>
          <w:rFonts w:ascii="Times New Roman" w:hAnsi="Times New Roman" w:cs="Times New Roman"/>
          <w:sz w:val="20"/>
          <w:szCs w:val="20"/>
          <w:lang w:val="en-GB"/>
        </w:rPr>
        <w:t xml:space="preserve">The currency ETFs were </w:t>
      </w:r>
      <w:r w:rsidR="0055659A">
        <w:rPr>
          <w:rFonts w:ascii="Times New Roman" w:hAnsi="Times New Roman" w:cs="Times New Roman"/>
          <w:sz w:val="20"/>
          <w:szCs w:val="20"/>
          <w:lang w:val="en-GB"/>
        </w:rPr>
        <w:t>added due to their low standard deviations and low correlations with other stocks in the portfolio.</w:t>
      </w:r>
      <w:r w:rsidR="00656F43">
        <w:rPr>
          <w:rFonts w:ascii="Times New Roman" w:hAnsi="Times New Roman" w:cs="Times New Roman"/>
          <w:sz w:val="20"/>
          <w:szCs w:val="20"/>
          <w:lang w:val="en-GB"/>
        </w:rPr>
        <w:t xml:space="preserve"> The bond ETFs generally have very good </w:t>
      </w:r>
      <w:r w:rsidR="00A65436">
        <w:rPr>
          <w:rFonts w:ascii="Times New Roman" w:hAnsi="Times New Roman" w:cs="Times New Roman"/>
          <w:sz w:val="20"/>
          <w:szCs w:val="20"/>
          <w:lang w:val="en-GB"/>
        </w:rPr>
        <w:t>S</w:t>
      </w:r>
      <w:r w:rsidR="00656F43">
        <w:rPr>
          <w:rFonts w:ascii="Times New Roman" w:hAnsi="Times New Roman" w:cs="Times New Roman"/>
          <w:sz w:val="20"/>
          <w:szCs w:val="20"/>
          <w:lang w:val="en-GB"/>
        </w:rPr>
        <w:t xml:space="preserve">harpe </w:t>
      </w:r>
      <w:r w:rsidR="00A65436">
        <w:rPr>
          <w:rFonts w:ascii="Times New Roman" w:hAnsi="Times New Roman" w:cs="Times New Roman"/>
          <w:sz w:val="20"/>
          <w:szCs w:val="20"/>
          <w:lang w:val="en-GB"/>
        </w:rPr>
        <w:t>R</w:t>
      </w:r>
      <w:r w:rsidR="00656F43">
        <w:rPr>
          <w:rFonts w:ascii="Times New Roman" w:hAnsi="Times New Roman" w:cs="Times New Roman"/>
          <w:sz w:val="20"/>
          <w:szCs w:val="20"/>
          <w:lang w:val="en-GB"/>
        </w:rPr>
        <w:t>atio (low standard deviation and better returns than currency ETFs)</w:t>
      </w:r>
      <w:r w:rsidR="006C0CBA">
        <w:rPr>
          <w:rFonts w:ascii="Times New Roman" w:hAnsi="Times New Roman" w:cs="Times New Roman"/>
          <w:sz w:val="20"/>
          <w:szCs w:val="20"/>
          <w:lang w:val="en-GB"/>
        </w:rPr>
        <w:t>.</w:t>
      </w:r>
    </w:p>
    <w:p w14:paraId="557237C0" w14:textId="58EDBB76" w:rsidR="00752366" w:rsidRDefault="00752366" w:rsidP="00CD78D7">
      <w:pPr>
        <w:spacing w:line="240" w:lineRule="auto"/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 xml:space="preserve">1.1.1 Optimisation </w:t>
      </w:r>
      <w:r w:rsidR="00B444AE">
        <w:rPr>
          <w:rFonts w:ascii="Times New Roman" w:hAnsi="Times New Roman" w:cs="Times New Roman"/>
          <w:sz w:val="20"/>
          <w:szCs w:val="20"/>
          <w:lang w:val="en-GB"/>
        </w:rPr>
        <w:t xml:space="preserve">result </w:t>
      </w:r>
    </w:p>
    <w:p w14:paraId="04DF85D0" w14:textId="55259040" w:rsidR="00A25320" w:rsidRDefault="00B50444" w:rsidP="00CD78D7">
      <w:pPr>
        <w:spacing w:line="240" w:lineRule="auto"/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>The result of the first optimisation, however, was not very ideal – the global minimum portfolio has a portfolio expected return of approximate 0</w:t>
      </w:r>
      <w:r w:rsidR="00023E7B">
        <w:rPr>
          <w:rFonts w:ascii="Times New Roman" w:hAnsi="Times New Roman" w:cs="Times New Roman"/>
          <w:sz w:val="20"/>
          <w:szCs w:val="20"/>
          <w:lang w:val="en-GB"/>
        </w:rPr>
        <w:t>.00</w:t>
      </w:r>
      <w:r>
        <w:rPr>
          <w:rFonts w:ascii="Times New Roman" w:hAnsi="Times New Roman" w:cs="Times New Roman"/>
          <w:sz w:val="20"/>
          <w:szCs w:val="20"/>
          <w:lang w:val="en-GB"/>
        </w:rPr>
        <w:t>% and standard deviation of 0.062</w:t>
      </w:r>
    </w:p>
    <w:p w14:paraId="217FFA90" w14:textId="45BC3BA8" w:rsidR="00A25320" w:rsidRDefault="00A25320" w:rsidP="00CD78D7">
      <w:pPr>
        <w:spacing w:line="240" w:lineRule="auto"/>
        <w:rPr>
          <w:rFonts w:ascii="Times New Roman" w:hAnsi="Times New Roman" w:cs="Times New Roman"/>
          <w:sz w:val="20"/>
          <w:szCs w:val="20"/>
          <w:lang w:val="en-GB"/>
        </w:rPr>
      </w:pPr>
    </w:p>
    <w:p w14:paraId="6FCD81E4" w14:textId="3516075B" w:rsidR="00A25320" w:rsidRDefault="00A25320" w:rsidP="00CD78D7">
      <w:pPr>
        <w:spacing w:line="240" w:lineRule="auto"/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noProof/>
          <w:sz w:val="20"/>
          <w:szCs w:val="20"/>
          <w:lang w:val="en-GB"/>
        </w:rPr>
        <w:drawing>
          <wp:inline distT="0" distB="0" distL="0" distR="0" wp14:anchorId="6506B1F5" wp14:editId="59861441">
            <wp:extent cx="2706986" cy="1670083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4361" cy="16993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A25320">
        <w:rPr>
          <w:noProof/>
        </w:rPr>
        <w:drawing>
          <wp:inline distT="0" distB="0" distL="0" distR="0" wp14:anchorId="74110F51" wp14:editId="5B127444">
            <wp:extent cx="2716040" cy="1676085"/>
            <wp:effectExtent l="0" t="0" r="8255" b="635"/>
            <wp:docPr id="1" name="Picture 1" descr="Chart, line 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, scatter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5486" cy="1694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4FE62" w14:textId="0B3FC4A8" w:rsidR="00347D8C" w:rsidRPr="00A25320" w:rsidRDefault="00347D8C" w:rsidP="00CD78D7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  <w:lang w:val="en-GB"/>
        </w:rPr>
      </w:pPr>
      <w:r w:rsidRPr="00A25320">
        <w:rPr>
          <w:noProof/>
        </w:rPr>
        <w:lastRenderedPageBreak/>
        <w:drawing>
          <wp:inline distT="0" distB="0" distL="0" distR="0" wp14:anchorId="28680659" wp14:editId="0EE90170">
            <wp:extent cx="2539214" cy="1566964"/>
            <wp:effectExtent l="0" t="0" r="0" b="0"/>
            <wp:docPr id="5" name="Picture 5" descr="Chart, line 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, scatter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8664" cy="1572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17547" w14:textId="0DDD268B" w:rsidR="00B50444" w:rsidRDefault="00A25320" w:rsidP="00CD78D7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 xml:space="preserve">Fig </w:t>
      </w:r>
      <w:r w:rsidR="00DE1DE5">
        <w:rPr>
          <w:rFonts w:ascii="Times New Roman" w:hAnsi="Times New Roman" w:cs="Times New Roman"/>
          <w:sz w:val="20"/>
          <w:szCs w:val="20"/>
          <w:lang w:val="en-GB"/>
        </w:rPr>
        <w:t>1</w:t>
      </w:r>
      <w:r>
        <w:rPr>
          <w:rFonts w:ascii="Times New Roman" w:hAnsi="Times New Roman" w:cs="Times New Roman"/>
          <w:sz w:val="20"/>
          <w:szCs w:val="20"/>
          <w:lang w:val="en-GB"/>
        </w:rPr>
        <w:t>: Comparison of portfolio of 10 assets against portfolio of components</w:t>
      </w:r>
    </w:p>
    <w:p w14:paraId="2B84AB0B" w14:textId="3CBADDC4" w:rsidR="000238D3" w:rsidRDefault="00551323" w:rsidP="00CD78D7">
      <w:pPr>
        <w:spacing w:line="240" w:lineRule="auto"/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 xml:space="preserve">In the above figure, </w:t>
      </w:r>
      <w:r w:rsidR="00450968">
        <w:rPr>
          <w:rFonts w:ascii="Times New Roman" w:hAnsi="Times New Roman" w:cs="Times New Roman"/>
          <w:sz w:val="20"/>
          <w:szCs w:val="20"/>
          <w:lang w:val="en-GB"/>
        </w:rPr>
        <w:t xml:space="preserve">the </w:t>
      </w:r>
      <w:r w:rsidR="00AE04C7">
        <w:rPr>
          <w:rFonts w:ascii="Times New Roman" w:hAnsi="Times New Roman" w:cs="Times New Roman"/>
          <w:sz w:val="20"/>
          <w:szCs w:val="20"/>
          <w:lang w:val="en-GB"/>
        </w:rPr>
        <w:t xml:space="preserve">top </w:t>
      </w:r>
      <w:r w:rsidR="00450968">
        <w:rPr>
          <w:rFonts w:ascii="Times New Roman" w:hAnsi="Times New Roman" w:cs="Times New Roman"/>
          <w:sz w:val="20"/>
          <w:szCs w:val="20"/>
          <w:lang w:val="en-GB"/>
        </w:rPr>
        <w:t xml:space="preserve">left plot shows the </w:t>
      </w:r>
      <w:r w:rsidR="00AE48AD">
        <w:rPr>
          <w:rFonts w:ascii="Times New Roman" w:hAnsi="Times New Roman" w:cs="Times New Roman"/>
          <w:sz w:val="20"/>
          <w:szCs w:val="20"/>
          <w:lang w:val="en-GB"/>
        </w:rPr>
        <w:t xml:space="preserve">Minimum Variance Frontier (MVF) </w:t>
      </w:r>
      <w:r w:rsidR="00B4212B">
        <w:rPr>
          <w:rFonts w:ascii="Times New Roman" w:hAnsi="Times New Roman" w:cs="Times New Roman"/>
          <w:sz w:val="20"/>
          <w:szCs w:val="20"/>
          <w:lang w:val="en-GB"/>
        </w:rPr>
        <w:t>of the portfolio of 10 assets (portfolio 1) while the</w:t>
      </w:r>
      <w:r w:rsidR="009F6158">
        <w:rPr>
          <w:rFonts w:ascii="Times New Roman" w:hAnsi="Times New Roman" w:cs="Times New Roman"/>
          <w:sz w:val="20"/>
          <w:szCs w:val="20"/>
          <w:lang w:val="en-GB"/>
        </w:rPr>
        <w:t xml:space="preserve"> top</w:t>
      </w:r>
      <w:r w:rsidR="00B4212B">
        <w:rPr>
          <w:rFonts w:ascii="Times New Roman" w:hAnsi="Times New Roman" w:cs="Times New Roman"/>
          <w:sz w:val="20"/>
          <w:szCs w:val="20"/>
          <w:lang w:val="en-GB"/>
        </w:rPr>
        <w:t xml:space="preserve"> right shows a comparison of the plot of MVF</w:t>
      </w:r>
      <w:r w:rsidR="00B33A69">
        <w:rPr>
          <w:rFonts w:ascii="Times New Roman" w:hAnsi="Times New Roman" w:cs="Times New Roman"/>
          <w:sz w:val="20"/>
          <w:szCs w:val="20"/>
          <w:lang w:val="en-GB"/>
        </w:rPr>
        <w:t xml:space="preserve">s of portfolio 1 against </w:t>
      </w:r>
      <w:r w:rsidR="0096231A">
        <w:rPr>
          <w:rFonts w:ascii="Times New Roman" w:hAnsi="Times New Roman" w:cs="Times New Roman"/>
          <w:sz w:val="20"/>
          <w:szCs w:val="20"/>
          <w:lang w:val="en-GB"/>
        </w:rPr>
        <w:t xml:space="preserve">its component portfolio consisting of only the equities and bonds ETFs (total of 5 asset </w:t>
      </w:r>
      <w:r w:rsidR="00465E95">
        <w:rPr>
          <w:rFonts w:ascii="Times New Roman" w:hAnsi="Times New Roman" w:cs="Times New Roman"/>
          <w:sz w:val="20"/>
          <w:szCs w:val="20"/>
          <w:lang w:val="en-GB"/>
        </w:rPr>
        <w:t>sub-</w:t>
      </w:r>
      <w:r w:rsidR="0096231A">
        <w:rPr>
          <w:rFonts w:ascii="Times New Roman" w:hAnsi="Times New Roman" w:cs="Times New Roman"/>
          <w:sz w:val="20"/>
          <w:szCs w:val="20"/>
          <w:lang w:val="en-GB"/>
        </w:rPr>
        <w:t>classes)</w:t>
      </w:r>
      <w:r w:rsidR="00846535">
        <w:rPr>
          <w:rFonts w:ascii="Times New Roman" w:hAnsi="Times New Roman" w:cs="Times New Roman"/>
          <w:sz w:val="20"/>
          <w:szCs w:val="20"/>
          <w:lang w:val="en-GB"/>
        </w:rPr>
        <w:t xml:space="preserve">. From the result, we can see that </w:t>
      </w:r>
      <w:r w:rsidR="0015138E" w:rsidRPr="00426F8B">
        <w:rPr>
          <w:rFonts w:ascii="Times New Roman" w:hAnsi="Times New Roman" w:cs="Times New Roman"/>
          <w:b/>
          <w:sz w:val="20"/>
          <w:szCs w:val="20"/>
          <w:lang w:val="en-GB"/>
        </w:rPr>
        <w:t xml:space="preserve">addition of </w:t>
      </w:r>
      <w:r w:rsidR="00923AC4" w:rsidRPr="00426F8B">
        <w:rPr>
          <w:rFonts w:ascii="Times New Roman" w:hAnsi="Times New Roman" w:cs="Times New Roman"/>
          <w:b/>
          <w:sz w:val="20"/>
          <w:szCs w:val="20"/>
          <w:lang w:val="en-GB"/>
        </w:rPr>
        <w:t>the currency ETFs did help to diversify our portfolio</w:t>
      </w:r>
      <w:r w:rsidR="00DF742E" w:rsidRPr="00426F8B">
        <w:rPr>
          <w:rFonts w:ascii="Times New Roman" w:hAnsi="Times New Roman" w:cs="Times New Roman"/>
          <w:b/>
          <w:sz w:val="20"/>
          <w:szCs w:val="20"/>
          <w:lang w:val="en-GB"/>
        </w:rPr>
        <w:t xml:space="preserve"> with a Southwest shift of the MVF</w:t>
      </w:r>
      <w:r w:rsidR="00DF742E">
        <w:rPr>
          <w:rFonts w:ascii="Times New Roman" w:hAnsi="Times New Roman" w:cs="Times New Roman"/>
          <w:sz w:val="20"/>
          <w:szCs w:val="20"/>
          <w:lang w:val="en-GB"/>
        </w:rPr>
        <w:t xml:space="preserve"> after the addition of the three ETFs</w:t>
      </w:r>
      <w:r w:rsidR="00962BF7">
        <w:rPr>
          <w:rFonts w:ascii="Times New Roman" w:hAnsi="Times New Roman" w:cs="Times New Roman"/>
          <w:sz w:val="20"/>
          <w:szCs w:val="20"/>
          <w:lang w:val="en-GB"/>
        </w:rPr>
        <w:t xml:space="preserve"> (even though the ideal shift would be a Northwest shift</w:t>
      </w:r>
      <w:r w:rsidR="00491BC0">
        <w:rPr>
          <w:rFonts w:ascii="Times New Roman" w:hAnsi="Times New Roman" w:cs="Times New Roman"/>
          <w:sz w:val="20"/>
          <w:szCs w:val="20"/>
          <w:lang w:val="en-GB"/>
        </w:rPr>
        <w:t xml:space="preserve"> indicating a better global minimum portfolio in terms of </w:t>
      </w:r>
      <w:r w:rsidR="005572A7">
        <w:rPr>
          <w:rFonts w:ascii="Times New Roman" w:hAnsi="Times New Roman" w:cs="Times New Roman"/>
          <w:sz w:val="20"/>
          <w:szCs w:val="20"/>
          <w:lang w:val="en-GB"/>
        </w:rPr>
        <w:t>higher portfolio return and lower variance)</w:t>
      </w:r>
      <w:r w:rsidR="00DF742E">
        <w:rPr>
          <w:rFonts w:ascii="Times New Roman" w:hAnsi="Times New Roman" w:cs="Times New Roman"/>
          <w:sz w:val="20"/>
          <w:szCs w:val="20"/>
          <w:lang w:val="en-GB"/>
        </w:rPr>
        <w:t>.</w:t>
      </w:r>
      <w:r w:rsidR="00AE04C7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="00B4212B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</w:p>
    <w:p w14:paraId="5A7296E8" w14:textId="287CBEE7" w:rsidR="00856088" w:rsidRDefault="00D60BBF" w:rsidP="00CD78D7">
      <w:pPr>
        <w:spacing w:line="240" w:lineRule="auto"/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 xml:space="preserve">The bottom plot was the top right plot with the inclusion of the MVF of portfolio consisting of equities, bonds, and currencies ETFs. </w:t>
      </w:r>
      <w:r w:rsidR="00AB1088">
        <w:rPr>
          <w:rFonts w:ascii="Times New Roman" w:hAnsi="Times New Roman" w:cs="Times New Roman"/>
          <w:sz w:val="20"/>
          <w:szCs w:val="20"/>
          <w:lang w:val="en-GB"/>
        </w:rPr>
        <w:t>Visually, it seems as though there were only two MVFs plotted. This, however, is due to the fact that the MVF for the equities, bonds and currencies portfolio largely overlaps with portfolio 1 (consisting of 10 assets). The global minimum portfolios for these two MVFs have a difference of 0.001% in portfolio return and 0.0002 in portfolio standard deviation.</w:t>
      </w:r>
      <w:r w:rsidR="008F339E">
        <w:rPr>
          <w:rFonts w:ascii="Times New Roman" w:hAnsi="Times New Roman" w:cs="Times New Roman"/>
          <w:sz w:val="20"/>
          <w:szCs w:val="20"/>
          <w:lang w:val="en-GB"/>
        </w:rPr>
        <w:t xml:space="preserve"> This not only confirmed </w:t>
      </w:r>
      <w:r w:rsidR="00751DA1">
        <w:rPr>
          <w:rFonts w:ascii="Times New Roman" w:hAnsi="Times New Roman" w:cs="Times New Roman"/>
          <w:sz w:val="20"/>
          <w:szCs w:val="20"/>
          <w:lang w:val="en-GB"/>
        </w:rPr>
        <w:t xml:space="preserve">our point above that </w:t>
      </w:r>
      <w:r w:rsidR="00604D0D">
        <w:rPr>
          <w:rFonts w:ascii="Times New Roman" w:hAnsi="Times New Roman" w:cs="Times New Roman"/>
          <w:sz w:val="20"/>
          <w:szCs w:val="20"/>
          <w:lang w:val="en-GB"/>
        </w:rPr>
        <w:t>inclusion of currency ETFs help</w:t>
      </w:r>
      <w:r w:rsidR="0054257C">
        <w:rPr>
          <w:rFonts w:ascii="Times New Roman" w:hAnsi="Times New Roman" w:cs="Times New Roman"/>
          <w:sz w:val="20"/>
          <w:szCs w:val="20"/>
          <w:lang w:val="en-GB"/>
        </w:rPr>
        <w:t>ed</w:t>
      </w:r>
      <w:r w:rsidR="00604D0D">
        <w:rPr>
          <w:rFonts w:ascii="Times New Roman" w:hAnsi="Times New Roman" w:cs="Times New Roman"/>
          <w:sz w:val="20"/>
          <w:szCs w:val="20"/>
          <w:lang w:val="en-GB"/>
        </w:rPr>
        <w:t xml:space="preserve"> to diversify the portfolio,</w:t>
      </w:r>
      <w:r w:rsidR="00C57868">
        <w:rPr>
          <w:rFonts w:ascii="Times New Roman" w:hAnsi="Times New Roman" w:cs="Times New Roman"/>
          <w:sz w:val="20"/>
          <w:szCs w:val="20"/>
          <w:lang w:val="en-GB"/>
        </w:rPr>
        <w:t xml:space="preserve"> but</w:t>
      </w:r>
      <w:r w:rsidR="00604D0D">
        <w:rPr>
          <w:rFonts w:ascii="Times New Roman" w:hAnsi="Times New Roman" w:cs="Times New Roman"/>
          <w:sz w:val="20"/>
          <w:szCs w:val="20"/>
          <w:lang w:val="en-GB"/>
        </w:rPr>
        <w:t xml:space="preserve"> at the same time, also showed that the </w:t>
      </w:r>
      <w:r w:rsidR="00604D0D" w:rsidRPr="006A4414">
        <w:rPr>
          <w:rFonts w:ascii="Times New Roman" w:hAnsi="Times New Roman" w:cs="Times New Roman"/>
          <w:b/>
          <w:sz w:val="20"/>
          <w:szCs w:val="20"/>
          <w:lang w:val="en-GB"/>
        </w:rPr>
        <w:t>inclusion of the real-estate ETFs did not help to i</w:t>
      </w:r>
      <w:r w:rsidR="00A45AFC" w:rsidRPr="006A4414">
        <w:rPr>
          <w:rFonts w:ascii="Times New Roman" w:hAnsi="Times New Roman" w:cs="Times New Roman"/>
          <w:b/>
          <w:sz w:val="20"/>
          <w:szCs w:val="20"/>
          <w:lang w:val="en-GB"/>
        </w:rPr>
        <w:t>mprove the portfolio</w:t>
      </w:r>
      <w:r w:rsidR="00A45AFC">
        <w:rPr>
          <w:rFonts w:ascii="Times New Roman" w:hAnsi="Times New Roman" w:cs="Times New Roman"/>
          <w:sz w:val="20"/>
          <w:szCs w:val="20"/>
          <w:lang w:val="en-GB"/>
        </w:rPr>
        <w:t>.</w:t>
      </w:r>
    </w:p>
    <w:p w14:paraId="05CC1024" w14:textId="2DFE15C0" w:rsidR="00E4684B" w:rsidRDefault="00E4684B" w:rsidP="00DA0E30">
      <w:pPr>
        <w:spacing w:line="360" w:lineRule="auto"/>
        <w:jc w:val="center"/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noProof/>
          <w:sz w:val="20"/>
          <w:szCs w:val="20"/>
          <w:lang w:val="en-GB"/>
        </w:rPr>
        <w:drawing>
          <wp:inline distT="0" distB="0" distL="0" distR="0" wp14:anchorId="61A31F6E" wp14:editId="28B5C0B0">
            <wp:extent cx="4624773" cy="2853267"/>
            <wp:effectExtent l="0" t="0" r="444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837" cy="2854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7952FBC" w14:textId="1E701B46" w:rsidR="00467F6D" w:rsidRDefault="00467F6D" w:rsidP="00DA0E30">
      <w:pPr>
        <w:spacing w:line="360" w:lineRule="auto"/>
        <w:jc w:val="center"/>
        <w:rPr>
          <w:rFonts w:ascii="Times New Roman" w:hAnsi="Times New Roman" w:cs="Times New Roman"/>
          <w:sz w:val="20"/>
          <w:szCs w:val="20"/>
          <w:lang w:val="en-GB"/>
        </w:rPr>
      </w:pPr>
      <w:r w:rsidRPr="00467F6D">
        <w:rPr>
          <w:noProof/>
        </w:rPr>
        <w:lastRenderedPageBreak/>
        <w:drawing>
          <wp:inline distT="0" distB="0" distL="0" distR="0" wp14:anchorId="4DD31316" wp14:editId="48BC729F">
            <wp:extent cx="4373033" cy="2698626"/>
            <wp:effectExtent l="0" t="0" r="8890" b="6985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97481" cy="2713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EAC50" w14:textId="0CEA88CB" w:rsidR="00E4684B" w:rsidRDefault="00E4684B" w:rsidP="00CD78D7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 xml:space="preserve">Fig </w:t>
      </w:r>
      <w:r w:rsidR="00DE1DE5">
        <w:rPr>
          <w:rFonts w:ascii="Times New Roman" w:hAnsi="Times New Roman" w:cs="Times New Roman"/>
          <w:sz w:val="20"/>
          <w:szCs w:val="20"/>
          <w:lang w:val="en-GB"/>
        </w:rPr>
        <w:t>2</w:t>
      </w:r>
      <w:r>
        <w:rPr>
          <w:rFonts w:ascii="Times New Roman" w:hAnsi="Times New Roman" w:cs="Times New Roman"/>
          <w:sz w:val="20"/>
          <w:szCs w:val="20"/>
          <w:lang w:val="en-GB"/>
        </w:rPr>
        <w:t xml:space="preserve">: Change of asset weights in optimisation with change in portfolio return of portfolio </w:t>
      </w:r>
      <w:r w:rsidR="00FC484E">
        <w:rPr>
          <w:rFonts w:ascii="Times New Roman" w:hAnsi="Times New Roman" w:cs="Times New Roman"/>
          <w:sz w:val="20"/>
          <w:szCs w:val="20"/>
          <w:lang w:val="en-GB"/>
        </w:rPr>
        <w:t>1</w:t>
      </w:r>
    </w:p>
    <w:p w14:paraId="7E98FFB6" w14:textId="23883BFD" w:rsidR="00C74457" w:rsidRDefault="00F57DCF" w:rsidP="00CD78D7">
      <w:pPr>
        <w:spacing w:line="240" w:lineRule="auto"/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 xml:space="preserve">The figure above is a collection of plots of the changes in the weights of different asset </w:t>
      </w:r>
      <w:r w:rsidR="00465E95">
        <w:rPr>
          <w:rFonts w:ascii="Times New Roman" w:hAnsi="Times New Roman" w:cs="Times New Roman"/>
          <w:sz w:val="20"/>
          <w:szCs w:val="20"/>
          <w:lang w:val="en-GB"/>
        </w:rPr>
        <w:t>sub-</w:t>
      </w:r>
      <w:r>
        <w:rPr>
          <w:rFonts w:ascii="Times New Roman" w:hAnsi="Times New Roman" w:cs="Times New Roman"/>
          <w:sz w:val="20"/>
          <w:szCs w:val="20"/>
          <w:lang w:val="en-GB"/>
        </w:rPr>
        <w:t>classes in portfolio one during the optimisation (</w:t>
      </w:r>
      <w:r w:rsidR="00F731E4">
        <w:rPr>
          <w:rFonts w:ascii="Times New Roman" w:hAnsi="Times New Roman" w:cs="Times New Roman"/>
          <w:sz w:val="20"/>
          <w:szCs w:val="20"/>
          <w:lang w:val="en-GB"/>
        </w:rPr>
        <w:t>with</w:t>
      </w:r>
      <w:r w:rsidR="00DD57A1">
        <w:rPr>
          <w:rFonts w:ascii="Times New Roman" w:hAnsi="Times New Roman" w:cs="Times New Roman"/>
          <w:sz w:val="20"/>
          <w:szCs w:val="20"/>
          <w:lang w:val="en-GB"/>
        </w:rPr>
        <w:t xml:space="preserve"> gradually</w:t>
      </w:r>
      <w:r>
        <w:rPr>
          <w:rFonts w:ascii="Times New Roman" w:hAnsi="Times New Roman" w:cs="Times New Roman"/>
          <w:sz w:val="20"/>
          <w:szCs w:val="20"/>
          <w:lang w:val="en-GB"/>
        </w:rPr>
        <w:t xml:space="preserve"> increasing portfolio returns)</w:t>
      </w:r>
      <w:r w:rsidR="00F731E4">
        <w:rPr>
          <w:rFonts w:ascii="Times New Roman" w:hAnsi="Times New Roman" w:cs="Times New Roman"/>
          <w:sz w:val="20"/>
          <w:szCs w:val="20"/>
          <w:lang w:val="en-GB"/>
        </w:rPr>
        <w:t>.</w:t>
      </w:r>
      <w:r w:rsidR="00B20B49">
        <w:rPr>
          <w:rFonts w:ascii="Times New Roman" w:hAnsi="Times New Roman" w:cs="Times New Roman"/>
          <w:sz w:val="20"/>
          <w:szCs w:val="20"/>
          <w:lang w:val="en-GB"/>
        </w:rPr>
        <w:t xml:space="preserve"> As can be observed, </w:t>
      </w:r>
      <w:r w:rsidR="00CA1511">
        <w:rPr>
          <w:rFonts w:ascii="Times New Roman" w:hAnsi="Times New Roman" w:cs="Times New Roman"/>
          <w:sz w:val="20"/>
          <w:szCs w:val="20"/>
          <w:lang w:val="en-GB"/>
        </w:rPr>
        <w:t xml:space="preserve">the assignment of weights in this portfolio is not very robust, </w:t>
      </w:r>
      <w:r w:rsidR="00741D38">
        <w:rPr>
          <w:rFonts w:ascii="Times New Roman" w:hAnsi="Times New Roman" w:cs="Times New Roman"/>
          <w:sz w:val="20"/>
          <w:szCs w:val="20"/>
          <w:lang w:val="en-GB"/>
        </w:rPr>
        <w:t xml:space="preserve">with ETFs such as </w:t>
      </w:r>
      <w:r w:rsidR="00467F6D">
        <w:rPr>
          <w:rFonts w:ascii="Times New Roman" w:hAnsi="Times New Roman" w:cs="Times New Roman"/>
          <w:sz w:val="20"/>
          <w:szCs w:val="20"/>
          <w:lang w:val="en-GB"/>
        </w:rPr>
        <w:t>UUP</w:t>
      </w:r>
      <w:r w:rsidR="00F731E4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="00FB575A">
        <w:rPr>
          <w:rFonts w:ascii="Times New Roman" w:hAnsi="Times New Roman" w:cs="Times New Roman"/>
          <w:sz w:val="20"/>
          <w:szCs w:val="20"/>
          <w:lang w:val="en-GB"/>
        </w:rPr>
        <w:t xml:space="preserve">and FXE </w:t>
      </w:r>
      <w:r w:rsidR="009A18EF">
        <w:rPr>
          <w:rFonts w:ascii="Times New Roman" w:hAnsi="Times New Roman" w:cs="Times New Roman"/>
          <w:sz w:val="20"/>
          <w:szCs w:val="20"/>
          <w:lang w:val="en-GB"/>
        </w:rPr>
        <w:t xml:space="preserve">taking extremely heavy weights at </w:t>
      </w:r>
      <w:r w:rsidR="00B5607E">
        <w:rPr>
          <w:rFonts w:ascii="Times New Roman" w:hAnsi="Times New Roman" w:cs="Times New Roman"/>
          <w:sz w:val="20"/>
          <w:szCs w:val="20"/>
          <w:lang w:val="en-GB"/>
        </w:rPr>
        <w:t>low portfolio returns</w:t>
      </w:r>
      <w:r w:rsidR="00091A3D">
        <w:rPr>
          <w:rFonts w:ascii="Times New Roman" w:hAnsi="Times New Roman" w:cs="Times New Roman"/>
          <w:sz w:val="20"/>
          <w:szCs w:val="20"/>
          <w:lang w:val="en-GB"/>
        </w:rPr>
        <w:t xml:space="preserve">, and QQQ </w:t>
      </w:r>
      <w:r w:rsidR="00D279C1">
        <w:rPr>
          <w:rFonts w:ascii="Times New Roman" w:hAnsi="Times New Roman" w:cs="Times New Roman"/>
          <w:sz w:val="20"/>
          <w:szCs w:val="20"/>
          <w:lang w:val="en-GB"/>
        </w:rPr>
        <w:t xml:space="preserve">contributing to almost </w:t>
      </w:r>
      <w:r w:rsidR="00AD125D">
        <w:rPr>
          <w:rFonts w:ascii="Times New Roman" w:hAnsi="Times New Roman" w:cs="Times New Roman"/>
          <w:sz w:val="20"/>
          <w:szCs w:val="20"/>
          <w:lang w:val="en-GB"/>
        </w:rPr>
        <w:t>all</w:t>
      </w:r>
      <w:r w:rsidR="00D279C1">
        <w:rPr>
          <w:rFonts w:ascii="Times New Roman" w:hAnsi="Times New Roman" w:cs="Times New Roman"/>
          <w:sz w:val="20"/>
          <w:szCs w:val="20"/>
          <w:lang w:val="en-GB"/>
        </w:rPr>
        <w:t xml:space="preserve"> the weights of the portfolio at higher returns.</w:t>
      </w:r>
      <w:r w:rsidR="003E4748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="000C074F">
        <w:rPr>
          <w:rFonts w:ascii="Times New Roman" w:hAnsi="Times New Roman" w:cs="Times New Roman"/>
          <w:sz w:val="20"/>
          <w:szCs w:val="20"/>
          <w:lang w:val="en-GB"/>
        </w:rPr>
        <w:t xml:space="preserve">The US bonds ETF took up majority of the weights in the mid segment of this </w:t>
      </w:r>
      <w:r w:rsidR="00200484">
        <w:rPr>
          <w:rFonts w:ascii="Times New Roman" w:hAnsi="Times New Roman" w:cs="Times New Roman"/>
          <w:sz w:val="20"/>
          <w:szCs w:val="20"/>
          <w:lang w:val="en-GB"/>
        </w:rPr>
        <w:t>range</w:t>
      </w:r>
      <w:r w:rsidR="000C074F">
        <w:rPr>
          <w:rFonts w:ascii="Times New Roman" w:hAnsi="Times New Roman" w:cs="Times New Roman"/>
          <w:sz w:val="20"/>
          <w:szCs w:val="20"/>
          <w:lang w:val="en-GB"/>
        </w:rPr>
        <w:t xml:space="preserve"> of portfolio returns.</w:t>
      </w:r>
      <w:r w:rsidR="00B507B9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="00E034E9">
        <w:rPr>
          <w:rFonts w:ascii="Times New Roman" w:hAnsi="Times New Roman" w:cs="Times New Roman"/>
          <w:sz w:val="20"/>
          <w:szCs w:val="20"/>
          <w:lang w:val="en-GB"/>
        </w:rPr>
        <w:t>Real-estate ETF VNQ was assigned 0 weight (and IQQP.DE almost 0 weight as well)</w:t>
      </w:r>
      <w:r w:rsidR="004A0890">
        <w:rPr>
          <w:rFonts w:ascii="Times New Roman" w:hAnsi="Times New Roman" w:cs="Times New Roman"/>
          <w:sz w:val="20"/>
          <w:szCs w:val="20"/>
          <w:lang w:val="en-GB"/>
        </w:rPr>
        <w:t xml:space="preserve"> throughout the entire interval. This </w:t>
      </w:r>
      <w:r w:rsidR="00E15552">
        <w:rPr>
          <w:rFonts w:ascii="Times New Roman" w:hAnsi="Times New Roman" w:cs="Times New Roman"/>
          <w:sz w:val="20"/>
          <w:szCs w:val="20"/>
          <w:lang w:val="en-GB"/>
        </w:rPr>
        <w:t xml:space="preserve">explains the MVF plot which showed that the </w:t>
      </w:r>
      <w:r w:rsidR="00EA507B">
        <w:rPr>
          <w:rFonts w:ascii="Times New Roman" w:hAnsi="Times New Roman" w:cs="Times New Roman"/>
          <w:sz w:val="20"/>
          <w:szCs w:val="20"/>
          <w:lang w:val="en-GB"/>
        </w:rPr>
        <w:t>same MVF for</w:t>
      </w:r>
      <w:r w:rsidR="00E15552">
        <w:rPr>
          <w:rFonts w:ascii="Times New Roman" w:hAnsi="Times New Roman" w:cs="Times New Roman"/>
          <w:sz w:val="20"/>
          <w:szCs w:val="20"/>
          <w:lang w:val="en-GB"/>
        </w:rPr>
        <w:t xml:space="preserve"> portfolio with and without</w:t>
      </w:r>
      <w:r w:rsidR="00EA507B">
        <w:rPr>
          <w:rFonts w:ascii="Times New Roman" w:hAnsi="Times New Roman" w:cs="Times New Roman"/>
          <w:sz w:val="20"/>
          <w:szCs w:val="20"/>
          <w:lang w:val="en-GB"/>
        </w:rPr>
        <w:t xml:space="preserve"> inclusion of</w:t>
      </w:r>
      <w:r w:rsidR="00E15552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="00EA507B">
        <w:rPr>
          <w:rFonts w:ascii="Times New Roman" w:hAnsi="Times New Roman" w:cs="Times New Roman"/>
          <w:sz w:val="20"/>
          <w:szCs w:val="20"/>
          <w:lang w:val="en-GB"/>
        </w:rPr>
        <w:t>real-estate ETFs</w:t>
      </w:r>
      <w:r w:rsidR="003C4798">
        <w:rPr>
          <w:rFonts w:ascii="Times New Roman" w:hAnsi="Times New Roman" w:cs="Times New Roman"/>
          <w:sz w:val="20"/>
          <w:szCs w:val="20"/>
          <w:lang w:val="en-GB"/>
        </w:rPr>
        <w:t>.</w:t>
      </w:r>
    </w:p>
    <w:p w14:paraId="203D4E0F" w14:textId="77777777" w:rsidR="00690CD3" w:rsidRDefault="00690CD3" w:rsidP="00CD78D7">
      <w:pPr>
        <w:spacing w:line="240" w:lineRule="auto"/>
        <w:rPr>
          <w:rFonts w:ascii="Times New Roman" w:hAnsi="Times New Roman" w:cs="Times New Roman"/>
          <w:sz w:val="20"/>
          <w:szCs w:val="20"/>
          <w:lang w:val="en-GB"/>
        </w:rPr>
      </w:pPr>
    </w:p>
    <w:p w14:paraId="10307B9C" w14:textId="0DF307D6" w:rsidR="00067179" w:rsidRDefault="00B507B9" w:rsidP="00CD78D7">
      <w:pPr>
        <w:spacing w:line="240" w:lineRule="auto"/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>1.1.2 Observation</w:t>
      </w:r>
      <w:r w:rsidR="00067179">
        <w:rPr>
          <w:rFonts w:ascii="Times New Roman" w:hAnsi="Times New Roman" w:cs="Times New Roman"/>
          <w:sz w:val="20"/>
          <w:szCs w:val="20"/>
          <w:lang w:val="en-GB"/>
        </w:rPr>
        <w:t>s</w:t>
      </w:r>
    </w:p>
    <w:p w14:paraId="3F806280" w14:textId="21E25764" w:rsidR="00CD6F10" w:rsidRDefault="0096729D" w:rsidP="00CD78D7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noProof/>
        </w:rPr>
        <w:drawing>
          <wp:inline distT="0" distB="0" distL="0" distR="0" wp14:anchorId="033F68EE" wp14:editId="702FE414">
            <wp:extent cx="4978400" cy="2146128"/>
            <wp:effectExtent l="0" t="0" r="0" b="6985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84196" cy="2148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908CA" w14:textId="4DD011A7" w:rsidR="0096729D" w:rsidRDefault="0096729D" w:rsidP="00CD78D7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 xml:space="preserve">Table </w:t>
      </w:r>
      <w:r w:rsidR="00DE1DE5">
        <w:rPr>
          <w:rFonts w:ascii="Times New Roman" w:hAnsi="Times New Roman" w:cs="Times New Roman"/>
          <w:sz w:val="20"/>
          <w:szCs w:val="20"/>
          <w:lang w:val="en-GB"/>
        </w:rPr>
        <w:t>2</w:t>
      </w:r>
      <w:r>
        <w:rPr>
          <w:rFonts w:ascii="Times New Roman" w:hAnsi="Times New Roman" w:cs="Times New Roman"/>
          <w:sz w:val="20"/>
          <w:szCs w:val="20"/>
          <w:lang w:val="en-GB"/>
        </w:rPr>
        <w:t xml:space="preserve">: Sharpe </w:t>
      </w:r>
      <w:r w:rsidR="0046070D">
        <w:rPr>
          <w:rFonts w:ascii="Times New Roman" w:hAnsi="Times New Roman" w:cs="Times New Roman"/>
          <w:sz w:val="20"/>
          <w:szCs w:val="20"/>
          <w:lang w:val="en-GB"/>
        </w:rPr>
        <w:t>R</w:t>
      </w:r>
      <w:r>
        <w:rPr>
          <w:rFonts w:ascii="Times New Roman" w:hAnsi="Times New Roman" w:cs="Times New Roman"/>
          <w:sz w:val="20"/>
          <w:szCs w:val="20"/>
          <w:lang w:val="en-GB"/>
        </w:rPr>
        <w:t xml:space="preserve">atio, </w:t>
      </w:r>
      <w:r w:rsidR="00576475">
        <w:rPr>
          <w:rFonts w:ascii="Times New Roman" w:hAnsi="Times New Roman" w:cs="Times New Roman"/>
          <w:sz w:val="20"/>
          <w:szCs w:val="20"/>
          <w:lang w:val="en-GB"/>
        </w:rPr>
        <w:t>Standard Deviation, Expected Return of asset subclasses in Portfolio 1</w:t>
      </w:r>
    </w:p>
    <w:p w14:paraId="03DD4ECF" w14:textId="79DA5E77" w:rsidR="00975340" w:rsidRDefault="00AE7533" w:rsidP="00CD78D7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  <w:lang w:val="en-GB"/>
        </w:rPr>
      </w:pPr>
      <w:r w:rsidRPr="00AE7533">
        <w:rPr>
          <w:noProof/>
        </w:rPr>
        <w:lastRenderedPageBreak/>
        <w:drawing>
          <wp:inline distT="0" distB="0" distL="0" distR="0" wp14:anchorId="45370D52" wp14:editId="2EAB39EF">
            <wp:extent cx="5731510" cy="2489200"/>
            <wp:effectExtent l="0" t="0" r="2540" b="6350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6E780" w14:textId="6B694489" w:rsidR="00AE7533" w:rsidRDefault="00AE7533" w:rsidP="00CD78D7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 xml:space="preserve">Fig </w:t>
      </w:r>
      <w:r w:rsidR="00DE1DE5">
        <w:rPr>
          <w:rFonts w:ascii="Times New Roman" w:hAnsi="Times New Roman" w:cs="Times New Roman"/>
          <w:sz w:val="20"/>
          <w:szCs w:val="20"/>
          <w:lang w:val="en-GB"/>
        </w:rPr>
        <w:t>3</w:t>
      </w:r>
      <w:r>
        <w:rPr>
          <w:rFonts w:ascii="Times New Roman" w:hAnsi="Times New Roman" w:cs="Times New Roman"/>
          <w:sz w:val="20"/>
          <w:szCs w:val="20"/>
          <w:lang w:val="en-GB"/>
        </w:rPr>
        <w:t>: Correlation Plot of 10 ETFs</w:t>
      </w:r>
    </w:p>
    <w:p w14:paraId="6ECC208A" w14:textId="77777777" w:rsidR="00690CD3" w:rsidRDefault="00690CD3" w:rsidP="00CD78D7">
      <w:pPr>
        <w:spacing w:line="240" w:lineRule="auto"/>
        <w:rPr>
          <w:rFonts w:ascii="Times New Roman" w:hAnsi="Times New Roman" w:cs="Times New Roman"/>
          <w:sz w:val="20"/>
          <w:szCs w:val="20"/>
          <w:lang w:val="en-GB"/>
        </w:rPr>
      </w:pPr>
    </w:p>
    <w:p w14:paraId="7AEC312F" w14:textId="6AE859DB" w:rsidR="00B507B9" w:rsidRDefault="00067179" w:rsidP="00CD78D7">
      <w:pPr>
        <w:spacing w:line="240" w:lineRule="auto"/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 xml:space="preserve">We have developed a few explanations for our observations above. </w:t>
      </w:r>
      <w:r w:rsidR="00B507B9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="00F64CDF">
        <w:rPr>
          <w:rFonts w:ascii="Times New Roman" w:hAnsi="Times New Roman" w:cs="Times New Roman"/>
          <w:sz w:val="20"/>
          <w:szCs w:val="20"/>
          <w:lang w:val="en-GB"/>
        </w:rPr>
        <w:t xml:space="preserve">Looking at the above table, </w:t>
      </w:r>
      <w:r w:rsidR="00C31D53">
        <w:rPr>
          <w:rFonts w:ascii="Times New Roman" w:hAnsi="Times New Roman" w:cs="Times New Roman"/>
          <w:sz w:val="20"/>
          <w:szCs w:val="20"/>
          <w:lang w:val="en-GB"/>
        </w:rPr>
        <w:t xml:space="preserve">we observe that </w:t>
      </w:r>
      <w:r w:rsidR="008862B8">
        <w:rPr>
          <w:rFonts w:ascii="Times New Roman" w:hAnsi="Times New Roman" w:cs="Times New Roman"/>
          <w:sz w:val="20"/>
          <w:szCs w:val="20"/>
          <w:lang w:val="en-GB"/>
        </w:rPr>
        <w:t>the reason why currency ETFs are assigned huge weights at low portfolio returns (and at negative returns</w:t>
      </w:r>
      <w:r w:rsidR="00E2018D">
        <w:rPr>
          <w:rFonts w:ascii="Times New Roman" w:hAnsi="Times New Roman" w:cs="Times New Roman"/>
          <w:sz w:val="20"/>
          <w:szCs w:val="20"/>
          <w:lang w:val="en-GB"/>
        </w:rPr>
        <w:t xml:space="preserve"> of the interval), is </w:t>
      </w:r>
      <w:r w:rsidR="00D53669">
        <w:rPr>
          <w:rFonts w:ascii="Times New Roman" w:hAnsi="Times New Roman" w:cs="Times New Roman"/>
          <w:sz w:val="20"/>
          <w:szCs w:val="20"/>
          <w:lang w:val="en-GB"/>
        </w:rPr>
        <w:t xml:space="preserve">because they are only </w:t>
      </w:r>
      <w:r w:rsidR="003544F2">
        <w:rPr>
          <w:rFonts w:ascii="Times New Roman" w:hAnsi="Times New Roman" w:cs="Times New Roman"/>
          <w:sz w:val="20"/>
          <w:szCs w:val="20"/>
          <w:lang w:val="en-GB"/>
        </w:rPr>
        <w:t xml:space="preserve">ETFs with </w:t>
      </w:r>
      <w:r w:rsidR="00AF6FCA">
        <w:rPr>
          <w:rFonts w:ascii="Times New Roman" w:hAnsi="Times New Roman" w:cs="Times New Roman"/>
          <w:sz w:val="20"/>
          <w:szCs w:val="20"/>
          <w:lang w:val="en-GB"/>
        </w:rPr>
        <w:t xml:space="preserve">negative expected returns </w:t>
      </w:r>
      <w:r w:rsidR="00067268">
        <w:rPr>
          <w:rFonts w:ascii="Times New Roman" w:hAnsi="Times New Roman" w:cs="Times New Roman"/>
          <w:sz w:val="20"/>
          <w:szCs w:val="20"/>
          <w:lang w:val="en-GB"/>
        </w:rPr>
        <w:t xml:space="preserve">(and the leftmost of portfolio return interval for optimisation is negative). If we do not include negative returns in our </w:t>
      </w:r>
      <w:r w:rsidR="005B3D4B">
        <w:rPr>
          <w:rFonts w:ascii="Times New Roman" w:hAnsi="Times New Roman" w:cs="Times New Roman"/>
          <w:sz w:val="20"/>
          <w:szCs w:val="20"/>
          <w:lang w:val="en-GB"/>
        </w:rPr>
        <w:t>optimisation</w:t>
      </w:r>
      <w:r w:rsidR="00067268">
        <w:rPr>
          <w:rFonts w:ascii="Times New Roman" w:hAnsi="Times New Roman" w:cs="Times New Roman"/>
          <w:sz w:val="20"/>
          <w:szCs w:val="20"/>
          <w:lang w:val="en-GB"/>
        </w:rPr>
        <w:t xml:space="preserve">, then these FXE and FXNAX will not be assigned any weights at all. </w:t>
      </w:r>
      <w:r w:rsidR="00E97CBD">
        <w:rPr>
          <w:rFonts w:ascii="Times New Roman" w:hAnsi="Times New Roman" w:cs="Times New Roman"/>
          <w:sz w:val="20"/>
          <w:szCs w:val="20"/>
          <w:lang w:val="en-GB"/>
        </w:rPr>
        <w:t xml:space="preserve">UUP is assigned </w:t>
      </w:r>
      <w:r w:rsidR="00581074">
        <w:rPr>
          <w:rFonts w:ascii="Times New Roman" w:hAnsi="Times New Roman" w:cs="Times New Roman"/>
          <w:sz w:val="20"/>
          <w:szCs w:val="20"/>
          <w:lang w:val="en-GB"/>
        </w:rPr>
        <w:t>heavy</w:t>
      </w:r>
      <w:r w:rsidR="00E97CBD">
        <w:rPr>
          <w:rFonts w:ascii="Times New Roman" w:hAnsi="Times New Roman" w:cs="Times New Roman"/>
          <w:sz w:val="20"/>
          <w:szCs w:val="20"/>
          <w:lang w:val="en-GB"/>
        </w:rPr>
        <w:t xml:space="preserve"> weights at low, positive</w:t>
      </w:r>
      <w:r w:rsidR="00581074">
        <w:rPr>
          <w:rFonts w:ascii="Times New Roman" w:hAnsi="Times New Roman" w:cs="Times New Roman"/>
          <w:sz w:val="20"/>
          <w:szCs w:val="20"/>
          <w:lang w:val="en-GB"/>
        </w:rPr>
        <w:t xml:space="preserve"> portfolio</w:t>
      </w:r>
      <w:r w:rsidR="00E97CBD">
        <w:rPr>
          <w:rFonts w:ascii="Times New Roman" w:hAnsi="Times New Roman" w:cs="Times New Roman"/>
          <w:sz w:val="20"/>
          <w:szCs w:val="20"/>
          <w:lang w:val="en-GB"/>
        </w:rPr>
        <w:t xml:space="preserve"> returns because it has </w:t>
      </w:r>
      <w:r w:rsidR="005E7D5E">
        <w:rPr>
          <w:rFonts w:ascii="Times New Roman" w:hAnsi="Times New Roman" w:cs="Times New Roman"/>
          <w:sz w:val="20"/>
          <w:szCs w:val="20"/>
          <w:lang w:val="en-GB"/>
        </w:rPr>
        <w:t>extremely</w:t>
      </w:r>
      <w:r w:rsidR="00E97CBD">
        <w:rPr>
          <w:rFonts w:ascii="Times New Roman" w:hAnsi="Times New Roman" w:cs="Times New Roman"/>
          <w:sz w:val="20"/>
          <w:szCs w:val="20"/>
          <w:lang w:val="en-GB"/>
        </w:rPr>
        <w:t xml:space="preserve"> low standard dev</w:t>
      </w:r>
      <w:r w:rsidR="00581074">
        <w:rPr>
          <w:rFonts w:ascii="Times New Roman" w:hAnsi="Times New Roman" w:cs="Times New Roman"/>
          <w:sz w:val="20"/>
          <w:szCs w:val="20"/>
          <w:lang w:val="en-GB"/>
        </w:rPr>
        <w:t>i</w:t>
      </w:r>
      <w:r w:rsidR="00E97CBD">
        <w:rPr>
          <w:rFonts w:ascii="Times New Roman" w:hAnsi="Times New Roman" w:cs="Times New Roman"/>
          <w:sz w:val="20"/>
          <w:szCs w:val="20"/>
          <w:lang w:val="en-GB"/>
        </w:rPr>
        <w:t>ation</w:t>
      </w:r>
      <w:r w:rsidR="00BF1410">
        <w:rPr>
          <w:rFonts w:ascii="Times New Roman" w:hAnsi="Times New Roman" w:cs="Times New Roman"/>
          <w:sz w:val="20"/>
          <w:szCs w:val="20"/>
          <w:lang w:val="en-GB"/>
        </w:rPr>
        <w:t xml:space="preserve">. </w:t>
      </w:r>
      <w:r w:rsidR="00A65A2B">
        <w:rPr>
          <w:rFonts w:ascii="Times New Roman" w:hAnsi="Times New Roman" w:cs="Times New Roman"/>
          <w:sz w:val="20"/>
          <w:szCs w:val="20"/>
          <w:lang w:val="en-GB"/>
        </w:rPr>
        <w:t>As the portfolio return increases, these assets do not contribute sufficient returns to achieve the target, pre-set portfolio return (portfolio return is fixed as our constraint in optimisation)</w:t>
      </w:r>
      <w:r w:rsidR="006155E9">
        <w:rPr>
          <w:rFonts w:ascii="Times New Roman" w:hAnsi="Times New Roman" w:cs="Times New Roman"/>
          <w:sz w:val="20"/>
          <w:szCs w:val="20"/>
          <w:lang w:val="en-GB"/>
        </w:rPr>
        <w:t xml:space="preserve"> and therefore they are not assigned any weights as return target increases along the MVF.</w:t>
      </w:r>
      <w:r w:rsidR="00552CEA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</w:p>
    <w:p w14:paraId="42D1F183" w14:textId="536ACE49" w:rsidR="00552CEA" w:rsidRDefault="00552CEA" w:rsidP="00CD78D7">
      <w:pPr>
        <w:spacing w:line="240" w:lineRule="auto"/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 xml:space="preserve">However, these </w:t>
      </w:r>
      <w:r w:rsidRPr="00D4318F">
        <w:rPr>
          <w:rFonts w:ascii="Times New Roman" w:hAnsi="Times New Roman" w:cs="Times New Roman"/>
          <w:b/>
          <w:bCs/>
          <w:sz w:val="20"/>
          <w:szCs w:val="20"/>
          <w:lang w:val="en-GB"/>
        </w:rPr>
        <w:t>currency ETFs provide diversification of risk to our portfolio</w:t>
      </w:r>
      <w:r w:rsidR="005E7D5E" w:rsidRPr="00D4318F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</w:t>
      </w:r>
      <w:r w:rsidR="00B649A2" w:rsidRPr="003D3D15">
        <w:rPr>
          <w:rFonts w:ascii="Times New Roman" w:hAnsi="Times New Roman" w:cs="Times New Roman"/>
          <w:sz w:val="20"/>
          <w:szCs w:val="20"/>
          <w:lang w:val="en-GB"/>
        </w:rPr>
        <w:t xml:space="preserve">as </w:t>
      </w:r>
      <w:r w:rsidR="00B548A4" w:rsidRPr="003D3D15">
        <w:rPr>
          <w:rFonts w:ascii="Times New Roman" w:hAnsi="Times New Roman" w:cs="Times New Roman"/>
          <w:sz w:val="20"/>
          <w:szCs w:val="20"/>
          <w:lang w:val="en-GB"/>
        </w:rPr>
        <w:t xml:space="preserve">they have negative correlation </w:t>
      </w:r>
      <w:r w:rsidR="00BC0127">
        <w:rPr>
          <w:rFonts w:ascii="Times New Roman" w:hAnsi="Times New Roman" w:cs="Times New Roman"/>
          <w:sz w:val="20"/>
          <w:szCs w:val="20"/>
          <w:lang w:val="en-GB"/>
        </w:rPr>
        <w:t>(except FXE)</w:t>
      </w:r>
      <w:r w:rsidR="005D5F98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="000F6DAE" w:rsidRPr="003D3D15">
        <w:rPr>
          <w:rFonts w:ascii="Times New Roman" w:hAnsi="Times New Roman" w:cs="Times New Roman"/>
          <w:sz w:val="20"/>
          <w:szCs w:val="20"/>
          <w:lang w:val="en-GB"/>
        </w:rPr>
        <w:t>with majority of the other assets in the portfolio</w:t>
      </w:r>
      <w:r w:rsidR="000F6DAE">
        <w:rPr>
          <w:rFonts w:ascii="Times New Roman" w:hAnsi="Times New Roman" w:cs="Times New Roman"/>
          <w:sz w:val="20"/>
          <w:szCs w:val="20"/>
          <w:lang w:val="en-GB"/>
        </w:rPr>
        <w:t xml:space="preserve">. </w:t>
      </w:r>
      <w:r w:rsidR="00607090" w:rsidRPr="00216CE7">
        <w:rPr>
          <w:rFonts w:ascii="Times New Roman" w:hAnsi="Times New Roman" w:cs="Times New Roman"/>
          <w:sz w:val="20"/>
          <w:szCs w:val="20"/>
          <w:lang w:val="en-GB"/>
        </w:rPr>
        <w:t xml:space="preserve">However, due to their negative returns, our team has decided to only include UUP in our </w:t>
      </w:r>
      <w:r w:rsidR="00330DD2" w:rsidRPr="00216CE7">
        <w:rPr>
          <w:rFonts w:ascii="Times New Roman" w:hAnsi="Times New Roman" w:cs="Times New Roman"/>
          <w:sz w:val="20"/>
          <w:szCs w:val="20"/>
          <w:lang w:val="en-GB"/>
        </w:rPr>
        <w:t>next portfolio.</w:t>
      </w:r>
      <w:r w:rsidR="00FF01F4">
        <w:rPr>
          <w:rFonts w:ascii="Times New Roman" w:hAnsi="Times New Roman" w:cs="Times New Roman"/>
          <w:sz w:val="20"/>
          <w:szCs w:val="20"/>
          <w:lang w:val="en-GB"/>
        </w:rPr>
        <w:t xml:space="preserve"> We can see that QQQ</w:t>
      </w:r>
      <w:r w:rsidR="00125846">
        <w:rPr>
          <w:rFonts w:ascii="Times New Roman" w:hAnsi="Times New Roman" w:cs="Times New Roman"/>
          <w:sz w:val="20"/>
          <w:szCs w:val="20"/>
          <w:lang w:val="en-GB"/>
        </w:rPr>
        <w:t xml:space="preserve"> has extremely </w:t>
      </w:r>
      <w:r w:rsidR="00247732">
        <w:rPr>
          <w:rFonts w:ascii="Times New Roman" w:hAnsi="Times New Roman" w:cs="Times New Roman"/>
          <w:sz w:val="20"/>
          <w:szCs w:val="20"/>
          <w:lang w:val="en-GB"/>
        </w:rPr>
        <w:t>high returns compared to our other assets</w:t>
      </w:r>
      <w:r w:rsidR="00641733">
        <w:rPr>
          <w:rFonts w:ascii="Times New Roman" w:hAnsi="Times New Roman" w:cs="Times New Roman"/>
          <w:sz w:val="20"/>
          <w:szCs w:val="20"/>
          <w:lang w:val="en-GB"/>
        </w:rPr>
        <w:t xml:space="preserve"> (and also the best </w:t>
      </w:r>
      <w:r w:rsidR="00B229BA">
        <w:rPr>
          <w:rFonts w:ascii="Times New Roman" w:hAnsi="Times New Roman" w:cs="Times New Roman"/>
          <w:sz w:val="20"/>
          <w:szCs w:val="20"/>
          <w:lang w:val="en-GB"/>
        </w:rPr>
        <w:t>Sharpe</w:t>
      </w:r>
      <w:r w:rsidR="00641733">
        <w:rPr>
          <w:rFonts w:ascii="Times New Roman" w:hAnsi="Times New Roman" w:cs="Times New Roman"/>
          <w:sz w:val="20"/>
          <w:szCs w:val="20"/>
          <w:lang w:val="en-GB"/>
        </w:rPr>
        <w:t xml:space="preserve"> ratio)</w:t>
      </w:r>
      <w:r w:rsidR="00247732">
        <w:rPr>
          <w:rFonts w:ascii="Times New Roman" w:hAnsi="Times New Roman" w:cs="Times New Roman"/>
          <w:sz w:val="20"/>
          <w:szCs w:val="20"/>
          <w:lang w:val="en-GB"/>
        </w:rPr>
        <w:t xml:space="preserve">, and therefore it is as expected that QQQ will </w:t>
      </w:r>
      <w:r w:rsidR="00B229BA">
        <w:rPr>
          <w:rFonts w:ascii="Times New Roman" w:hAnsi="Times New Roman" w:cs="Times New Roman"/>
          <w:sz w:val="20"/>
          <w:szCs w:val="20"/>
          <w:lang w:val="en-GB"/>
        </w:rPr>
        <w:t>gradually be assigned</w:t>
      </w:r>
      <w:r w:rsidR="00247732">
        <w:rPr>
          <w:rFonts w:ascii="Times New Roman" w:hAnsi="Times New Roman" w:cs="Times New Roman"/>
          <w:sz w:val="20"/>
          <w:szCs w:val="20"/>
          <w:lang w:val="en-GB"/>
        </w:rPr>
        <w:t xml:space="preserve"> hea</w:t>
      </w:r>
      <w:r w:rsidR="00B229BA">
        <w:rPr>
          <w:rFonts w:ascii="Times New Roman" w:hAnsi="Times New Roman" w:cs="Times New Roman"/>
          <w:sz w:val="20"/>
          <w:szCs w:val="20"/>
          <w:lang w:val="en-GB"/>
        </w:rPr>
        <w:t>vier</w:t>
      </w:r>
      <w:r w:rsidR="00247732">
        <w:rPr>
          <w:rFonts w:ascii="Times New Roman" w:hAnsi="Times New Roman" w:cs="Times New Roman"/>
          <w:sz w:val="20"/>
          <w:szCs w:val="20"/>
          <w:lang w:val="en-GB"/>
        </w:rPr>
        <w:t xml:space="preserve"> weights </w:t>
      </w:r>
      <w:r w:rsidR="00B229BA">
        <w:rPr>
          <w:rFonts w:ascii="Times New Roman" w:hAnsi="Times New Roman" w:cs="Times New Roman"/>
          <w:sz w:val="20"/>
          <w:szCs w:val="20"/>
          <w:lang w:val="en-GB"/>
        </w:rPr>
        <w:t>as</w:t>
      </w:r>
      <w:r w:rsidR="00247732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="00B229BA">
        <w:rPr>
          <w:rFonts w:ascii="Times New Roman" w:hAnsi="Times New Roman" w:cs="Times New Roman"/>
          <w:sz w:val="20"/>
          <w:szCs w:val="20"/>
          <w:lang w:val="en-GB"/>
        </w:rPr>
        <w:t>portfolio returns increases along the MVF</w:t>
      </w:r>
      <w:r w:rsidR="00881BE9">
        <w:rPr>
          <w:rFonts w:ascii="Times New Roman" w:hAnsi="Times New Roman" w:cs="Times New Roman"/>
          <w:sz w:val="20"/>
          <w:szCs w:val="20"/>
          <w:lang w:val="en-GB"/>
        </w:rPr>
        <w:t>.</w:t>
      </w:r>
      <w:r w:rsidR="008B6E53">
        <w:rPr>
          <w:rFonts w:ascii="Times New Roman" w:hAnsi="Times New Roman" w:cs="Times New Roman"/>
          <w:sz w:val="20"/>
          <w:szCs w:val="20"/>
          <w:lang w:val="en-GB"/>
        </w:rPr>
        <w:t xml:space="preserve"> FXNAX and SEGA.MI both have good </w:t>
      </w:r>
      <w:r w:rsidR="00667E7B">
        <w:rPr>
          <w:rFonts w:ascii="Times New Roman" w:hAnsi="Times New Roman" w:cs="Times New Roman"/>
          <w:sz w:val="20"/>
          <w:szCs w:val="20"/>
          <w:lang w:val="en-GB"/>
        </w:rPr>
        <w:t xml:space="preserve">Sharpe </w:t>
      </w:r>
      <w:r w:rsidR="006D4A13">
        <w:rPr>
          <w:rFonts w:ascii="Times New Roman" w:hAnsi="Times New Roman" w:cs="Times New Roman"/>
          <w:sz w:val="20"/>
          <w:szCs w:val="20"/>
          <w:lang w:val="en-GB"/>
        </w:rPr>
        <w:t>ratios</w:t>
      </w:r>
      <w:r w:rsidR="00641733">
        <w:rPr>
          <w:rFonts w:ascii="Times New Roman" w:hAnsi="Times New Roman" w:cs="Times New Roman"/>
          <w:sz w:val="20"/>
          <w:szCs w:val="20"/>
          <w:lang w:val="en-GB"/>
        </w:rPr>
        <w:t xml:space="preserve">, </w:t>
      </w:r>
      <w:r w:rsidR="00881BE9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="00C65EAA">
        <w:rPr>
          <w:rFonts w:ascii="Times New Roman" w:hAnsi="Times New Roman" w:cs="Times New Roman"/>
          <w:sz w:val="20"/>
          <w:szCs w:val="20"/>
          <w:lang w:val="en-GB"/>
        </w:rPr>
        <w:t xml:space="preserve">and therefore these two </w:t>
      </w:r>
      <w:r w:rsidR="00C40863">
        <w:rPr>
          <w:rFonts w:ascii="Times New Roman" w:hAnsi="Times New Roman" w:cs="Times New Roman"/>
          <w:sz w:val="20"/>
          <w:szCs w:val="20"/>
          <w:lang w:val="en-GB"/>
        </w:rPr>
        <w:t xml:space="preserve">assets carry </w:t>
      </w:r>
      <w:r w:rsidR="004B48DD">
        <w:rPr>
          <w:rFonts w:ascii="Times New Roman" w:hAnsi="Times New Roman" w:cs="Times New Roman"/>
          <w:sz w:val="20"/>
          <w:szCs w:val="20"/>
          <w:lang w:val="en-GB"/>
        </w:rPr>
        <w:t xml:space="preserve">heavy </w:t>
      </w:r>
      <w:r w:rsidR="00C40863">
        <w:rPr>
          <w:rFonts w:ascii="Times New Roman" w:hAnsi="Times New Roman" w:cs="Times New Roman"/>
          <w:sz w:val="20"/>
          <w:szCs w:val="20"/>
          <w:lang w:val="en-GB"/>
        </w:rPr>
        <w:t>weights in the mid-range of portfolio returns</w:t>
      </w:r>
      <w:r w:rsidR="0019126D">
        <w:rPr>
          <w:rFonts w:ascii="Times New Roman" w:hAnsi="Times New Roman" w:cs="Times New Roman"/>
          <w:sz w:val="20"/>
          <w:szCs w:val="20"/>
          <w:lang w:val="en-GB"/>
        </w:rPr>
        <w:t xml:space="preserve">. As SEGA.MI has worse Sharpe ratio and positive correlation with QQQ, SEGA.MI is almost assigned no weights as FXNAX serves the purpose of SEGA.MI (moderate returns; good </w:t>
      </w:r>
      <w:proofErr w:type="spellStart"/>
      <w:r w:rsidR="0019126D">
        <w:rPr>
          <w:rFonts w:ascii="Times New Roman" w:hAnsi="Times New Roman" w:cs="Times New Roman"/>
          <w:sz w:val="20"/>
          <w:szCs w:val="20"/>
          <w:lang w:val="en-GB"/>
        </w:rPr>
        <w:t>sharpe</w:t>
      </w:r>
      <w:proofErr w:type="spellEnd"/>
      <w:r w:rsidR="0019126D">
        <w:rPr>
          <w:rFonts w:ascii="Times New Roman" w:hAnsi="Times New Roman" w:cs="Times New Roman"/>
          <w:sz w:val="20"/>
          <w:szCs w:val="20"/>
          <w:lang w:val="en-GB"/>
        </w:rPr>
        <w:t xml:space="preserve"> ratio; negative correlation with quality asset QQQ)</w:t>
      </w:r>
      <w:r w:rsidR="008C1970">
        <w:rPr>
          <w:rFonts w:ascii="Times New Roman" w:hAnsi="Times New Roman" w:cs="Times New Roman"/>
          <w:sz w:val="20"/>
          <w:szCs w:val="20"/>
          <w:lang w:val="en-GB"/>
        </w:rPr>
        <w:t xml:space="preserve">. </w:t>
      </w:r>
    </w:p>
    <w:p w14:paraId="43789F76" w14:textId="16CC047C" w:rsidR="008C1970" w:rsidRDefault="008C1970" w:rsidP="00CD78D7">
      <w:pPr>
        <w:spacing w:line="240" w:lineRule="auto"/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>We can summarise our observations into 3 points</w:t>
      </w:r>
      <w:r w:rsidR="00491DAA">
        <w:rPr>
          <w:rFonts w:ascii="Times New Roman" w:hAnsi="Times New Roman" w:cs="Times New Roman"/>
          <w:sz w:val="20"/>
          <w:szCs w:val="20"/>
          <w:lang w:val="en-GB"/>
        </w:rPr>
        <w:t>:</w:t>
      </w:r>
    </w:p>
    <w:p w14:paraId="2BD4C8D0" w14:textId="094EFC09" w:rsidR="00491DAA" w:rsidRDefault="00491DAA" w:rsidP="00CD78D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  <w:lang w:val="en-GB"/>
        </w:rPr>
      </w:pPr>
      <w:r w:rsidRPr="002A0648">
        <w:rPr>
          <w:rFonts w:ascii="Times New Roman" w:hAnsi="Times New Roman" w:cs="Times New Roman"/>
          <w:b/>
          <w:sz w:val="20"/>
          <w:szCs w:val="20"/>
          <w:lang w:val="en-GB"/>
        </w:rPr>
        <w:t xml:space="preserve">Assets with the best </w:t>
      </w:r>
      <w:r w:rsidR="00D56EFC" w:rsidRPr="002A0648">
        <w:rPr>
          <w:rFonts w:ascii="Times New Roman" w:hAnsi="Times New Roman" w:cs="Times New Roman"/>
          <w:b/>
          <w:sz w:val="20"/>
          <w:szCs w:val="20"/>
          <w:lang w:val="en-GB"/>
        </w:rPr>
        <w:t>S</w:t>
      </w:r>
      <w:r w:rsidRPr="002A0648">
        <w:rPr>
          <w:rFonts w:ascii="Times New Roman" w:hAnsi="Times New Roman" w:cs="Times New Roman"/>
          <w:b/>
          <w:sz w:val="20"/>
          <w:szCs w:val="20"/>
          <w:lang w:val="en-GB"/>
        </w:rPr>
        <w:t xml:space="preserve">harpe ratios </w:t>
      </w:r>
      <w:r w:rsidR="00720BEF" w:rsidRPr="002A0648">
        <w:rPr>
          <w:rFonts w:ascii="Times New Roman" w:hAnsi="Times New Roman" w:cs="Times New Roman"/>
          <w:b/>
          <w:sz w:val="20"/>
          <w:szCs w:val="20"/>
          <w:lang w:val="en-GB"/>
        </w:rPr>
        <w:t>are quality assets</w:t>
      </w:r>
      <w:r w:rsidR="00720BEF">
        <w:rPr>
          <w:rFonts w:ascii="Times New Roman" w:hAnsi="Times New Roman" w:cs="Times New Roman"/>
          <w:sz w:val="20"/>
          <w:szCs w:val="20"/>
          <w:lang w:val="en-GB"/>
        </w:rPr>
        <w:t xml:space="preserve"> which will be assigned weights. </w:t>
      </w:r>
      <w:r w:rsidR="00DE2C2C">
        <w:rPr>
          <w:rFonts w:ascii="Times New Roman" w:hAnsi="Times New Roman" w:cs="Times New Roman"/>
          <w:sz w:val="20"/>
          <w:szCs w:val="20"/>
          <w:lang w:val="en-GB"/>
        </w:rPr>
        <w:t xml:space="preserve">Assets with low </w:t>
      </w:r>
      <w:r w:rsidR="00D56EFC">
        <w:rPr>
          <w:rFonts w:ascii="Times New Roman" w:hAnsi="Times New Roman" w:cs="Times New Roman"/>
          <w:sz w:val="20"/>
          <w:szCs w:val="20"/>
          <w:lang w:val="en-GB"/>
        </w:rPr>
        <w:t>S</w:t>
      </w:r>
      <w:r w:rsidR="00DE2C2C">
        <w:rPr>
          <w:rFonts w:ascii="Times New Roman" w:hAnsi="Times New Roman" w:cs="Times New Roman"/>
          <w:sz w:val="20"/>
          <w:szCs w:val="20"/>
          <w:lang w:val="en-GB"/>
        </w:rPr>
        <w:t xml:space="preserve">harpe ratios and positive correlation with assets of high </w:t>
      </w:r>
      <w:r w:rsidR="00D56EFC">
        <w:rPr>
          <w:rFonts w:ascii="Times New Roman" w:hAnsi="Times New Roman" w:cs="Times New Roman"/>
          <w:sz w:val="20"/>
          <w:szCs w:val="20"/>
          <w:lang w:val="en-GB"/>
        </w:rPr>
        <w:t>S</w:t>
      </w:r>
      <w:r w:rsidR="00DE2C2C">
        <w:rPr>
          <w:rFonts w:ascii="Times New Roman" w:hAnsi="Times New Roman" w:cs="Times New Roman"/>
          <w:sz w:val="20"/>
          <w:szCs w:val="20"/>
          <w:lang w:val="en-GB"/>
        </w:rPr>
        <w:t xml:space="preserve">harpe ratio will be assigned almost </w:t>
      </w:r>
      <w:r w:rsidR="008C55DA">
        <w:rPr>
          <w:rFonts w:ascii="Times New Roman" w:hAnsi="Times New Roman" w:cs="Times New Roman"/>
          <w:sz w:val="20"/>
          <w:szCs w:val="20"/>
          <w:lang w:val="en-GB"/>
        </w:rPr>
        <w:t>no</w:t>
      </w:r>
      <w:r w:rsidR="00DE2C2C">
        <w:rPr>
          <w:rFonts w:ascii="Times New Roman" w:hAnsi="Times New Roman" w:cs="Times New Roman"/>
          <w:sz w:val="20"/>
          <w:szCs w:val="20"/>
          <w:lang w:val="en-GB"/>
        </w:rPr>
        <w:t xml:space="preserve"> weight in most of the points on the MVF</w:t>
      </w:r>
      <w:r w:rsidR="00050EE2">
        <w:rPr>
          <w:rFonts w:ascii="Times New Roman" w:hAnsi="Times New Roman" w:cs="Times New Roman"/>
          <w:sz w:val="20"/>
          <w:szCs w:val="20"/>
          <w:lang w:val="en-GB"/>
        </w:rPr>
        <w:t>.</w:t>
      </w:r>
      <w:r w:rsidR="00D56EFC">
        <w:rPr>
          <w:rFonts w:ascii="Times New Roman" w:hAnsi="Times New Roman" w:cs="Times New Roman"/>
          <w:sz w:val="20"/>
          <w:szCs w:val="20"/>
          <w:lang w:val="en-GB"/>
        </w:rPr>
        <w:t xml:space="preserve"> Drastic differences in Sharpe ratio and expected returns</w:t>
      </w:r>
      <w:r w:rsidR="00FE1F7F">
        <w:rPr>
          <w:rFonts w:ascii="Times New Roman" w:hAnsi="Times New Roman" w:cs="Times New Roman"/>
          <w:sz w:val="20"/>
          <w:szCs w:val="20"/>
          <w:lang w:val="en-GB"/>
        </w:rPr>
        <w:t xml:space="preserve"> will cause the weight assignments to be imbalanced (some assets will take almost all the weights while others take none).</w:t>
      </w:r>
    </w:p>
    <w:p w14:paraId="01708FEF" w14:textId="24BC9DBF" w:rsidR="00050EE2" w:rsidRDefault="00050EE2" w:rsidP="00CD78D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  <w:lang w:val="en-GB"/>
        </w:rPr>
      </w:pPr>
      <w:r w:rsidRPr="00767FC4">
        <w:rPr>
          <w:rFonts w:ascii="Times New Roman" w:hAnsi="Times New Roman" w:cs="Times New Roman"/>
          <w:b/>
          <w:sz w:val="20"/>
          <w:szCs w:val="20"/>
          <w:lang w:val="en-GB"/>
        </w:rPr>
        <w:t>Adding assets which has negative correlations</w:t>
      </w:r>
      <w:r>
        <w:rPr>
          <w:rFonts w:ascii="Times New Roman" w:hAnsi="Times New Roman" w:cs="Times New Roman"/>
          <w:sz w:val="20"/>
          <w:szCs w:val="20"/>
          <w:lang w:val="en-GB"/>
        </w:rPr>
        <w:t xml:space="preserve"> with other portfolio assets (e.g. currency assets)</w:t>
      </w:r>
      <w:r w:rsidR="00D01F18">
        <w:rPr>
          <w:rFonts w:ascii="Times New Roman" w:hAnsi="Times New Roman" w:cs="Times New Roman"/>
          <w:sz w:val="20"/>
          <w:szCs w:val="20"/>
          <w:lang w:val="en-GB"/>
        </w:rPr>
        <w:t xml:space="preserve"> improves MVF by </w:t>
      </w:r>
      <w:r w:rsidR="00D01F18" w:rsidRPr="00844A22">
        <w:rPr>
          <w:rFonts w:ascii="Times New Roman" w:hAnsi="Times New Roman" w:cs="Times New Roman"/>
          <w:b/>
          <w:sz w:val="20"/>
          <w:szCs w:val="20"/>
          <w:lang w:val="en-GB"/>
        </w:rPr>
        <w:t>decreasing portfolio variance</w:t>
      </w:r>
      <w:r w:rsidR="00D01F18">
        <w:rPr>
          <w:rFonts w:ascii="Times New Roman" w:hAnsi="Times New Roman" w:cs="Times New Roman"/>
          <w:sz w:val="20"/>
          <w:szCs w:val="20"/>
          <w:lang w:val="en-GB"/>
        </w:rPr>
        <w:t>.</w:t>
      </w:r>
    </w:p>
    <w:p w14:paraId="2863D01B" w14:textId="68B75433" w:rsidR="0088352F" w:rsidRDefault="00DC710E" w:rsidP="00CD78D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>Adding one more of the same asset sub-class is redundant if they have similar returns, standard deviations, and correlations with other assets.</w:t>
      </w:r>
      <w:r w:rsidR="000743B3">
        <w:rPr>
          <w:rFonts w:ascii="Times New Roman" w:hAnsi="Times New Roman" w:cs="Times New Roman"/>
          <w:sz w:val="20"/>
          <w:szCs w:val="20"/>
          <w:lang w:val="en-GB"/>
        </w:rPr>
        <w:t xml:space="preserve"> This is because only the better asset will be used</w:t>
      </w:r>
      <w:r w:rsidR="00541BC4">
        <w:rPr>
          <w:rFonts w:ascii="Times New Roman" w:hAnsi="Times New Roman" w:cs="Times New Roman"/>
          <w:sz w:val="20"/>
          <w:szCs w:val="20"/>
          <w:lang w:val="en-GB"/>
        </w:rPr>
        <w:t>. This is seen later when we created a new portfolio with fewer assets but achieved the same MVF</w:t>
      </w:r>
      <w:r w:rsidR="002D167E">
        <w:rPr>
          <w:rFonts w:ascii="Times New Roman" w:hAnsi="Times New Roman" w:cs="Times New Roman"/>
          <w:sz w:val="20"/>
          <w:szCs w:val="20"/>
          <w:lang w:val="en-GB"/>
        </w:rPr>
        <w:t xml:space="preserve"> as the current 10-ETF portfolio.</w:t>
      </w:r>
    </w:p>
    <w:p w14:paraId="5024F0A0" w14:textId="7FE34A23" w:rsidR="0088352F" w:rsidRPr="009B2FFC" w:rsidRDefault="009B2FFC" w:rsidP="00CD78D7">
      <w:pPr>
        <w:spacing w:line="240" w:lineRule="auto"/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>The reason why we would want to have a more balanced assignment of weights is because we can only limit portfolio weights of certain assets (as tasked in the project guideline</w:t>
      </w:r>
      <w:r w:rsidR="004975A6">
        <w:rPr>
          <w:rFonts w:ascii="Times New Roman" w:hAnsi="Times New Roman" w:cs="Times New Roman"/>
          <w:sz w:val="20"/>
          <w:szCs w:val="20"/>
          <w:lang w:val="en-GB"/>
        </w:rPr>
        <w:t xml:space="preserve">; </w:t>
      </w:r>
      <w:r w:rsidR="006A760A">
        <w:rPr>
          <w:rFonts w:ascii="Times New Roman" w:hAnsi="Times New Roman" w:cs="Times New Roman"/>
          <w:sz w:val="20"/>
          <w:szCs w:val="20"/>
          <w:lang w:val="en-GB"/>
        </w:rPr>
        <w:t xml:space="preserve">implementing </w:t>
      </w:r>
      <w:r w:rsidR="004975A6">
        <w:rPr>
          <w:rFonts w:ascii="Times New Roman" w:hAnsi="Times New Roman" w:cs="Times New Roman"/>
          <w:sz w:val="20"/>
          <w:szCs w:val="20"/>
          <w:lang w:val="en-GB"/>
        </w:rPr>
        <w:t>holdings constraints</w:t>
      </w:r>
      <w:r>
        <w:rPr>
          <w:rFonts w:ascii="Times New Roman" w:hAnsi="Times New Roman" w:cs="Times New Roman"/>
          <w:sz w:val="20"/>
          <w:szCs w:val="20"/>
          <w:lang w:val="en-GB"/>
        </w:rPr>
        <w:t>) if the distribution of weights is not too concentrated in one or two assets</w:t>
      </w:r>
      <w:r w:rsidR="007303F0">
        <w:rPr>
          <w:rFonts w:ascii="Times New Roman" w:hAnsi="Times New Roman" w:cs="Times New Roman"/>
          <w:sz w:val="20"/>
          <w:szCs w:val="20"/>
          <w:lang w:val="en-GB"/>
        </w:rPr>
        <w:t>. Else, there will be no solution to the quadratic problem</w:t>
      </w:r>
      <w:r w:rsidR="00923536">
        <w:rPr>
          <w:rFonts w:ascii="Times New Roman" w:hAnsi="Times New Roman" w:cs="Times New Roman"/>
          <w:sz w:val="20"/>
          <w:szCs w:val="20"/>
          <w:lang w:val="en-GB"/>
        </w:rPr>
        <w:t xml:space="preserve"> for that </w:t>
      </w:r>
      <w:r w:rsidR="00430C79">
        <w:rPr>
          <w:rFonts w:ascii="Times New Roman" w:hAnsi="Times New Roman" w:cs="Times New Roman"/>
          <w:sz w:val="20"/>
          <w:szCs w:val="20"/>
          <w:lang w:val="en-GB"/>
        </w:rPr>
        <w:t xml:space="preserve">particular range of </w:t>
      </w:r>
      <w:r w:rsidR="00923536">
        <w:rPr>
          <w:rFonts w:ascii="Times New Roman" w:hAnsi="Times New Roman" w:cs="Times New Roman"/>
          <w:sz w:val="20"/>
          <w:szCs w:val="20"/>
          <w:lang w:val="en-GB"/>
        </w:rPr>
        <w:t>expected portfolio return</w:t>
      </w:r>
      <w:r w:rsidR="00B06F3B">
        <w:rPr>
          <w:rFonts w:ascii="Times New Roman" w:hAnsi="Times New Roman" w:cs="Times New Roman"/>
          <w:sz w:val="20"/>
          <w:szCs w:val="20"/>
          <w:lang w:val="en-GB"/>
        </w:rPr>
        <w:t>s</w:t>
      </w:r>
      <w:r w:rsidR="00923536">
        <w:rPr>
          <w:rFonts w:ascii="Times New Roman" w:hAnsi="Times New Roman" w:cs="Times New Roman"/>
          <w:sz w:val="20"/>
          <w:szCs w:val="20"/>
          <w:lang w:val="en-GB"/>
        </w:rPr>
        <w:t>.</w:t>
      </w:r>
    </w:p>
    <w:p w14:paraId="5C70B7ED" w14:textId="77E7DB3F" w:rsidR="00167043" w:rsidRDefault="00167043" w:rsidP="00CD78D7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244B0F0D" w14:textId="30CDA647" w:rsidR="002956AA" w:rsidRDefault="00A80F9F" w:rsidP="00CD78D7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lastRenderedPageBreak/>
        <w:t>2</w:t>
      </w:r>
      <w:r w:rsidR="002956AA" w:rsidRPr="009A2796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. </w:t>
      </w:r>
      <w:r w:rsidR="00690CD3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Portfolio </w:t>
      </w:r>
      <w:r w:rsidR="00286674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Performance </w:t>
      </w:r>
      <w:r w:rsidR="00B34E6F">
        <w:rPr>
          <w:rFonts w:ascii="Times New Roman" w:hAnsi="Times New Roman" w:cs="Times New Roman"/>
          <w:b/>
          <w:bCs/>
          <w:sz w:val="28"/>
          <w:szCs w:val="28"/>
          <w:lang w:val="en-GB"/>
        </w:rPr>
        <w:t>Analysis</w:t>
      </w:r>
    </w:p>
    <w:p w14:paraId="4DF12046" w14:textId="52C53EC5" w:rsidR="008B1E35" w:rsidRDefault="00080028" w:rsidP="00CD78D7">
      <w:pPr>
        <w:spacing w:line="240" w:lineRule="auto"/>
        <w:rPr>
          <w:rFonts w:ascii="Times New Roman" w:hAnsi="Times New Roman" w:cs="Times New Roman"/>
          <w:sz w:val="20"/>
          <w:szCs w:val="20"/>
          <w:lang w:val="en-GB"/>
        </w:rPr>
      </w:pPr>
      <w:r w:rsidRPr="005C177C">
        <w:rPr>
          <w:rFonts w:ascii="Times New Roman" w:hAnsi="Times New Roman" w:cs="Times New Roman"/>
          <w:sz w:val="20"/>
          <w:szCs w:val="20"/>
          <w:lang w:val="en-GB"/>
        </w:rPr>
        <w:t>2</w:t>
      </w:r>
      <w:r w:rsidR="008B1E35" w:rsidRPr="005C177C">
        <w:rPr>
          <w:rFonts w:ascii="Times New Roman" w:hAnsi="Times New Roman" w:cs="Times New Roman"/>
          <w:sz w:val="20"/>
          <w:szCs w:val="20"/>
          <w:lang w:val="en-GB"/>
        </w:rPr>
        <w:t xml:space="preserve">.1 </w:t>
      </w:r>
      <w:r w:rsidR="00571E3C">
        <w:rPr>
          <w:rFonts w:ascii="Times New Roman" w:hAnsi="Times New Roman" w:cs="Times New Roman"/>
          <w:sz w:val="20"/>
          <w:szCs w:val="20"/>
          <w:lang w:val="en-GB"/>
        </w:rPr>
        <w:t>Tidying of Portfolio</w:t>
      </w:r>
    </w:p>
    <w:p w14:paraId="35AB2C3D" w14:textId="53C1E6A9" w:rsidR="002C57A2" w:rsidRDefault="002F5D87" w:rsidP="00CD78D7">
      <w:pPr>
        <w:spacing w:line="240" w:lineRule="auto"/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 xml:space="preserve">We removed the </w:t>
      </w:r>
      <w:r w:rsidR="002C57A2">
        <w:rPr>
          <w:rFonts w:ascii="Times New Roman" w:hAnsi="Times New Roman" w:cs="Times New Roman"/>
          <w:sz w:val="20"/>
          <w:szCs w:val="20"/>
          <w:lang w:val="en-GB"/>
        </w:rPr>
        <w:t>R</w:t>
      </w:r>
      <w:r w:rsidR="00544673">
        <w:rPr>
          <w:rFonts w:ascii="Times New Roman" w:hAnsi="Times New Roman" w:cs="Times New Roman"/>
          <w:sz w:val="20"/>
          <w:szCs w:val="20"/>
          <w:lang w:val="en-GB"/>
        </w:rPr>
        <w:t>eal-</w:t>
      </w:r>
      <w:r w:rsidR="002C57A2">
        <w:rPr>
          <w:rFonts w:ascii="Times New Roman" w:hAnsi="Times New Roman" w:cs="Times New Roman"/>
          <w:sz w:val="20"/>
          <w:szCs w:val="20"/>
          <w:lang w:val="en-GB"/>
        </w:rPr>
        <w:t>E</w:t>
      </w:r>
      <w:r w:rsidR="00544673">
        <w:rPr>
          <w:rFonts w:ascii="Times New Roman" w:hAnsi="Times New Roman" w:cs="Times New Roman"/>
          <w:sz w:val="20"/>
          <w:szCs w:val="20"/>
          <w:lang w:val="en-GB"/>
        </w:rPr>
        <w:t xml:space="preserve">state, </w:t>
      </w:r>
      <w:r w:rsidR="00FC2D66">
        <w:rPr>
          <w:rFonts w:ascii="Times New Roman" w:hAnsi="Times New Roman" w:cs="Times New Roman"/>
          <w:sz w:val="20"/>
          <w:szCs w:val="20"/>
          <w:lang w:val="en-GB"/>
        </w:rPr>
        <w:t>Euro</w:t>
      </w:r>
      <w:r w:rsidR="00544673">
        <w:rPr>
          <w:rFonts w:ascii="Times New Roman" w:hAnsi="Times New Roman" w:cs="Times New Roman"/>
          <w:sz w:val="20"/>
          <w:szCs w:val="20"/>
          <w:lang w:val="en-GB"/>
        </w:rPr>
        <w:t>-</w:t>
      </w:r>
      <w:r w:rsidR="00D72C15">
        <w:rPr>
          <w:rFonts w:ascii="Times New Roman" w:hAnsi="Times New Roman" w:cs="Times New Roman"/>
          <w:sz w:val="20"/>
          <w:szCs w:val="20"/>
          <w:lang w:val="en-GB"/>
        </w:rPr>
        <w:t>equities</w:t>
      </w:r>
      <w:r w:rsidR="00544673">
        <w:rPr>
          <w:rFonts w:ascii="Times New Roman" w:hAnsi="Times New Roman" w:cs="Times New Roman"/>
          <w:sz w:val="20"/>
          <w:szCs w:val="20"/>
          <w:lang w:val="en-GB"/>
        </w:rPr>
        <w:t xml:space="preserve">, and </w:t>
      </w:r>
      <w:r w:rsidR="00633BEC">
        <w:rPr>
          <w:rFonts w:ascii="Times New Roman" w:hAnsi="Times New Roman" w:cs="Times New Roman"/>
          <w:sz w:val="20"/>
          <w:szCs w:val="20"/>
          <w:lang w:val="en-GB"/>
        </w:rPr>
        <w:t>A</w:t>
      </w:r>
      <w:r w:rsidR="00A84658">
        <w:rPr>
          <w:rFonts w:ascii="Times New Roman" w:hAnsi="Times New Roman" w:cs="Times New Roman"/>
          <w:sz w:val="20"/>
          <w:szCs w:val="20"/>
          <w:lang w:val="en-GB"/>
        </w:rPr>
        <w:t>sian-</w:t>
      </w:r>
      <w:r w:rsidR="0094253B">
        <w:rPr>
          <w:rFonts w:ascii="Times New Roman" w:hAnsi="Times New Roman" w:cs="Times New Roman"/>
          <w:sz w:val="20"/>
          <w:szCs w:val="20"/>
          <w:lang w:val="en-GB"/>
        </w:rPr>
        <w:t>equities</w:t>
      </w:r>
      <w:r w:rsidR="00544673">
        <w:rPr>
          <w:rFonts w:ascii="Times New Roman" w:hAnsi="Times New Roman" w:cs="Times New Roman"/>
          <w:sz w:val="20"/>
          <w:szCs w:val="20"/>
          <w:lang w:val="en-GB"/>
        </w:rPr>
        <w:t xml:space="preserve"> ETFs</w:t>
      </w:r>
      <w:r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="0004622F">
        <w:rPr>
          <w:rFonts w:ascii="Times New Roman" w:hAnsi="Times New Roman" w:cs="Times New Roman"/>
          <w:sz w:val="20"/>
          <w:szCs w:val="20"/>
          <w:lang w:val="en-GB"/>
        </w:rPr>
        <w:t xml:space="preserve">from portfolio 1 to create a new portfolio consisting of </w:t>
      </w:r>
      <w:r w:rsidR="006321D6">
        <w:rPr>
          <w:rFonts w:ascii="Times New Roman" w:hAnsi="Times New Roman" w:cs="Times New Roman"/>
          <w:sz w:val="20"/>
          <w:szCs w:val="20"/>
          <w:lang w:val="en-GB"/>
        </w:rPr>
        <w:t>6</w:t>
      </w:r>
      <w:r w:rsidR="0004622F">
        <w:rPr>
          <w:rFonts w:ascii="Times New Roman" w:hAnsi="Times New Roman" w:cs="Times New Roman"/>
          <w:sz w:val="20"/>
          <w:szCs w:val="20"/>
          <w:lang w:val="en-GB"/>
        </w:rPr>
        <w:t xml:space="preserve"> assets</w:t>
      </w:r>
      <w:r w:rsidR="00597597">
        <w:rPr>
          <w:rFonts w:ascii="Times New Roman" w:hAnsi="Times New Roman" w:cs="Times New Roman"/>
          <w:sz w:val="20"/>
          <w:szCs w:val="20"/>
          <w:lang w:val="en-GB"/>
        </w:rPr>
        <w:t>.</w:t>
      </w:r>
      <w:r w:rsidR="002C57A2">
        <w:rPr>
          <w:rFonts w:ascii="Times New Roman" w:hAnsi="Times New Roman" w:cs="Times New Roman"/>
          <w:sz w:val="20"/>
          <w:szCs w:val="20"/>
          <w:lang w:val="en-GB"/>
        </w:rPr>
        <w:t xml:space="preserve"> The reason</w:t>
      </w:r>
      <w:r w:rsidR="00D72C15">
        <w:rPr>
          <w:rFonts w:ascii="Times New Roman" w:hAnsi="Times New Roman" w:cs="Times New Roman"/>
          <w:sz w:val="20"/>
          <w:szCs w:val="20"/>
          <w:lang w:val="en-GB"/>
        </w:rPr>
        <w:t xml:space="preserve"> for the removal of </w:t>
      </w:r>
      <w:r w:rsidR="00A1229D">
        <w:rPr>
          <w:rFonts w:ascii="Times New Roman" w:hAnsi="Times New Roman" w:cs="Times New Roman"/>
          <w:sz w:val="20"/>
          <w:szCs w:val="20"/>
          <w:lang w:val="en-GB"/>
        </w:rPr>
        <w:t>Euro</w:t>
      </w:r>
      <w:r w:rsidR="001042D2">
        <w:rPr>
          <w:rFonts w:ascii="Times New Roman" w:hAnsi="Times New Roman" w:cs="Times New Roman"/>
          <w:sz w:val="20"/>
          <w:szCs w:val="20"/>
          <w:lang w:val="en-GB"/>
        </w:rPr>
        <w:t>pe</w:t>
      </w:r>
      <w:r w:rsidR="00A1229D">
        <w:rPr>
          <w:rFonts w:ascii="Times New Roman" w:hAnsi="Times New Roman" w:cs="Times New Roman"/>
          <w:sz w:val="20"/>
          <w:szCs w:val="20"/>
          <w:lang w:val="en-GB"/>
        </w:rPr>
        <w:t xml:space="preserve"> and Asian equities is due to their high</w:t>
      </w:r>
      <w:r w:rsidR="00B95978">
        <w:rPr>
          <w:rFonts w:ascii="Times New Roman" w:hAnsi="Times New Roman" w:cs="Times New Roman"/>
          <w:sz w:val="20"/>
          <w:szCs w:val="20"/>
          <w:lang w:val="en-GB"/>
        </w:rPr>
        <w:t>, positive</w:t>
      </w:r>
      <w:r w:rsidR="00A1229D">
        <w:rPr>
          <w:rFonts w:ascii="Times New Roman" w:hAnsi="Times New Roman" w:cs="Times New Roman"/>
          <w:sz w:val="20"/>
          <w:szCs w:val="20"/>
          <w:lang w:val="en-GB"/>
        </w:rPr>
        <w:t xml:space="preserve"> correlation with </w:t>
      </w:r>
      <w:r w:rsidR="000C59CE">
        <w:rPr>
          <w:rFonts w:ascii="Times New Roman" w:hAnsi="Times New Roman" w:cs="Times New Roman"/>
          <w:sz w:val="20"/>
          <w:szCs w:val="20"/>
          <w:lang w:val="en-GB"/>
        </w:rPr>
        <w:t>QQQ</w:t>
      </w:r>
      <w:r w:rsidR="001D3AED">
        <w:rPr>
          <w:rFonts w:ascii="Times New Roman" w:hAnsi="Times New Roman" w:cs="Times New Roman"/>
          <w:sz w:val="20"/>
          <w:szCs w:val="20"/>
          <w:lang w:val="en-GB"/>
        </w:rPr>
        <w:t xml:space="preserve">. </w:t>
      </w:r>
    </w:p>
    <w:p w14:paraId="7405DF69" w14:textId="560D9D3F" w:rsidR="002F5D87" w:rsidRDefault="00597597" w:rsidP="00CD78D7">
      <w:pPr>
        <w:spacing w:line="240" w:lineRule="auto"/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 xml:space="preserve">Even though we were not able to </w:t>
      </w:r>
      <w:r w:rsidR="005121FC">
        <w:rPr>
          <w:rFonts w:ascii="Times New Roman" w:hAnsi="Times New Roman" w:cs="Times New Roman"/>
          <w:sz w:val="20"/>
          <w:szCs w:val="20"/>
          <w:lang w:val="en-GB"/>
        </w:rPr>
        <w:t xml:space="preserve">shift the MVF </w:t>
      </w:r>
      <w:r w:rsidR="00252344">
        <w:rPr>
          <w:rFonts w:ascii="Times New Roman" w:hAnsi="Times New Roman" w:cs="Times New Roman"/>
          <w:sz w:val="20"/>
          <w:szCs w:val="20"/>
          <w:lang w:val="en-GB"/>
        </w:rPr>
        <w:t>of the portfolio further Southwest</w:t>
      </w:r>
      <w:r w:rsidR="00D26574">
        <w:rPr>
          <w:rFonts w:ascii="Times New Roman" w:hAnsi="Times New Roman" w:cs="Times New Roman"/>
          <w:sz w:val="20"/>
          <w:szCs w:val="20"/>
          <w:lang w:val="en-GB"/>
        </w:rPr>
        <w:t xml:space="preserve"> (As </w:t>
      </w:r>
      <w:r w:rsidR="00F9636C">
        <w:rPr>
          <w:rFonts w:ascii="Times New Roman" w:hAnsi="Times New Roman" w:cs="Times New Roman"/>
          <w:sz w:val="20"/>
          <w:szCs w:val="20"/>
          <w:lang w:val="en-GB"/>
        </w:rPr>
        <w:t xml:space="preserve">we were unable to find identify ETFs with better </w:t>
      </w:r>
      <w:r w:rsidR="00303BE1">
        <w:rPr>
          <w:rFonts w:ascii="Times New Roman" w:hAnsi="Times New Roman" w:cs="Times New Roman"/>
          <w:sz w:val="20"/>
          <w:szCs w:val="20"/>
          <w:lang w:val="en-GB"/>
        </w:rPr>
        <w:t>Sharpe Ratio</w:t>
      </w:r>
      <w:r w:rsidR="00040975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="00A572CB">
        <w:rPr>
          <w:rFonts w:ascii="Times New Roman" w:hAnsi="Times New Roman" w:cs="Times New Roman"/>
          <w:sz w:val="20"/>
          <w:szCs w:val="20"/>
          <w:lang w:val="en-GB"/>
        </w:rPr>
        <w:t xml:space="preserve">as we are </w:t>
      </w:r>
      <w:r w:rsidR="00D643D1">
        <w:rPr>
          <w:rFonts w:ascii="Times New Roman" w:hAnsi="Times New Roman" w:cs="Times New Roman"/>
          <w:sz w:val="20"/>
          <w:szCs w:val="20"/>
          <w:lang w:val="en-GB"/>
        </w:rPr>
        <w:t xml:space="preserve">constrained </w:t>
      </w:r>
      <w:r w:rsidR="00A572CB">
        <w:rPr>
          <w:rFonts w:ascii="Times New Roman" w:hAnsi="Times New Roman" w:cs="Times New Roman"/>
          <w:sz w:val="20"/>
          <w:szCs w:val="20"/>
          <w:lang w:val="en-GB"/>
        </w:rPr>
        <w:t xml:space="preserve">by the scope of the project in the types of asset </w:t>
      </w:r>
      <w:r w:rsidR="00D858E6">
        <w:rPr>
          <w:rFonts w:ascii="Times New Roman" w:hAnsi="Times New Roman" w:cs="Times New Roman"/>
          <w:sz w:val="20"/>
          <w:szCs w:val="20"/>
          <w:lang w:val="en-GB"/>
        </w:rPr>
        <w:t>sub-</w:t>
      </w:r>
      <w:r w:rsidR="00A572CB">
        <w:rPr>
          <w:rFonts w:ascii="Times New Roman" w:hAnsi="Times New Roman" w:cs="Times New Roman"/>
          <w:sz w:val="20"/>
          <w:szCs w:val="20"/>
          <w:lang w:val="en-GB"/>
        </w:rPr>
        <w:t>classes to choose from)</w:t>
      </w:r>
      <w:r w:rsidR="00252344">
        <w:rPr>
          <w:rFonts w:ascii="Times New Roman" w:hAnsi="Times New Roman" w:cs="Times New Roman"/>
          <w:sz w:val="20"/>
          <w:szCs w:val="20"/>
          <w:lang w:val="en-GB"/>
        </w:rPr>
        <w:t>, however</w:t>
      </w:r>
      <w:r w:rsidR="00892D13">
        <w:rPr>
          <w:rFonts w:ascii="Times New Roman" w:hAnsi="Times New Roman" w:cs="Times New Roman"/>
          <w:sz w:val="20"/>
          <w:szCs w:val="20"/>
          <w:lang w:val="en-GB"/>
        </w:rPr>
        <w:t>,</w:t>
      </w:r>
      <w:r w:rsidR="00252344">
        <w:rPr>
          <w:rFonts w:ascii="Times New Roman" w:hAnsi="Times New Roman" w:cs="Times New Roman"/>
          <w:sz w:val="20"/>
          <w:szCs w:val="20"/>
          <w:lang w:val="en-GB"/>
        </w:rPr>
        <w:t xml:space="preserve"> we managed to create the same MVF </w:t>
      </w:r>
      <w:r w:rsidR="007B741E">
        <w:rPr>
          <w:rFonts w:ascii="Times New Roman" w:hAnsi="Times New Roman" w:cs="Times New Roman"/>
          <w:sz w:val="20"/>
          <w:szCs w:val="20"/>
          <w:lang w:val="en-GB"/>
        </w:rPr>
        <w:t>using fewer assets</w:t>
      </w:r>
      <w:r w:rsidR="00D40C30">
        <w:rPr>
          <w:rFonts w:ascii="Times New Roman" w:hAnsi="Times New Roman" w:cs="Times New Roman"/>
          <w:sz w:val="20"/>
          <w:szCs w:val="20"/>
          <w:lang w:val="en-GB"/>
        </w:rPr>
        <w:t xml:space="preserve"> (As seen below, </w:t>
      </w:r>
      <w:r w:rsidR="003D1063">
        <w:rPr>
          <w:rFonts w:ascii="Times New Roman" w:hAnsi="Times New Roman" w:cs="Times New Roman"/>
          <w:sz w:val="20"/>
          <w:szCs w:val="20"/>
          <w:lang w:val="en-GB"/>
        </w:rPr>
        <w:t xml:space="preserve">the two MVFs from the old and new portfolio are almost the same, with </w:t>
      </w:r>
      <w:r w:rsidR="00FE69FE">
        <w:rPr>
          <w:rFonts w:ascii="Times New Roman" w:hAnsi="Times New Roman" w:cs="Times New Roman"/>
          <w:sz w:val="20"/>
          <w:szCs w:val="20"/>
          <w:lang w:val="en-GB"/>
        </w:rPr>
        <w:t>the new portfolio consisting of only 6 assets)</w:t>
      </w:r>
      <w:r w:rsidR="00C36357">
        <w:rPr>
          <w:rFonts w:ascii="Times New Roman" w:hAnsi="Times New Roman" w:cs="Times New Roman"/>
          <w:sz w:val="20"/>
          <w:szCs w:val="20"/>
          <w:lang w:val="en-GB"/>
        </w:rPr>
        <w:t>.</w:t>
      </w:r>
    </w:p>
    <w:p w14:paraId="526C8EC9" w14:textId="77777777" w:rsidR="00E353B5" w:rsidRDefault="00E353B5" w:rsidP="00CD78D7">
      <w:pPr>
        <w:spacing w:line="240" w:lineRule="auto"/>
        <w:rPr>
          <w:rFonts w:ascii="Times New Roman" w:hAnsi="Times New Roman" w:cs="Times New Roman"/>
          <w:sz w:val="20"/>
          <w:szCs w:val="20"/>
          <w:lang w:val="en-GB"/>
        </w:rPr>
      </w:pPr>
    </w:p>
    <w:p w14:paraId="0483975B" w14:textId="4811F9D2" w:rsidR="00597597" w:rsidRDefault="000A729A" w:rsidP="00CD78D7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  <w:lang w:val="en-GB"/>
        </w:rPr>
      </w:pPr>
      <w:r w:rsidRPr="000A729A">
        <w:rPr>
          <w:noProof/>
        </w:rPr>
        <w:drawing>
          <wp:inline distT="0" distB="0" distL="0" distR="0" wp14:anchorId="74A9BE82" wp14:editId="310E59FC">
            <wp:extent cx="3703497" cy="2285451"/>
            <wp:effectExtent l="0" t="0" r="0" b="635"/>
            <wp:docPr id="11" name="Picture 1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line char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06580" cy="2287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F4381" w14:textId="46640888" w:rsidR="003A2133" w:rsidRDefault="003A2133" w:rsidP="00CD78D7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 xml:space="preserve">Fig </w:t>
      </w:r>
      <w:r w:rsidR="00DE1DE5">
        <w:rPr>
          <w:rFonts w:ascii="Times New Roman" w:hAnsi="Times New Roman" w:cs="Times New Roman"/>
          <w:sz w:val="20"/>
          <w:szCs w:val="20"/>
          <w:lang w:val="en-GB"/>
        </w:rPr>
        <w:t>4</w:t>
      </w:r>
      <w:r>
        <w:rPr>
          <w:rFonts w:ascii="Times New Roman" w:hAnsi="Times New Roman" w:cs="Times New Roman"/>
          <w:sz w:val="20"/>
          <w:szCs w:val="20"/>
          <w:lang w:val="en-GB"/>
        </w:rPr>
        <w:t xml:space="preserve">: </w:t>
      </w:r>
      <w:r w:rsidR="00DE1DE5">
        <w:rPr>
          <w:rFonts w:ascii="Times New Roman" w:hAnsi="Times New Roman" w:cs="Times New Roman"/>
          <w:sz w:val="20"/>
          <w:szCs w:val="20"/>
          <w:lang w:val="en-GB"/>
        </w:rPr>
        <w:t>Comparison of MVP of new and old portfolio</w:t>
      </w:r>
    </w:p>
    <w:p w14:paraId="01DCBC1E" w14:textId="76B9947C" w:rsidR="000A6034" w:rsidRDefault="0025182A" w:rsidP="00CD78D7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  <w:lang w:val="en-GB"/>
        </w:rPr>
      </w:pPr>
      <w:r w:rsidRPr="0025182A">
        <w:rPr>
          <w:noProof/>
        </w:rPr>
        <w:drawing>
          <wp:inline distT="0" distB="0" distL="0" distR="0" wp14:anchorId="20286349" wp14:editId="64086103">
            <wp:extent cx="5050367" cy="3116612"/>
            <wp:effectExtent l="0" t="0" r="0" b="7620"/>
            <wp:docPr id="12" name="Picture 12" descr="Char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dia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54945" cy="3119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98B84" w14:textId="00A38C92" w:rsidR="00B74EE4" w:rsidRDefault="0025182A" w:rsidP="00CD78D7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 xml:space="preserve">Fig </w:t>
      </w:r>
      <w:r w:rsidR="00FC71C5">
        <w:rPr>
          <w:rFonts w:ascii="Times New Roman" w:hAnsi="Times New Roman" w:cs="Times New Roman"/>
          <w:sz w:val="20"/>
          <w:szCs w:val="20"/>
          <w:lang w:val="en-GB"/>
        </w:rPr>
        <w:t>5</w:t>
      </w:r>
      <w:r>
        <w:rPr>
          <w:rFonts w:ascii="Times New Roman" w:hAnsi="Times New Roman" w:cs="Times New Roman"/>
          <w:sz w:val="20"/>
          <w:szCs w:val="20"/>
          <w:lang w:val="en-GB"/>
        </w:rPr>
        <w:t xml:space="preserve">: </w:t>
      </w:r>
      <w:r w:rsidR="003D116B">
        <w:rPr>
          <w:rFonts w:ascii="Times New Roman" w:hAnsi="Times New Roman" w:cs="Times New Roman"/>
          <w:sz w:val="20"/>
          <w:szCs w:val="20"/>
          <w:lang w:val="en-GB"/>
        </w:rPr>
        <w:t>Plot of new portfolio asset weights along MVF</w:t>
      </w:r>
    </w:p>
    <w:p w14:paraId="74C2F574" w14:textId="128E185C" w:rsidR="0005238F" w:rsidRPr="00C74C5B" w:rsidRDefault="008B2D0A" w:rsidP="00CD78D7">
      <w:pPr>
        <w:spacing w:line="240" w:lineRule="auto"/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>With the new portfolio</w:t>
      </w:r>
      <w:r w:rsidR="007A46F7">
        <w:rPr>
          <w:rFonts w:ascii="Times New Roman" w:hAnsi="Times New Roman" w:cs="Times New Roman"/>
          <w:sz w:val="20"/>
          <w:szCs w:val="20"/>
          <w:lang w:val="en-GB"/>
        </w:rPr>
        <w:t xml:space="preserve">, we are now able to locate a region of expected portfolio return </w:t>
      </w:r>
      <w:r w:rsidR="00F1396A">
        <w:rPr>
          <w:rFonts w:ascii="Times New Roman" w:hAnsi="Times New Roman" w:cs="Times New Roman"/>
          <w:sz w:val="20"/>
          <w:szCs w:val="20"/>
          <w:lang w:val="en-GB"/>
        </w:rPr>
        <w:t>between 0</w:t>
      </w:r>
      <w:r w:rsidR="00A85402">
        <w:rPr>
          <w:rFonts w:ascii="Times New Roman" w:hAnsi="Times New Roman" w:cs="Times New Roman"/>
          <w:sz w:val="20"/>
          <w:szCs w:val="20"/>
          <w:lang w:val="en-GB"/>
        </w:rPr>
        <w:t>%</w:t>
      </w:r>
      <w:r w:rsidR="00917CCB">
        <w:rPr>
          <w:rFonts w:ascii="Times New Roman" w:hAnsi="Times New Roman" w:cs="Times New Roman"/>
          <w:sz w:val="20"/>
          <w:szCs w:val="20"/>
          <w:lang w:val="en-GB"/>
        </w:rPr>
        <w:t xml:space="preserve"> to 0.0</w:t>
      </w:r>
      <w:r w:rsidR="00F5117D">
        <w:rPr>
          <w:rFonts w:ascii="Times New Roman" w:hAnsi="Times New Roman" w:cs="Times New Roman"/>
          <w:sz w:val="20"/>
          <w:szCs w:val="20"/>
          <w:lang w:val="en-GB"/>
        </w:rPr>
        <w:t>4</w:t>
      </w:r>
      <w:r w:rsidR="001C1F21">
        <w:rPr>
          <w:rFonts w:ascii="Times New Roman" w:hAnsi="Times New Roman" w:cs="Times New Roman"/>
          <w:sz w:val="20"/>
          <w:szCs w:val="20"/>
          <w:lang w:val="en-GB"/>
        </w:rPr>
        <w:t>%</w:t>
      </w:r>
      <w:r w:rsidR="00BF0E58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="004D34D5">
        <w:rPr>
          <w:rFonts w:ascii="Times New Roman" w:hAnsi="Times New Roman" w:cs="Times New Roman"/>
          <w:sz w:val="20"/>
          <w:szCs w:val="20"/>
          <w:lang w:val="en-GB"/>
        </w:rPr>
        <w:t>(daily ret</w:t>
      </w:r>
      <w:r w:rsidR="00770EAE">
        <w:rPr>
          <w:rFonts w:ascii="Times New Roman" w:hAnsi="Times New Roman" w:cs="Times New Roman"/>
          <w:sz w:val="20"/>
          <w:szCs w:val="20"/>
          <w:lang w:val="en-GB"/>
        </w:rPr>
        <w:t xml:space="preserve">urn) </w:t>
      </w:r>
      <w:r w:rsidR="00BF0E58">
        <w:rPr>
          <w:rFonts w:ascii="Times New Roman" w:hAnsi="Times New Roman" w:cs="Times New Roman"/>
          <w:sz w:val="20"/>
          <w:szCs w:val="20"/>
          <w:lang w:val="en-GB"/>
        </w:rPr>
        <w:t>between which mo</w:t>
      </w:r>
      <w:r w:rsidR="00F564C2">
        <w:rPr>
          <w:rFonts w:ascii="Times New Roman" w:hAnsi="Times New Roman" w:cs="Times New Roman"/>
          <w:sz w:val="20"/>
          <w:szCs w:val="20"/>
          <w:lang w:val="en-GB"/>
        </w:rPr>
        <w:t xml:space="preserve">st of </w:t>
      </w:r>
      <w:r w:rsidR="001125F2">
        <w:rPr>
          <w:rFonts w:ascii="Times New Roman" w:hAnsi="Times New Roman" w:cs="Times New Roman"/>
          <w:sz w:val="20"/>
          <w:szCs w:val="20"/>
          <w:lang w:val="en-GB"/>
        </w:rPr>
        <w:t xml:space="preserve">the ETFs in our portfolio </w:t>
      </w:r>
      <w:r w:rsidR="00E33117">
        <w:rPr>
          <w:rFonts w:ascii="Times New Roman" w:hAnsi="Times New Roman" w:cs="Times New Roman"/>
          <w:sz w:val="20"/>
          <w:szCs w:val="20"/>
          <w:lang w:val="en-GB"/>
        </w:rPr>
        <w:t>have a relatively balanced weight assignment.</w:t>
      </w:r>
      <w:r w:rsidR="004D34D5">
        <w:rPr>
          <w:rFonts w:ascii="Times New Roman" w:hAnsi="Times New Roman" w:cs="Times New Roman"/>
          <w:sz w:val="20"/>
          <w:szCs w:val="20"/>
          <w:lang w:val="en-GB"/>
        </w:rPr>
        <w:t xml:space="preserve"> We then use</w:t>
      </w:r>
      <w:r w:rsidR="00770EAE">
        <w:rPr>
          <w:rFonts w:ascii="Times New Roman" w:hAnsi="Times New Roman" w:cs="Times New Roman"/>
          <w:sz w:val="20"/>
          <w:szCs w:val="20"/>
          <w:lang w:val="en-GB"/>
        </w:rPr>
        <w:t xml:space="preserve">d this range of expected portfolio returns to implement </w:t>
      </w:r>
      <w:r w:rsidR="00E8447C">
        <w:rPr>
          <w:rFonts w:ascii="Times New Roman" w:hAnsi="Times New Roman" w:cs="Times New Roman"/>
          <w:sz w:val="20"/>
          <w:szCs w:val="20"/>
          <w:lang w:val="en-GB"/>
        </w:rPr>
        <w:t xml:space="preserve">holding </w:t>
      </w:r>
      <w:r w:rsidR="00770EAE">
        <w:rPr>
          <w:rFonts w:ascii="Times New Roman" w:hAnsi="Times New Roman" w:cs="Times New Roman"/>
          <w:sz w:val="20"/>
          <w:szCs w:val="20"/>
          <w:lang w:val="en-GB"/>
        </w:rPr>
        <w:t xml:space="preserve">constraints </w:t>
      </w:r>
      <w:r w:rsidR="00236E41">
        <w:rPr>
          <w:rFonts w:ascii="Times New Roman" w:hAnsi="Times New Roman" w:cs="Times New Roman"/>
          <w:sz w:val="20"/>
          <w:szCs w:val="20"/>
          <w:lang w:val="en-GB"/>
        </w:rPr>
        <w:t>and observe the changes to th</w:t>
      </w:r>
      <w:r w:rsidR="00DE438F">
        <w:rPr>
          <w:rFonts w:ascii="Times New Roman" w:hAnsi="Times New Roman" w:cs="Times New Roman"/>
          <w:sz w:val="20"/>
          <w:szCs w:val="20"/>
          <w:lang w:val="en-GB"/>
        </w:rPr>
        <w:t>e MVF of the portfolio.</w:t>
      </w:r>
    </w:p>
    <w:p w14:paraId="43F859E5" w14:textId="160CE325" w:rsidR="00080028" w:rsidRDefault="00080028" w:rsidP="00CD78D7">
      <w:pPr>
        <w:spacing w:line="240" w:lineRule="auto"/>
        <w:rPr>
          <w:rFonts w:ascii="Times New Roman" w:hAnsi="Times New Roman" w:cs="Times New Roman"/>
          <w:sz w:val="20"/>
          <w:szCs w:val="20"/>
          <w:lang w:val="en-GB"/>
        </w:rPr>
      </w:pPr>
      <w:r w:rsidRPr="00E8447C">
        <w:rPr>
          <w:rFonts w:ascii="Times New Roman" w:hAnsi="Times New Roman" w:cs="Times New Roman"/>
          <w:sz w:val="20"/>
          <w:szCs w:val="20"/>
          <w:lang w:val="en-GB"/>
        </w:rPr>
        <w:lastRenderedPageBreak/>
        <w:t xml:space="preserve">2.2 </w:t>
      </w:r>
      <w:r w:rsidR="007340DF" w:rsidRPr="00E8447C">
        <w:rPr>
          <w:rFonts w:ascii="Times New Roman" w:hAnsi="Times New Roman" w:cs="Times New Roman"/>
          <w:sz w:val="20"/>
          <w:szCs w:val="20"/>
          <w:lang w:val="en-GB"/>
        </w:rPr>
        <w:t>Implementing Holding C</w:t>
      </w:r>
      <w:r w:rsidRPr="00E8447C">
        <w:rPr>
          <w:rFonts w:ascii="Times New Roman" w:hAnsi="Times New Roman" w:cs="Times New Roman"/>
          <w:sz w:val="20"/>
          <w:szCs w:val="20"/>
          <w:lang w:val="en-GB"/>
        </w:rPr>
        <w:t>onstraints</w:t>
      </w:r>
      <w:r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</w:p>
    <w:p w14:paraId="669F2889" w14:textId="167BF278" w:rsidR="00FE43EB" w:rsidRDefault="00FE43EB" w:rsidP="00CD78D7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  <w:lang w:val="en-GB"/>
        </w:rPr>
      </w:pPr>
      <w:r w:rsidRPr="00FE43EB">
        <w:rPr>
          <w:noProof/>
        </w:rPr>
        <w:drawing>
          <wp:inline distT="0" distB="0" distL="0" distR="0" wp14:anchorId="2C1199AC" wp14:editId="6DB0FC81">
            <wp:extent cx="4045753" cy="2495314"/>
            <wp:effectExtent l="0" t="0" r="0" b="635"/>
            <wp:docPr id="13" name="Picture 1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scatter char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51769" cy="249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C8AC2" w14:textId="5BD6ED79" w:rsidR="00FE43EB" w:rsidRDefault="00FE43EB" w:rsidP="00CD78D7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 xml:space="preserve">Fig </w:t>
      </w:r>
      <w:r w:rsidR="008465E0">
        <w:rPr>
          <w:rFonts w:ascii="Times New Roman" w:hAnsi="Times New Roman" w:cs="Times New Roman"/>
          <w:sz w:val="20"/>
          <w:szCs w:val="20"/>
          <w:lang w:val="en-GB"/>
        </w:rPr>
        <w:t>6</w:t>
      </w:r>
      <w:r>
        <w:rPr>
          <w:rFonts w:ascii="Times New Roman" w:hAnsi="Times New Roman" w:cs="Times New Roman"/>
          <w:sz w:val="20"/>
          <w:szCs w:val="20"/>
          <w:lang w:val="en-GB"/>
        </w:rPr>
        <w:t>: MVF Comparison of 10% equity holding constraint vs no constraint</w:t>
      </w:r>
    </w:p>
    <w:p w14:paraId="4E3AFA08" w14:textId="0B10E1A8" w:rsidR="00A37928" w:rsidRDefault="009D1449" w:rsidP="00CD78D7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  <w:lang w:val="en-GB"/>
        </w:rPr>
      </w:pPr>
      <w:r w:rsidRPr="009D1449">
        <w:rPr>
          <w:noProof/>
        </w:rPr>
        <w:drawing>
          <wp:inline distT="0" distB="0" distL="0" distR="0" wp14:anchorId="2FCF8F3A" wp14:editId="18448213">
            <wp:extent cx="5731510" cy="3535045"/>
            <wp:effectExtent l="0" t="0" r="2540" b="8255"/>
            <wp:docPr id="9" name="Picture 9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 with low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0C260" w14:textId="439D48AF" w:rsidR="00A37928" w:rsidRDefault="00A37928" w:rsidP="00CD78D7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 xml:space="preserve">Fig </w:t>
      </w:r>
      <w:r w:rsidR="005E7AEA">
        <w:rPr>
          <w:rFonts w:ascii="Times New Roman" w:hAnsi="Times New Roman" w:cs="Times New Roman"/>
          <w:sz w:val="20"/>
          <w:szCs w:val="20"/>
          <w:lang w:val="en-GB"/>
        </w:rPr>
        <w:t>7</w:t>
      </w:r>
      <w:r>
        <w:rPr>
          <w:rFonts w:ascii="Times New Roman" w:hAnsi="Times New Roman" w:cs="Times New Roman"/>
          <w:sz w:val="20"/>
          <w:szCs w:val="20"/>
          <w:lang w:val="en-GB"/>
        </w:rPr>
        <w:t xml:space="preserve">: </w:t>
      </w:r>
      <w:r w:rsidR="00CE2B15">
        <w:rPr>
          <w:rFonts w:ascii="Times New Roman" w:hAnsi="Times New Roman" w:cs="Times New Roman"/>
          <w:sz w:val="20"/>
          <w:szCs w:val="20"/>
          <w:lang w:val="en-GB"/>
        </w:rPr>
        <w:t xml:space="preserve">Asset </w:t>
      </w:r>
      <w:r w:rsidR="00BD6243">
        <w:rPr>
          <w:rFonts w:ascii="Times New Roman" w:hAnsi="Times New Roman" w:cs="Times New Roman"/>
          <w:sz w:val="20"/>
          <w:szCs w:val="20"/>
          <w:lang w:val="en-GB"/>
        </w:rPr>
        <w:t>weight</w:t>
      </w:r>
      <w:r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="00B2326E">
        <w:rPr>
          <w:rFonts w:ascii="Times New Roman" w:hAnsi="Times New Roman" w:cs="Times New Roman"/>
          <w:sz w:val="20"/>
          <w:szCs w:val="20"/>
          <w:lang w:val="en-GB"/>
        </w:rPr>
        <w:t>with</w:t>
      </w:r>
      <w:r>
        <w:rPr>
          <w:rFonts w:ascii="Times New Roman" w:hAnsi="Times New Roman" w:cs="Times New Roman"/>
          <w:sz w:val="20"/>
          <w:szCs w:val="20"/>
          <w:lang w:val="en-GB"/>
        </w:rPr>
        <w:t xml:space="preserve"> 10% equity holding constraint vs no constraint</w:t>
      </w:r>
    </w:p>
    <w:p w14:paraId="155F1580" w14:textId="76087358" w:rsidR="00323A91" w:rsidRDefault="00D172F4" w:rsidP="00CD78D7">
      <w:pPr>
        <w:spacing w:line="240" w:lineRule="auto"/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 xml:space="preserve">The above plot shows the visual comparison of the two </w:t>
      </w:r>
      <w:r w:rsidR="00D32811">
        <w:rPr>
          <w:rFonts w:ascii="Times New Roman" w:hAnsi="Times New Roman" w:cs="Times New Roman"/>
          <w:sz w:val="20"/>
          <w:szCs w:val="20"/>
          <w:lang w:val="en-GB"/>
        </w:rPr>
        <w:t>MVFs. We can see that there is almost no difference</w:t>
      </w:r>
      <w:r w:rsidR="00251A64">
        <w:rPr>
          <w:rFonts w:ascii="Times New Roman" w:hAnsi="Times New Roman" w:cs="Times New Roman"/>
          <w:sz w:val="20"/>
          <w:szCs w:val="20"/>
          <w:lang w:val="en-GB"/>
        </w:rPr>
        <w:t xml:space="preserve"> in the MVF </w:t>
      </w:r>
      <w:r w:rsidR="009D1A55">
        <w:rPr>
          <w:rFonts w:ascii="Times New Roman" w:hAnsi="Times New Roman" w:cs="Times New Roman"/>
          <w:sz w:val="20"/>
          <w:szCs w:val="20"/>
          <w:lang w:val="en-GB"/>
        </w:rPr>
        <w:t xml:space="preserve">of the portfolio after </w:t>
      </w:r>
      <w:r w:rsidR="00F04B89">
        <w:rPr>
          <w:rFonts w:ascii="Times New Roman" w:hAnsi="Times New Roman" w:cs="Times New Roman"/>
          <w:sz w:val="20"/>
          <w:szCs w:val="20"/>
          <w:lang w:val="en-GB"/>
        </w:rPr>
        <w:t xml:space="preserve">adding the </w:t>
      </w:r>
      <w:r w:rsidR="00F04B89" w:rsidRPr="00A048CB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inequality holding constraint of less than </w:t>
      </w:r>
      <w:r w:rsidR="00FC1004" w:rsidRPr="00A048CB">
        <w:rPr>
          <w:rFonts w:ascii="Times New Roman" w:hAnsi="Times New Roman" w:cs="Times New Roman"/>
          <w:b/>
          <w:bCs/>
          <w:sz w:val="20"/>
          <w:szCs w:val="20"/>
          <w:lang w:val="en-GB"/>
        </w:rPr>
        <w:t>0.1 weight</w:t>
      </w:r>
      <w:r w:rsidR="00F04B89" w:rsidRPr="00A048CB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on QQQ</w:t>
      </w:r>
      <w:r w:rsidR="00FC1004">
        <w:rPr>
          <w:rFonts w:ascii="Times New Roman" w:hAnsi="Times New Roman" w:cs="Times New Roman"/>
          <w:sz w:val="20"/>
          <w:szCs w:val="20"/>
          <w:lang w:val="en-GB"/>
        </w:rPr>
        <w:t>.</w:t>
      </w:r>
      <w:r w:rsidR="00534E38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="00D5103E">
        <w:rPr>
          <w:rFonts w:ascii="Times New Roman" w:hAnsi="Times New Roman" w:cs="Times New Roman"/>
          <w:sz w:val="20"/>
          <w:szCs w:val="20"/>
          <w:lang w:val="en-GB"/>
        </w:rPr>
        <w:t>As can be seen from the red line which indicates the constrained portfolio</w:t>
      </w:r>
      <w:r w:rsidR="00A048CB">
        <w:rPr>
          <w:rFonts w:ascii="Times New Roman" w:hAnsi="Times New Roman" w:cs="Times New Roman"/>
          <w:sz w:val="20"/>
          <w:szCs w:val="20"/>
          <w:lang w:val="en-GB"/>
        </w:rPr>
        <w:t xml:space="preserve">, </w:t>
      </w:r>
      <w:r w:rsidR="005632B4">
        <w:rPr>
          <w:rFonts w:ascii="Times New Roman" w:hAnsi="Times New Roman" w:cs="Times New Roman"/>
          <w:sz w:val="20"/>
          <w:szCs w:val="20"/>
          <w:lang w:val="en-GB"/>
        </w:rPr>
        <w:t>QQQ’s weight</w:t>
      </w:r>
      <w:r w:rsidR="002E07FD">
        <w:rPr>
          <w:rFonts w:ascii="Times New Roman" w:hAnsi="Times New Roman" w:cs="Times New Roman"/>
          <w:sz w:val="20"/>
          <w:szCs w:val="20"/>
          <w:lang w:val="en-GB"/>
        </w:rPr>
        <w:t xml:space="preserve"> is capped at 0.1 and </w:t>
      </w:r>
      <w:r w:rsidR="000244F8">
        <w:rPr>
          <w:rFonts w:ascii="Times New Roman" w:hAnsi="Times New Roman" w:cs="Times New Roman"/>
          <w:sz w:val="20"/>
          <w:szCs w:val="20"/>
          <w:lang w:val="en-GB"/>
        </w:rPr>
        <w:t>returns are compensated with</w:t>
      </w:r>
      <w:r w:rsidR="002E07FD">
        <w:rPr>
          <w:rFonts w:ascii="Times New Roman" w:hAnsi="Times New Roman" w:cs="Times New Roman"/>
          <w:sz w:val="20"/>
          <w:szCs w:val="20"/>
          <w:lang w:val="en-GB"/>
        </w:rPr>
        <w:t xml:space="preserve"> an increase </w:t>
      </w:r>
      <w:r w:rsidR="004D4AD9">
        <w:rPr>
          <w:rFonts w:ascii="Times New Roman" w:hAnsi="Times New Roman" w:cs="Times New Roman"/>
          <w:sz w:val="20"/>
          <w:szCs w:val="20"/>
          <w:lang w:val="en-GB"/>
        </w:rPr>
        <w:t>in SEGA.MI (European bonds)</w:t>
      </w:r>
      <w:r w:rsidR="00A02EA9">
        <w:rPr>
          <w:rFonts w:ascii="Times New Roman" w:hAnsi="Times New Roman" w:cs="Times New Roman"/>
          <w:sz w:val="20"/>
          <w:szCs w:val="20"/>
          <w:lang w:val="en-GB"/>
        </w:rPr>
        <w:t xml:space="preserve"> and </w:t>
      </w:r>
      <w:r w:rsidR="00602C3E">
        <w:rPr>
          <w:rFonts w:ascii="Times New Roman" w:hAnsi="Times New Roman" w:cs="Times New Roman"/>
          <w:sz w:val="20"/>
          <w:szCs w:val="20"/>
          <w:lang w:val="en-GB"/>
        </w:rPr>
        <w:t>FXNAX</w:t>
      </w:r>
      <w:r w:rsidR="004D4AD9">
        <w:rPr>
          <w:rFonts w:ascii="Times New Roman" w:hAnsi="Times New Roman" w:cs="Times New Roman"/>
          <w:sz w:val="20"/>
          <w:szCs w:val="20"/>
          <w:lang w:val="en-GB"/>
        </w:rPr>
        <w:t xml:space="preserve">. </w:t>
      </w:r>
      <w:r w:rsidR="00D01AF2">
        <w:rPr>
          <w:rFonts w:ascii="Times New Roman" w:hAnsi="Times New Roman" w:cs="Times New Roman"/>
          <w:sz w:val="20"/>
          <w:szCs w:val="20"/>
          <w:lang w:val="en-GB"/>
        </w:rPr>
        <w:t xml:space="preserve">At the same time, we noticed that weights of </w:t>
      </w:r>
      <w:r w:rsidR="00CF1119">
        <w:rPr>
          <w:rFonts w:ascii="Times New Roman" w:hAnsi="Times New Roman" w:cs="Times New Roman"/>
          <w:sz w:val="20"/>
          <w:szCs w:val="20"/>
          <w:lang w:val="en-GB"/>
        </w:rPr>
        <w:t xml:space="preserve">FXE and UUP </w:t>
      </w:r>
      <w:r w:rsidR="00BF2194">
        <w:rPr>
          <w:rFonts w:ascii="Times New Roman" w:hAnsi="Times New Roman" w:cs="Times New Roman"/>
          <w:sz w:val="20"/>
          <w:szCs w:val="20"/>
          <w:lang w:val="en-GB"/>
        </w:rPr>
        <w:t>start to decrease</w:t>
      </w:r>
      <w:r w:rsidR="00330CB1">
        <w:rPr>
          <w:rFonts w:ascii="Times New Roman" w:hAnsi="Times New Roman" w:cs="Times New Roman"/>
          <w:sz w:val="20"/>
          <w:szCs w:val="20"/>
          <w:lang w:val="en-GB"/>
        </w:rPr>
        <w:t xml:space="preserve"> at a faster rate </w:t>
      </w:r>
      <w:r w:rsidR="00622AD3">
        <w:rPr>
          <w:rFonts w:ascii="Times New Roman" w:hAnsi="Times New Roman" w:cs="Times New Roman"/>
          <w:sz w:val="20"/>
          <w:szCs w:val="20"/>
          <w:lang w:val="en-GB"/>
        </w:rPr>
        <w:t xml:space="preserve">with the constraint becoming binding. </w:t>
      </w:r>
      <w:r w:rsidR="0087133D">
        <w:rPr>
          <w:rFonts w:ascii="Times New Roman" w:hAnsi="Times New Roman" w:cs="Times New Roman"/>
          <w:sz w:val="20"/>
          <w:szCs w:val="20"/>
          <w:lang w:val="en-GB"/>
        </w:rPr>
        <w:t xml:space="preserve">This is because these two </w:t>
      </w:r>
      <w:r w:rsidR="003668F5">
        <w:rPr>
          <w:rFonts w:ascii="Times New Roman" w:hAnsi="Times New Roman" w:cs="Times New Roman"/>
          <w:sz w:val="20"/>
          <w:szCs w:val="20"/>
          <w:lang w:val="en-GB"/>
        </w:rPr>
        <w:t>ETFs</w:t>
      </w:r>
      <w:r w:rsidR="0087133D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="00F138A5">
        <w:rPr>
          <w:rFonts w:ascii="Times New Roman" w:hAnsi="Times New Roman" w:cs="Times New Roman"/>
          <w:sz w:val="20"/>
          <w:szCs w:val="20"/>
          <w:lang w:val="en-GB"/>
        </w:rPr>
        <w:t xml:space="preserve">contributes to reducing portfolio variance with their negative correlation with QQQ, and the reduction </w:t>
      </w:r>
      <w:r w:rsidR="00E37005">
        <w:rPr>
          <w:rFonts w:ascii="Times New Roman" w:hAnsi="Times New Roman" w:cs="Times New Roman"/>
          <w:sz w:val="20"/>
          <w:szCs w:val="20"/>
          <w:lang w:val="en-GB"/>
        </w:rPr>
        <w:t>of QQQ weights decreased the ability of these two ETFs</w:t>
      </w:r>
      <w:r w:rsidR="00CF43D0">
        <w:rPr>
          <w:rFonts w:ascii="Times New Roman" w:hAnsi="Times New Roman" w:cs="Times New Roman"/>
          <w:sz w:val="20"/>
          <w:szCs w:val="20"/>
          <w:lang w:val="en-GB"/>
        </w:rPr>
        <w:t xml:space="preserve"> to decrease portfolio variance.</w:t>
      </w:r>
    </w:p>
    <w:p w14:paraId="63679995" w14:textId="77777777" w:rsidR="00760B2D" w:rsidRDefault="00760B2D" w:rsidP="00CD78D7">
      <w:pPr>
        <w:spacing w:line="240" w:lineRule="auto"/>
        <w:rPr>
          <w:rFonts w:ascii="Times New Roman" w:hAnsi="Times New Roman" w:cs="Times New Roman"/>
          <w:sz w:val="20"/>
          <w:szCs w:val="20"/>
          <w:lang w:val="en-GB"/>
        </w:rPr>
      </w:pPr>
    </w:p>
    <w:p w14:paraId="316907D6" w14:textId="2F2C96F5" w:rsidR="00735B35" w:rsidRDefault="00B26B5C" w:rsidP="00CD78D7">
      <w:pPr>
        <w:spacing w:line="240" w:lineRule="auto"/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noProof/>
          <w:sz w:val="20"/>
          <w:szCs w:val="20"/>
          <w:lang w:val="en-GB"/>
        </w:rPr>
        <w:lastRenderedPageBreak/>
        <w:drawing>
          <wp:anchor distT="0" distB="0" distL="114300" distR="114300" simplePos="0" relativeHeight="251658240" behindDoc="0" locked="0" layoutInCell="1" allowOverlap="1" wp14:anchorId="20FE1D07" wp14:editId="3B4795B2">
            <wp:simplePos x="0" y="0"/>
            <wp:positionH relativeFrom="margin">
              <wp:align>center</wp:align>
            </wp:positionH>
            <wp:positionV relativeFrom="paragraph">
              <wp:posOffset>196850</wp:posOffset>
            </wp:positionV>
            <wp:extent cx="4556760" cy="2553335"/>
            <wp:effectExtent l="0" t="0" r="0" b="0"/>
            <wp:wrapTopAndBottom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60" cy="255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0028">
        <w:rPr>
          <w:rFonts w:ascii="Times New Roman" w:hAnsi="Times New Roman" w:cs="Times New Roman"/>
          <w:sz w:val="20"/>
          <w:szCs w:val="20"/>
          <w:lang w:val="en-GB"/>
        </w:rPr>
        <w:t>2.3 Risk-Free Asset</w:t>
      </w:r>
    </w:p>
    <w:p w14:paraId="1DAA8473" w14:textId="45AAC84B" w:rsidR="001B73A6" w:rsidRDefault="007B2348" w:rsidP="00974B31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 xml:space="preserve">Fig 8: Plot of </w:t>
      </w:r>
      <w:r w:rsidR="008F7963">
        <w:rPr>
          <w:rFonts w:ascii="Times New Roman" w:hAnsi="Times New Roman" w:cs="Times New Roman"/>
          <w:sz w:val="20"/>
          <w:szCs w:val="20"/>
          <w:lang w:val="en-GB"/>
        </w:rPr>
        <w:t xml:space="preserve">tangency </w:t>
      </w:r>
      <w:r w:rsidR="00D51EF3">
        <w:rPr>
          <w:rFonts w:ascii="Times New Roman" w:hAnsi="Times New Roman" w:cs="Times New Roman"/>
          <w:sz w:val="20"/>
          <w:szCs w:val="20"/>
          <w:lang w:val="en-GB"/>
        </w:rPr>
        <w:t xml:space="preserve">portfolio </w:t>
      </w:r>
      <w:r w:rsidR="00252909">
        <w:rPr>
          <w:rFonts w:ascii="Times New Roman" w:hAnsi="Times New Roman" w:cs="Times New Roman"/>
          <w:sz w:val="20"/>
          <w:szCs w:val="20"/>
          <w:lang w:val="en-GB"/>
        </w:rPr>
        <w:t>with risk-free asset</w:t>
      </w:r>
    </w:p>
    <w:p w14:paraId="4A8F5D68" w14:textId="113E6BEF" w:rsidR="003B615B" w:rsidRDefault="00C97CEC" w:rsidP="00CD78D7">
      <w:pPr>
        <w:spacing w:line="240" w:lineRule="auto"/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>From</w:t>
      </w:r>
      <w:r w:rsidR="00540FD1">
        <w:rPr>
          <w:rFonts w:ascii="Times New Roman" w:hAnsi="Times New Roman" w:cs="Times New Roman"/>
          <w:sz w:val="20"/>
          <w:szCs w:val="20"/>
          <w:lang w:val="en-GB"/>
        </w:rPr>
        <w:t xml:space="preserve"> the</w:t>
      </w:r>
      <w:r w:rsidR="007518FB">
        <w:rPr>
          <w:rFonts w:ascii="Times New Roman" w:hAnsi="Times New Roman" w:cs="Times New Roman"/>
          <w:sz w:val="20"/>
          <w:szCs w:val="20"/>
          <w:lang w:val="en-GB"/>
        </w:rPr>
        <w:t xml:space="preserve"> risk-free rate</w:t>
      </w:r>
      <w:r w:rsidR="004C0FEE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="004C0FEE" w:rsidRPr="004C0FEE">
        <w:rPr>
          <w:rFonts w:ascii="Times New Roman" w:hAnsi="Times New Roman" w:cs="Times New Roman"/>
          <w:sz w:val="20"/>
          <w:szCs w:val="20"/>
          <w:lang w:val="en-GB"/>
        </w:rPr>
        <w:t xml:space="preserve">of 0.05% </w:t>
      </w:r>
      <w:r w:rsidR="004C0FEE">
        <w:rPr>
          <w:rFonts w:ascii="Times New Roman" w:hAnsi="Times New Roman" w:cs="Times New Roman"/>
          <w:sz w:val="20"/>
          <w:szCs w:val="20"/>
          <w:lang w:val="en-GB"/>
        </w:rPr>
        <w:t>(</w:t>
      </w:r>
      <w:r w:rsidR="00E0294B">
        <w:rPr>
          <w:rFonts w:ascii="Times New Roman" w:hAnsi="Times New Roman" w:cs="Times New Roman"/>
          <w:sz w:val="20"/>
          <w:szCs w:val="20"/>
          <w:lang w:val="en-GB"/>
        </w:rPr>
        <w:t>3-month treasury yield</w:t>
      </w:r>
      <w:r w:rsidR="00626217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="004C0FEE">
        <w:rPr>
          <w:rFonts w:ascii="Times New Roman" w:hAnsi="Times New Roman" w:cs="Times New Roman"/>
          <w:sz w:val="20"/>
          <w:szCs w:val="20"/>
          <w:lang w:val="en-GB"/>
        </w:rPr>
        <w:t>as of</w:t>
      </w:r>
      <w:r w:rsidR="00E0294B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="00E67576" w:rsidRPr="00E67576">
        <w:rPr>
          <w:rFonts w:ascii="Times New Roman" w:hAnsi="Times New Roman" w:cs="Times New Roman"/>
          <w:sz w:val="20"/>
          <w:szCs w:val="20"/>
          <w:lang w:val="en-GB"/>
        </w:rPr>
        <w:t>Nov</w:t>
      </w:r>
      <w:r w:rsidR="00414A98">
        <w:rPr>
          <w:rFonts w:ascii="Times New Roman" w:hAnsi="Times New Roman" w:cs="Times New Roman"/>
          <w:sz w:val="20"/>
          <w:szCs w:val="20"/>
          <w:lang w:val="en-GB"/>
        </w:rPr>
        <w:t>ember</w:t>
      </w:r>
      <w:r w:rsidR="00E67576" w:rsidRPr="00E67576">
        <w:rPr>
          <w:rFonts w:ascii="Times New Roman" w:hAnsi="Times New Roman" w:cs="Times New Roman"/>
          <w:sz w:val="20"/>
          <w:szCs w:val="20"/>
          <w:lang w:val="en-GB"/>
        </w:rPr>
        <w:t xml:space="preserve"> 5, 2021</w:t>
      </w:r>
      <w:r w:rsidR="004C0FEE">
        <w:rPr>
          <w:rFonts w:ascii="Times New Roman" w:hAnsi="Times New Roman" w:cs="Times New Roman"/>
          <w:sz w:val="20"/>
          <w:szCs w:val="20"/>
          <w:lang w:val="en-GB"/>
        </w:rPr>
        <w:t>)</w:t>
      </w:r>
      <w:r w:rsidR="00540FD1">
        <w:rPr>
          <w:rFonts w:ascii="Times New Roman" w:hAnsi="Times New Roman" w:cs="Times New Roman"/>
          <w:sz w:val="20"/>
          <w:szCs w:val="20"/>
          <w:lang w:val="en-GB"/>
        </w:rPr>
        <w:t xml:space="preserve">, we plot the Security Market Line (SML) </w:t>
      </w:r>
      <w:r w:rsidR="00E056FB">
        <w:rPr>
          <w:rFonts w:ascii="Times New Roman" w:hAnsi="Times New Roman" w:cs="Times New Roman"/>
          <w:sz w:val="20"/>
          <w:szCs w:val="20"/>
          <w:lang w:val="en-GB"/>
        </w:rPr>
        <w:t xml:space="preserve">along the tangent </w:t>
      </w:r>
      <w:r w:rsidR="00CD3409">
        <w:rPr>
          <w:rFonts w:ascii="Times New Roman" w:hAnsi="Times New Roman" w:cs="Times New Roman"/>
          <w:sz w:val="20"/>
          <w:szCs w:val="20"/>
          <w:lang w:val="en-GB"/>
        </w:rPr>
        <w:t>of the MVF</w:t>
      </w:r>
      <w:r w:rsidR="00D13D4D">
        <w:rPr>
          <w:rFonts w:ascii="Times New Roman" w:hAnsi="Times New Roman" w:cs="Times New Roman"/>
          <w:sz w:val="20"/>
          <w:szCs w:val="20"/>
          <w:lang w:val="en-GB"/>
        </w:rPr>
        <w:t xml:space="preserve"> to create the tangency portfolio</w:t>
      </w:r>
      <w:r w:rsidR="00C42518">
        <w:rPr>
          <w:rFonts w:ascii="Times New Roman" w:hAnsi="Times New Roman" w:cs="Times New Roman"/>
          <w:sz w:val="20"/>
          <w:szCs w:val="20"/>
          <w:lang w:val="en-GB"/>
        </w:rPr>
        <w:t xml:space="preserve"> (TP)</w:t>
      </w:r>
      <w:r w:rsidR="00D13D4D">
        <w:rPr>
          <w:rFonts w:ascii="Times New Roman" w:hAnsi="Times New Roman" w:cs="Times New Roman"/>
          <w:sz w:val="20"/>
          <w:szCs w:val="20"/>
          <w:lang w:val="en-GB"/>
        </w:rPr>
        <w:t xml:space="preserve">. </w:t>
      </w:r>
      <w:r w:rsidR="00CE4D73" w:rsidRPr="00CE4D73">
        <w:rPr>
          <w:rFonts w:ascii="Times New Roman" w:hAnsi="Times New Roman" w:cs="Times New Roman"/>
          <w:sz w:val="20"/>
          <w:szCs w:val="20"/>
          <w:lang w:val="en-GB"/>
        </w:rPr>
        <w:t>The SML traces the portfolio expected-return and portfolio standard</w:t>
      </w:r>
      <w:r w:rsidR="00CE4D73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="00CE4D73" w:rsidRPr="00CE4D73">
        <w:rPr>
          <w:rFonts w:ascii="Times New Roman" w:hAnsi="Times New Roman" w:cs="Times New Roman"/>
          <w:sz w:val="20"/>
          <w:szCs w:val="20"/>
          <w:lang w:val="en-GB"/>
        </w:rPr>
        <w:t>deviation locus of a portfolio consisting of the risk-free asset and the</w:t>
      </w:r>
      <w:r w:rsidR="00CE4D73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="00CE4D73" w:rsidRPr="00CE4D73">
        <w:rPr>
          <w:rFonts w:ascii="Times New Roman" w:hAnsi="Times New Roman" w:cs="Times New Roman"/>
          <w:sz w:val="20"/>
          <w:szCs w:val="20"/>
          <w:lang w:val="en-GB"/>
        </w:rPr>
        <w:t>tangency portfolio</w:t>
      </w:r>
      <w:r w:rsidR="00CE4D73">
        <w:rPr>
          <w:rFonts w:ascii="Times New Roman" w:hAnsi="Times New Roman" w:cs="Times New Roman"/>
          <w:sz w:val="20"/>
          <w:szCs w:val="20"/>
          <w:lang w:val="en-GB"/>
        </w:rPr>
        <w:t>.</w:t>
      </w:r>
      <w:r w:rsidR="00770402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="00C42518">
        <w:rPr>
          <w:rFonts w:ascii="Times New Roman" w:hAnsi="Times New Roman" w:cs="Times New Roman"/>
          <w:sz w:val="20"/>
          <w:szCs w:val="20"/>
          <w:lang w:val="en-GB"/>
        </w:rPr>
        <w:t xml:space="preserve">With the TP, we obtain the optimised </w:t>
      </w:r>
      <w:r w:rsidR="00B977CC">
        <w:rPr>
          <w:rFonts w:ascii="Times New Roman" w:hAnsi="Times New Roman" w:cs="Times New Roman"/>
          <w:sz w:val="20"/>
          <w:szCs w:val="20"/>
          <w:lang w:val="en-GB"/>
        </w:rPr>
        <w:t>portfolio weights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B14107" w14:paraId="6DE17953" w14:textId="77777777" w:rsidTr="00B14107">
        <w:tc>
          <w:tcPr>
            <w:tcW w:w="1502" w:type="dxa"/>
          </w:tcPr>
          <w:p w14:paraId="6FCA44BC" w14:textId="299B8EC6" w:rsidR="00B14107" w:rsidRDefault="003B615B" w:rsidP="00CD78D7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3B615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</w:t>
            </w:r>
            <w:r w:rsidR="00B14107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QQQ</w:t>
            </w:r>
          </w:p>
        </w:tc>
        <w:tc>
          <w:tcPr>
            <w:tcW w:w="1502" w:type="dxa"/>
          </w:tcPr>
          <w:p w14:paraId="3DBBE479" w14:textId="2AA63EDF" w:rsidR="00B14107" w:rsidRDefault="00B14107" w:rsidP="00CD78D7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UUP</w:t>
            </w:r>
          </w:p>
        </w:tc>
        <w:tc>
          <w:tcPr>
            <w:tcW w:w="1503" w:type="dxa"/>
          </w:tcPr>
          <w:p w14:paraId="6C38B951" w14:textId="1D3C2D48" w:rsidR="00B14107" w:rsidRDefault="00B14107" w:rsidP="00CD78D7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FXE</w:t>
            </w:r>
          </w:p>
        </w:tc>
        <w:tc>
          <w:tcPr>
            <w:tcW w:w="1503" w:type="dxa"/>
          </w:tcPr>
          <w:p w14:paraId="572A3D94" w14:textId="1FEA626C" w:rsidR="00B14107" w:rsidRDefault="00B14107" w:rsidP="00CD78D7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FXY</w:t>
            </w:r>
          </w:p>
        </w:tc>
        <w:tc>
          <w:tcPr>
            <w:tcW w:w="1503" w:type="dxa"/>
          </w:tcPr>
          <w:p w14:paraId="0A893900" w14:textId="39DC0514" w:rsidR="00B14107" w:rsidRDefault="00B14107" w:rsidP="00CD78D7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FXNAX</w:t>
            </w:r>
          </w:p>
        </w:tc>
        <w:tc>
          <w:tcPr>
            <w:tcW w:w="1503" w:type="dxa"/>
          </w:tcPr>
          <w:p w14:paraId="4D5C6D7F" w14:textId="773BDA6E" w:rsidR="00B14107" w:rsidRDefault="00B14107" w:rsidP="00CD78D7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SEGA.MI</w:t>
            </w:r>
          </w:p>
        </w:tc>
      </w:tr>
      <w:tr w:rsidR="00B14107" w14:paraId="693738E7" w14:textId="77777777" w:rsidTr="00B14107">
        <w:tc>
          <w:tcPr>
            <w:tcW w:w="1502" w:type="dxa"/>
          </w:tcPr>
          <w:p w14:paraId="7DF85D55" w14:textId="24F78B08" w:rsidR="00B14107" w:rsidRDefault="00B14107" w:rsidP="00CD78D7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0.1266</w:t>
            </w:r>
          </w:p>
        </w:tc>
        <w:tc>
          <w:tcPr>
            <w:tcW w:w="1502" w:type="dxa"/>
          </w:tcPr>
          <w:p w14:paraId="3C219392" w14:textId="0145264D" w:rsidR="00B14107" w:rsidRDefault="00B14107" w:rsidP="00CD78D7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0.1288</w:t>
            </w:r>
          </w:p>
        </w:tc>
        <w:tc>
          <w:tcPr>
            <w:tcW w:w="1503" w:type="dxa"/>
          </w:tcPr>
          <w:p w14:paraId="6F270E18" w14:textId="0BD575B8" w:rsidR="00B14107" w:rsidRDefault="00B14107" w:rsidP="00CD78D7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0.0000</w:t>
            </w:r>
          </w:p>
        </w:tc>
        <w:tc>
          <w:tcPr>
            <w:tcW w:w="1503" w:type="dxa"/>
          </w:tcPr>
          <w:p w14:paraId="4854A88D" w14:textId="75A3734A" w:rsidR="00B14107" w:rsidRDefault="00B14107" w:rsidP="00CD78D7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0.0000</w:t>
            </w:r>
          </w:p>
        </w:tc>
        <w:tc>
          <w:tcPr>
            <w:tcW w:w="1503" w:type="dxa"/>
          </w:tcPr>
          <w:p w14:paraId="72D3108C" w14:textId="74F322B1" w:rsidR="00B14107" w:rsidRDefault="00B14107" w:rsidP="00CD78D7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0.6708</w:t>
            </w:r>
          </w:p>
        </w:tc>
        <w:tc>
          <w:tcPr>
            <w:tcW w:w="1503" w:type="dxa"/>
          </w:tcPr>
          <w:p w14:paraId="262EB735" w14:textId="12153776" w:rsidR="00B14107" w:rsidRDefault="00B14107" w:rsidP="00CD78D7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0.0739</w:t>
            </w:r>
          </w:p>
        </w:tc>
      </w:tr>
    </w:tbl>
    <w:p w14:paraId="079D0EF5" w14:textId="19AAC335" w:rsidR="001B73A6" w:rsidRDefault="001B73A6" w:rsidP="001B73A6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 xml:space="preserve">Table 3: Weights </w:t>
      </w:r>
      <w:r w:rsidR="00CE6055">
        <w:rPr>
          <w:rFonts w:ascii="Times New Roman" w:hAnsi="Times New Roman" w:cs="Times New Roman"/>
          <w:sz w:val="20"/>
          <w:szCs w:val="20"/>
          <w:lang w:val="en-GB"/>
        </w:rPr>
        <w:t xml:space="preserve">of </w:t>
      </w:r>
      <w:r w:rsidR="007A5FD1">
        <w:rPr>
          <w:rFonts w:ascii="Times New Roman" w:hAnsi="Times New Roman" w:cs="Times New Roman"/>
          <w:sz w:val="20"/>
          <w:szCs w:val="20"/>
          <w:lang w:val="en-GB"/>
        </w:rPr>
        <w:t>tangency</w:t>
      </w:r>
      <w:r w:rsidR="00CE6055">
        <w:rPr>
          <w:rFonts w:ascii="Times New Roman" w:hAnsi="Times New Roman" w:cs="Times New Roman"/>
          <w:sz w:val="20"/>
          <w:szCs w:val="20"/>
          <w:lang w:val="en-GB"/>
        </w:rPr>
        <w:t xml:space="preserve"> portfolio</w:t>
      </w:r>
    </w:p>
    <w:p w14:paraId="39EC58EF" w14:textId="4DAB02C4" w:rsidR="00B14107" w:rsidRPr="003B615B" w:rsidRDefault="00FE0BD6" w:rsidP="00CD78D7">
      <w:pPr>
        <w:spacing w:line="240" w:lineRule="auto"/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 xml:space="preserve">The </w:t>
      </w:r>
      <w:r w:rsidR="000C60A0">
        <w:rPr>
          <w:rFonts w:ascii="Times New Roman" w:hAnsi="Times New Roman" w:cs="Times New Roman"/>
          <w:sz w:val="20"/>
          <w:szCs w:val="20"/>
          <w:lang w:val="en-GB"/>
        </w:rPr>
        <w:t xml:space="preserve">mean and standard deviation </w:t>
      </w:r>
      <w:r w:rsidR="00DD24EA">
        <w:rPr>
          <w:rFonts w:ascii="Times New Roman" w:hAnsi="Times New Roman" w:cs="Times New Roman"/>
          <w:sz w:val="20"/>
          <w:szCs w:val="20"/>
          <w:lang w:val="en-GB"/>
        </w:rPr>
        <w:t xml:space="preserve">of the optimised portfolio is </w:t>
      </w:r>
      <w:r w:rsidR="002848F8">
        <w:rPr>
          <w:rFonts w:ascii="Times New Roman" w:hAnsi="Times New Roman" w:cs="Times New Roman"/>
          <w:sz w:val="20"/>
          <w:szCs w:val="20"/>
          <w:lang w:val="en-GB"/>
        </w:rPr>
        <w:t xml:space="preserve">calculated </w:t>
      </w:r>
      <w:r w:rsidR="00AE7D33">
        <w:rPr>
          <w:rFonts w:ascii="Times New Roman" w:hAnsi="Times New Roman" w:cs="Times New Roman"/>
          <w:sz w:val="20"/>
          <w:szCs w:val="20"/>
          <w:lang w:val="en-GB"/>
        </w:rPr>
        <w:t>as</w:t>
      </w:r>
      <w:r w:rsidR="00DD24EA">
        <w:rPr>
          <w:rFonts w:ascii="Times New Roman" w:hAnsi="Times New Roman" w:cs="Times New Roman"/>
          <w:sz w:val="20"/>
          <w:szCs w:val="20"/>
          <w:lang w:val="en-GB"/>
        </w:rPr>
        <w:t xml:space="preserve"> 0</w:t>
      </w:r>
      <w:r w:rsidR="00EC5EAB">
        <w:rPr>
          <w:rFonts w:ascii="Times New Roman" w:hAnsi="Times New Roman" w:cs="Times New Roman"/>
          <w:sz w:val="20"/>
          <w:szCs w:val="20"/>
          <w:lang w:val="en-GB"/>
        </w:rPr>
        <w:t>.</w:t>
      </w:r>
      <w:r w:rsidR="001D02C8">
        <w:rPr>
          <w:rFonts w:ascii="Times New Roman" w:hAnsi="Times New Roman" w:cs="Times New Roman"/>
          <w:sz w:val="20"/>
          <w:szCs w:val="20"/>
          <w:lang w:val="en-GB"/>
        </w:rPr>
        <w:t xml:space="preserve">0216 </w:t>
      </w:r>
      <w:r w:rsidR="00DD24EA">
        <w:rPr>
          <w:rFonts w:ascii="Times New Roman" w:hAnsi="Times New Roman" w:cs="Times New Roman"/>
          <w:sz w:val="20"/>
          <w:szCs w:val="20"/>
          <w:lang w:val="en-GB"/>
        </w:rPr>
        <w:t>and 0.209 respectively.</w:t>
      </w:r>
    </w:p>
    <w:p w14:paraId="77EA6114" w14:textId="72842691" w:rsidR="00D147A8" w:rsidRDefault="00220663" w:rsidP="00CD78D7">
      <w:pPr>
        <w:spacing w:line="240" w:lineRule="auto"/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>2.3.1 Inflation Rate</w:t>
      </w:r>
    </w:p>
    <w:p w14:paraId="6F6FF259" w14:textId="52C86E34" w:rsidR="00D147A8" w:rsidRDefault="000E133B" w:rsidP="00CD78D7">
      <w:pPr>
        <w:spacing w:line="240" w:lineRule="auto"/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noProof/>
          <w:sz w:val="20"/>
          <w:szCs w:val="20"/>
          <w:lang w:val="en-GB"/>
        </w:rPr>
        <w:drawing>
          <wp:anchor distT="0" distB="0" distL="114300" distR="114300" simplePos="0" relativeHeight="251658241" behindDoc="0" locked="0" layoutInCell="1" allowOverlap="1" wp14:anchorId="7A093BC2" wp14:editId="3B8FCE1E">
            <wp:simplePos x="0" y="0"/>
            <wp:positionH relativeFrom="margin">
              <wp:posOffset>293169</wp:posOffset>
            </wp:positionH>
            <wp:positionV relativeFrom="paragraph">
              <wp:posOffset>360309</wp:posOffset>
            </wp:positionV>
            <wp:extent cx="4861560" cy="2724150"/>
            <wp:effectExtent l="0" t="0" r="0" b="0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326B">
        <w:rPr>
          <w:rFonts w:ascii="Times New Roman" w:hAnsi="Times New Roman" w:cs="Times New Roman"/>
          <w:sz w:val="20"/>
          <w:szCs w:val="20"/>
          <w:lang w:val="en-GB"/>
        </w:rPr>
        <w:t xml:space="preserve">Taking inflation </w:t>
      </w:r>
      <w:r w:rsidR="00BF7BB7">
        <w:rPr>
          <w:rFonts w:ascii="Times New Roman" w:hAnsi="Times New Roman" w:cs="Times New Roman"/>
          <w:sz w:val="20"/>
          <w:szCs w:val="20"/>
          <w:lang w:val="en-GB"/>
        </w:rPr>
        <w:t xml:space="preserve">rate </w:t>
      </w:r>
      <w:r w:rsidR="005D0D2C">
        <w:rPr>
          <w:rFonts w:ascii="Times New Roman" w:hAnsi="Times New Roman" w:cs="Times New Roman"/>
          <w:sz w:val="20"/>
          <w:szCs w:val="20"/>
          <w:lang w:val="en-GB"/>
        </w:rPr>
        <w:t xml:space="preserve">of 5% </w:t>
      </w:r>
      <w:r w:rsidR="00555919">
        <w:rPr>
          <w:rFonts w:ascii="Times New Roman" w:hAnsi="Times New Roman" w:cs="Times New Roman"/>
          <w:sz w:val="20"/>
          <w:szCs w:val="20"/>
          <w:lang w:val="en-GB"/>
        </w:rPr>
        <w:t xml:space="preserve">as of </w:t>
      </w:r>
      <w:r w:rsidR="00D0412B">
        <w:rPr>
          <w:rFonts w:ascii="Times New Roman" w:hAnsi="Times New Roman" w:cs="Times New Roman"/>
          <w:sz w:val="20"/>
          <w:szCs w:val="20"/>
          <w:lang w:val="en-GB"/>
        </w:rPr>
        <w:t>May</w:t>
      </w:r>
      <w:r w:rsidR="00555919">
        <w:rPr>
          <w:rFonts w:ascii="Times New Roman" w:hAnsi="Times New Roman" w:cs="Times New Roman"/>
          <w:sz w:val="20"/>
          <w:szCs w:val="20"/>
          <w:lang w:val="en-GB"/>
        </w:rPr>
        <w:t xml:space="preserve"> 2021,</w:t>
      </w:r>
      <w:r w:rsidR="005D0D2C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="007C7D2B">
        <w:rPr>
          <w:rFonts w:ascii="Times New Roman" w:hAnsi="Times New Roman" w:cs="Times New Roman"/>
          <w:sz w:val="20"/>
          <w:szCs w:val="20"/>
          <w:lang w:val="en-GB"/>
        </w:rPr>
        <w:t xml:space="preserve">we derive the daily inflation rate to be </w:t>
      </w:r>
      <w:r w:rsidR="00E464AE">
        <w:rPr>
          <w:rFonts w:ascii="Times New Roman" w:hAnsi="Times New Roman" w:cs="Times New Roman"/>
          <w:sz w:val="20"/>
          <w:szCs w:val="20"/>
          <w:lang w:val="en-GB"/>
        </w:rPr>
        <w:t>0.0</w:t>
      </w:r>
      <w:r w:rsidR="00391685">
        <w:rPr>
          <w:rFonts w:ascii="Times New Roman" w:hAnsi="Times New Roman" w:cs="Times New Roman"/>
          <w:sz w:val="20"/>
          <w:szCs w:val="20"/>
          <w:lang w:val="en-GB"/>
        </w:rPr>
        <w:t>19841</w:t>
      </w:r>
      <w:r w:rsidR="00ED284D">
        <w:rPr>
          <w:rFonts w:ascii="Times New Roman" w:hAnsi="Times New Roman" w:cs="Times New Roman"/>
          <w:sz w:val="20"/>
          <w:szCs w:val="20"/>
          <w:lang w:val="en-GB"/>
        </w:rPr>
        <w:t>. Plotting th</w:t>
      </w:r>
      <w:r w:rsidR="00BD22AB">
        <w:rPr>
          <w:rFonts w:ascii="Times New Roman" w:hAnsi="Times New Roman" w:cs="Times New Roman"/>
          <w:sz w:val="20"/>
          <w:szCs w:val="20"/>
          <w:lang w:val="en-GB"/>
        </w:rPr>
        <w:t>e daily inflation rate</w:t>
      </w:r>
      <w:r w:rsidR="00ED284D">
        <w:rPr>
          <w:rFonts w:ascii="Times New Roman" w:hAnsi="Times New Roman" w:cs="Times New Roman"/>
          <w:sz w:val="20"/>
          <w:szCs w:val="20"/>
          <w:lang w:val="en-GB"/>
        </w:rPr>
        <w:t xml:space="preserve"> on</w:t>
      </w:r>
      <w:r w:rsidR="00BD22AB">
        <w:rPr>
          <w:rFonts w:ascii="Times New Roman" w:hAnsi="Times New Roman" w:cs="Times New Roman"/>
          <w:sz w:val="20"/>
          <w:szCs w:val="20"/>
          <w:lang w:val="en-GB"/>
        </w:rPr>
        <w:t xml:space="preserve"> the</w:t>
      </w:r>
      <w:r w:rsidR="00ED284D">
        <w:rPr>
          <w:rFonts w:ascii="Times New Roman" w:hAnsi="Times New Roman" w:cs="Times New Roman"/>
          <w:sz w:val="20"/>
          <w:szCs w:val="20"/>
          <w:lang w:val="en-GB"/>
        </w:rPr>
        <w:t xml:space="preserve"> MVF, we </w:t>
      </w:r>
      <w:r w:rsidR="005128A0">
        <w:rPr>
          <w:rFonts w:ascii="Times New Roman" w:hAnsi="Times New Roman" w:cs="Times New Roman"/>
          <w:sz w:val="20"/>
          <w:szCs w:val="20"/>
          <w:lang w:val="en-GB"/>
        </w:rPr>
        <w:t>obtain</w:t>
      </w:r>
      <w:r w:rsidR="00B8767F">
        <w:rPr>
          <w:rFonts w:ascii="Times New Roman" w:hAnsi="Times New Roman" w:cs="Times New Roman"/>
          <w:sz w:val="20"/>
          <w:szCs w:val="20"/>
          <w:lang w:val="en-GB"/>
        </w:rPr>
        <w:t xml:space="preserve"> the following figure</w:t>
      </w:r>
      <w:r w:rsidR="00BD22AB">
        <w:rPr>
          <w:rFonts w:ascii="Times New Roman" w:hAnsi="Times New Roman" w:cs="Times New Roman"/>
          <w:sz w:val="20"/>
          <w:szCs w:val="20"/>
          <w:lang w:val="en-GB"/>
        </w:rPr>
        <w:t>:</w:t>
      </w:r>
    </w:p>
    <w:p w14:paraId="3E64B618" w14:textId="08E747A7" w:rsidR="007C1EA7" w:rsidRDefault="00B8767F" w:rsidP="00B8767F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  <w:lang w:val="en-GB"/>
        </w:rPr>
      </w:pPr>
      <w:r w:rsidRPr="00B8767F">
        <w:rPr>
          <w:rFonts w:ascii="Times New Roman" w:hAnsi="Times New Roman" w:cs="Times New Roman"/>
          <w:sz w:val="20"/>
          <w:szCs w:val="20"/>
          <w:lang w:val="en-GB"/>
        </w:rPr>
        <w:t xml:space="preserve">Fig </w:t>
      </w:r>
      <w:r>
        <w:rPr>
          <w:rFonts w:ascii="Times New Roman" w:hAnsi="Times New Roman" w:cs="Times New Roman"/>
          <w:sz w:val="20"/>
          <w:szCs w:val="20"/>
          <w:lang w:val="en-GB"/>
        </w:rPr>
        <w:t>9</w:t>
      </w:r>
      <w:r w:rsidRPr="00B8767F">
        <w:rPr>
          <w:rFonts w:ascii="Times New Roman" w:hAnsi="Times New Roman" w:cs="Times New Roman"/>
          <w:sz w:val="20"/>
          <w:szCs w:val="20"/>
          <w:lang w:val="en-GB"/>
        </w:rPr>
        <w:t>: Plot of tangency portfolio with risk-free asset</w:t>
      </w:r>
      <w:r>
        <w:rPr>
          <w:rFonts w:ascii="Times New Roman" w:hAnsi="Times New Roman" w:cs="Times New Roman"/>
          <w:sz w:val="20"/>
          <w:szCs w:val="20"/>
          <w:lang w:val="en-GB"/>
        </w:rPr>
        <w:t xml:space="preserve"> and inflation rate</w:t>
      </w:r>
    </w:p>
    <w:p w14:paraId="23417172" w14:textId="4FC095ED" w:rsidR="005128A0" w:rsidRDefault="000E133B" w:rsidP="00CD78D7">
      <w:pPr>
        <w:spacing w:line="240" w:lineRule="auto"/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>From figure 9, w</w:t>
      </w:r>
      <w:r w:rsidR="00D715CE">
        <w:rPr>
          <w:rFonts w:ascii="Times New Roman" w:hAnsi="Times New Roman" w:cs="Times New Roman"/>
          <w:sz w:val="20"/>
          <w:szCs w:val="20"/>
          <w:lang w:val="en-GB"/>
        </w:rPr>
        <w:t xml:space="preserve">e </w:t>
      </w:r>
      <w:r w:rsidR="00A56A15">
        <w:rPr>
          <w:rFonts w:ascii="Times New Roman" w:hAnsi="Times New Roman" w:cs="Times New Roman"/>
          <w:sz w:val="20"/>
          <w:szCs w:val="20"/>
          <w:lang w:val="en-GB"/>
        </w:rPr>
        <w:t>observe that</w:t>
      </w:r>
      <w:r w:rsidR="00E5773C">
        <w:rPr>
          <w:rFonts w:ascii="Times New Roman" w:hAnsi="Times New Roman" w:cs="Times New Roman"/>
          <w:sz w:val="20"/>
          <w:szCs w:val="20"/>
          <w:lang w:val="en-GB"/>
        </w:rPr>
        <w:t xml:space="preserve"> the daily inflation of </w:t>
      </w:r>
      <w:r w:rsidRPr="000E133B">
        <w:rPr>
          <w:rFonts w:ascii="Times New Roman" w:hAnsi="Times New Roman" w:cs="Times New Roman"/>
          <w:sz w:val="20"/>
          <w:szCs w:val="20"/>
          <w:lang w:val="en-GB"/>
        </w:rPr>
        <w:t>0.019841</w:t>
      </w:r>
      <w:r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="00E5773C">
        <w:rPr>
          <w:rFonts w:ascii="Times New Roman" w:hAnsi="Times New Roman" w:cs="Times New Roman"/>
          <w:sz w:val="20"/>
          <w:szCs w:val="20"/>
          <w:lang w:val="en-GB"/>
        </w:rPr>
        <w:t>is slightly</w:t>
      </w:r>
      <w:r w:rsidR="00842FF7">
        <w:rPr>
          <w:rFonts w:ascii="Times New Roman" w:hAnsi="Times New Roman" w:cs="Times New Roman"/>
          <w:sz w:val="20"/>
          <w:szCs w:val="20"/>
          <w:lang w:val="en-GB"/>
        </w:rPr>
        <w:t xml:space="preserve"> below the tangency portfolio</w:t>
      </w:r>
      <w:r w:rsidR="009E389B">
        <w:rPr>
          <w:rFonts w:ascii="Times New Roman" w:hAnsi="Times New Roman" w:cs="Times New Roman"/>
          <w:sz w:val="20"/>
          <w:szCs w:val="20"/>
          <w:lang w:val="en-GB"/>
        </w:rPr>
        <w:t>’s mean</w:t>
      </w:r>
      <w:r w:rsidR="00F57C5C">
        <w:rPr>
          <w:rFonts w:ascii="Times New Roman" w:hAnsi="Times New Roman" w:cs="Times New Roman"/>
          <w:sz w:val="20"/>
          <w:szCs w:val="20"/>
          <w:lang w:val="en-GB"/>
        </w:rPr>
        <w:t xml:space="preserve">, </w:t>
      </w:r>
      <w:r w:rsidR="00F57C5C" w:rsidRPr="00F57C5C">
        <w:rPr>
          <w:rFonts w:ascii="Times New Roman" w:hAnsi="Times New Roman" w:cs="Times New Roman"/>
          <w:sz w:val="20"/>
          <w:szCs w:val="20"/>
          <w:lang w:val="en-GB"/>
        </w:rPr>
        <w:t>0.0216</w:t>
      </w:r>
      <w:r w:rsidR="00F57C5C">
        <w:rPr>
          <w:rFonts w:ascii="Times New Roman" w:hAnsi="Times New Roman" w:cs="Times New Roman"/>
          <w:sz w:val="20"/>
          <w:szCs w:val="20"/>
          <w:lang w:val="en-GB"/>
        </w:rPr>
        <w:t xml:space="preserve">. </w:t>
      </w:r>
      <w:r w:rsidR="00F831D0">
        <w:rPr>
          <w:rFonts w:ascii="Times New Roman" w:hAnsi="Times New Roman" w:cs="Times New Roman"/>
          <w:sz w:val="20"/>
          <w:szCs w:val="20"/>
          <w:lang w:val="en-GB"/>
        </w:rPr>
        <w:t>When</w:t>
      </w:r>
      <w:r w:rsidR="00B6588D">
        <w:rPr>
          <w:rFonts w:ascii="Times New Roman" w:hAnsi="Times New Roman" w:cs="Times New Roman"/>
          <w:sz w:val="20"/>
          <w:szCs w:val="20"/>
          <w:lang w:val="en-GB"/>
        </w:rPr>
        <w:t xml:space="preserve"> adjust</w:t>
      </w:r>
      <w:r w:rsidR="00F831D0">
        <w:rPr>
          <w:rFonts w:ascii="Times New Roman" w:hAnsi="Times New Roman" w:cs="Times New Roman"/>
          <w:sz w:val="20"/>
          <w:szCs w:val="20"/>
          <w:lang w:val="en-GB"/>
        </w:rPr>
        <w:t>ing</w:t>
      </w:r>
      <w:r w:rsidR="00A92675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="00712B6D">
        <w:rPr>
          <w:rFonts w:ascii="Times New Roman" w:hAnsi="Times New Roman" w:cs="Times New Roman"/>
          <w:sz w:val="20"/>
          <w:szCs w:val="20"/>
          <w:lang w:val="en-GB"/>
        </w:rPr>
        <w:t>the</w:t>
      </w:r>
      <w:r w:rsidR="006525D8">
        <w:rPr>
          <w:rFonts w:ascii="Times New Roman" w:hAnsi="Times New Roman" w:cs="Times New Roman"/>
          <w:sz w:val="20"/>
          <w:szCs w:val="20"/>
          <w:lang w:val="en-GB"/>
        </w:rPr>
        <w:t xml:space="preserve"> daily</w:t>
      </w:r>
      <w:r w:rsidR="00712B6D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="00A92675">
        <w:rPr>
          <w:rFonts w:ascii="Times New Roman" w:hAnsi="Times New Roman" w:cs="Times New Roman"/>
          <w:sz w:val="20"/>
          <w:szCs w:val="20"/>
          <w:lang w:val="en-GB"/>
        </w:rPr>
        <w:t>returns</w:t>
      </w:r>
      <w:r w:rsidR="00B6588D">
        <w:rPr>
          <w:rFonts w:ascii="Times New Roman" w:hAnsi="Times New Roman" w:cs="Times New Roman"/>
          <w:sz w:val="20"/>
          <w:szCs w:val="20"/>
          <w:lang w:val="en-GB"/>
        </w:rPr>
        <w:t xml:space="preserve"> for inflation, </w:t>
      </w:r>
      <w:r w:rsidR="00ED4C00">
        <w:rPr>
          <w:rFonts w:ascii="Times New Roman" w:hAnsi="Times New Roman" w:cs="Times New Roman"/>
          <w:sz w:val="20"/>
          <w:szCs w:val="20"/>
          <w:lang w:val="en-GB"/>
        </w:rPr>
        <w:t>the</w:t>
      </w:r>
      <w:r w:rsidR="00F7783F">
        <w:rPr>
          <w:rFonts w:ascii="Times New Roman" w:hAnsi="Times New Roman" w:cs="Times New Roman"/>
          <w:sz w:val="20"/>
          <w:szCs w:val="20"/>
          <w:lang w:val="en-GB"/>
        </w:rPr>
        <w:t xml:space="preserve"> tangency</w:t>
      </w:r>
      <w:r w:rsidR="00ED4C00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="00614959">
        <w:rPr>
          <w:rFonts w:ascii="Times New Roman" w:hAnsi="Times New Roman" w:cs="Times New Roman"/>
          <w:sz w:val="20"/>
          <w:szCs w:val="20"/>
          <w:lang w:val="en-GB"/>
        </w:rPr>
        <w:t xml:space="preserve">portfolio </w:t>
      </w:r>
      <w:r w:rsidR="00C55304">
        <w:rPr>
          <w:rFonts w:ascii="Times New Roman" w:hAnsi="Times New Roman" w:cs="Times New Roman"/>
          <w:sz w:val="20"/>
          <w:szCs w:val="20"/>
          <w:lang w:val="en-GB"/>
        </w:rPr>
        <w:t>mean shifts to 0.001759</w:t>
      </w:r>
      <w:r w:rsidR="0086627F">
        <w:rPr>
          <w:rFonts w:ascii="Times New Roman" w:hAnsi="Times New Roman" w:cs="Times New Roman"/>
          <w:sz w:val="20"/>
          <w:szCs w:val="20"/>
          <w:lang w:val="en-GB"/>
        </w:rPr>
        <w:t xml:space="preserve">. </w:t>
      </w:r>
      <w:r w:rsidR="00DF54E2">
        <w:rPr>
          <w:rFonts w:ascii="Times New Roman" w:hAnsi="Times New Roman" w:cs="Times New Roman"/>
          <w:sz w:val="20"/>
          <w:szCs w:val="20"/>
          <w:lang w:val="en-GB"/>
        </w:rPr>
        <w:t>Therefore</w:t>
      </w:r>
      <w:r w:rsidR="00801AED">
        <w:rPr>
          <w:rFonts w:ascii="Times New Roman" w:hAnsi="Times New Roman" w:cs="Times New Roman"/>
          <w:sz w:val="20"/>
          <w:szCs w:val="20"/>
          <w:lang w:val="en-GB"/>
        </w:rPr>
        <w:t xml:space="preserve">, we note </w:t>
      </w:r>
      <w:r w:rsidR="00DF54E2">
        <w:rPr>
          <w:rFonts w:ascii="Times New Roman" w:hAnsi="Times New Roman" w:cs="Times New Roman"/>
          <w:sz w:val="20"/>
          <w:szCs w:val="20"/>
          <w:lang w:val="en-GB"/>
        </w:rPr>
        <w:t xml:space="preserve">that </w:t>
      </w:r>
      <w:r w:rsidR="007002FD">
        <w:rPr>
          <w:rFonts w:ascii="Times New Roman" w:hAnsi="Times New Roman" w:cs="Times New Roman"/>
          <w:sz w:val="20"/>
          <w:szCs w:val="20"/>
          <w:lang w:val="en-GB"/>
        </w:rPr>
        <w:t>while our no</w:t>
      </w:r>
      <w:r w:rsidR="00007637">
        <w:rPr>
          <w:rFonts w:ascii="Times New Roman" w:hAnsi="Times New Roman" w:cs="Times New Roman"/>
          <w:sz w:val="20"/>
          <w:szCs w:val="20"/>
          <w:lang w:val="en-GB"/>
        </w:rPr>
        <w:t xml:space="preserve">minal </w:t>
      </w:r>
      <w:r w:rsidR="00DF54E2">
        <w:rPr>
          <w:rFonts w:ascii="Times New Roman" w:hAnsi="Times New Roman" w:cs="Times New Roman"/>
          <w:sz w:val="20"/>
          <w:szCs w:val="20"/>
          <w:lang w:val="en-GB"/>
        </w:rPr>
        <w:t xml:space="preserve">daily returns for our optimised portfolio have been decent, our real daily returns </w:t>
      </w:r>
      <w:r w:rsidR="003D71FB">
        <w:rPr>
          <w:rFonts w:ascii="Times New Roman" w:hAnsi="Times New Roman" w:cs="Times New Roman"/>
          <w:sz w:val="20"/>
          <w:szCs w:val="20"/>
          <w:lang w:val="en-GB"/>
        </w:rPr>
        <w:t>w</w:t>
      </w:r>
      <w:r w:rsidR="00B93757">
        <w:rPr>
          <w:rFonts w:ascii="Times New Roman" w:hAnsi="Times New Roman" w:cs="Times New Roman"/>
          <w:sz w:val="20"/>
          <w:szCs w:val="20"/>
          <w:lang w:val="en-GB"/>
        </w:rPr>
        <w:t>ere</w:t>
      </w:r>
      <w:r w:rsidR="003D71FB">
        <w:rPr>
          <w:rFonts w:ascii="Times New Roman" w:hAnsi="Times New Roman" w:cs="Times New Roman"/>
          <w:sz w:val="20"/>
          <w:szCs w:val="20"/>
          <w:lang w:val="en-GB"/>
        </w:rPr>
        <w:t xml:space="preserve"> much lower </w:t>
      </w:r>
      <w:r w:rsidR="00F7783F">
        <w:rPr>
          <w:rFonts w:ascii="Times New Roman" w:hAnsi="Times New Roman" w:cs="Times New Roman"/>
          <w:sz w:val="20"/>
          <w:szCs w:val="20"/>
          <w:lang w:val="en-GB"/>
        </w:rPr>
        <w:t>after</w:t>
      </w:r>
      <w:r w:rsidR="00712B6D">
        <w:rPr>
          <w:rFonts w:ascii="Times New Roman" w:hAnsi="Times New Roman" w:cs="Times New Roman"/>
          <w:sz w:val="20"/>
          <w:szCs w:val="20"/>
          <w:lang w:val="en-GB"/>
        </w:rPr>
        <w:t xml:space="preserve"> account</w:t>
      </w:r>
      <w:r w:rsidR="00B93757">
        <w:rPr>
          <w:rFonts w:ascii="Times New Roman" w:hAnsi="Times New Roman" w:cs="Times New Roman"/>
          <w:sz w:val="20"/>
          <w:szCs w:val="20"/>
          <w:lang w:val="en-GB"/>
        </w:rPr>
        <w:t>ing</w:t>
      </w:r>
      <w:r w:rsidR="00712B6D">
        <w:rPr>
          <w:rFonts w:ascii="Times New Roman" w:hAnsi="Times New Roman" w:cs="Times New Roman"/>
          <w:sz w:val="20"/>
          <w:szCs w:val="20"/>
          <w:lang w:val="en-GB"/>
        </w:rPr>
        <w:t xml:space="preserve"> for inflation. </w:t>
      </w:r>
    </w:p>
    <w:p w14:paraId="4C43F6F3" w14:textId="77777777" w:rsidR="00902C89" w:rsidRDefault="00902C89" w:rsidP="0050328C">
      <w:pPr>
        <w:spacing w:line="240" w:lineRule="auto"/>
        <w:rPr>
          <w:rFonts w:ascii="Times New Roman" w:hAnsi="Times New Roman" w:cs="Times New Roman"/>
          <w:sz w:val="20"/>
          <w:szCs w:val="20"/>
          <w:lang w:val="en-GB"/>
        </w:rPr>
      </w:pPr>
    </w:p>
    <w:p w14:paraId="05334B7D" w14:textId="463722EF" w:rsidR="4A19C027" w:rsidRPr="0050328C" w:rsidRDefault="00080028" w:rsidP="0050328C">
      <w:pPr>
        <w:spacing w:line="240" w:lineRule="auto"/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lastRenderedPageBreak/>
        <w:t>2.4 Performance Ratios</w:t>
      </w:r>
      <w:r w:rsidR="00435AA0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</w:p>
    <w:p w14:paraId="0CCAF175" w14:textId="57986EF2" w:rsidR="00F22374" w:rsidRDefault="101541A2" w:rsidP="4DE7F515">
      <w:pPr>
        <w:spacing w:line="240" w:lineRule="auto"/>
        <w:jc w:val="center"/>
      </w:pPr>
      <w:r>
        <w:rPr>
          <w:noProof/>
        </w:rPr>
        <w:drawing>
          <wp:inline distT="0" distB="0" distL="0" distR="0" wp14:anchorId="1BD3CDC0" wp14:editId="4DE7F515">
            <wp:extent cx="3267075" cy="864414"/>
            <wp:effectExtent l="0" t="0" r="0" b="0"/>
            <wp:docPr id="1150850796" name="Picture 11508507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864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4FD38" w14:textId="0D44AB66" w:rsidR="00F22374" w:rsidRPr="00F22374" w:rsidRDefault="00F22374" w:rsidP="00F22374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Fig </w:t>
      </w:r>
      <w:r w:rsidR="009A7361">
        <w:rPr>
          <w:rFonts w:ascii="Times New Roman" w:hAnsi="Times New Roman" w:cs="Times New Roman"/>
          <w:sz w:val="20"/>
          <w:szCs w:val="20"/>
        </w:rPr>
        <w:t>10</w:t>
      </w:r>
      <w:r>
        <w:rPr>
          <w:rFonts w:ascii="Times New Roman" w:hAnsi="Times New Roman" w:cs="Times New Roman"/>
          <w:sz w:val="20"/>
          <w:szCs w:val="20"/>
        </w:rPr>
        <w:t>: Portfolio Performance Ratios</w:t>
      </w:r>
    </w:p>
    <w:p w14:paraId="1154ADB8" w14:textId="6C36A215" w:rsidR="0050328C" w:rsidRDefault="008F5256" w:rsidP="0050328C">
      <w:pPr>
        <w:spacing w:line="240" w:lineRule="auto"/>
        <w:jc w:val="center"/>
      </w:pPr>
      <w:r>
        <w:rPr>
          <w:noProof/>
        </w:rPr>
        <w:drawing>
          <wp:inline distT="0" distB="0" distL="0" distR="0" wp14:anchorId="5C7FB8C9" wp14:editId="2AE0D368">
            <wp:extent cx="3924502" cy="520727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24502" cy="52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D8485" w14:textId="05FEC2F3" w:rsidR="00986137" w:rsidRPr="00986137" w:rsidRDefault="00986137" w:rsidP="0050328C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Fig 1</w:t>
      </w:r>
      <w:r w:rsidR="009A7361">
        <w:rPr>
          <w:rFonts w:ascii="Times New Roman" w:hAnsi="Times New Roman" w:cs="Times New Roman"/>
          <w:sz w:val="20"/>
          <w:szCs w:val="20"/>
        </w:rPr>
        <w:t>1</w:t>
      </w:r>
      <w:r>
        <w:rPr>
          <w:rFonts w:ascii="Times New Roman" w:hAnsi="Times New Roman" w:cs="Times New Roman"/>
          <w:sz w:val="20"/>
          <w:szCs w:val="20"/>
        </w:rPr>
        <w:t>: Performance Ratios of S&amp;P500</w:t>
      </w:r>
      <w:r w:rsidR="008401C2">
        <w:rPr>
          <w:rFonts w:ascii="Times New Roman" w:hAnsi="Times New Roman" w:cs="Times New Roman"/>
          <w:sz w:val="20"/>
          <w:szCs w:val="20"/>
        </w:rPr>
        <w:t xml:space="preserve"> ETF</w:t>
      </w:r>
      <w:r w:rsidR="00E861D7">
        <w:rPr>
          <w:rFonts w:ascii="Times New Roman" w:hAnsi="Times New Roman" w:cs="Times New Roman"/>
          <w:sz w:val="20"/>
          <w:szCs w:val="20"/>
        </w:rPr>
        <w:t xml:space="preserve"> over the same period</w:t>
      </w:r>
    </w:p>
    <w:p w14:paraId="62800EF2" w14:textId="1ECC6B36" w:rsidR="00BA43FD" w:rsidRPr="006C10F9" w:rsidRDefault="3EEFE26A" w:rsidP="53BBD9EA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C10F9">
        <w:rPr>
          <w:rFonts w:ascii="Times New Roman" w:eastAsia="Times New Roman" w:hAnsi="Times New Roman" w:cs="Times New Roman"/>
          <w:sz w:val="20"/>
          <w:szCs w:val="20"/>
        </w:rPr>
        <w:t xml:space="preserve">We obtained the standard deviation and mean at the point at which the </w:t>
      </w:r>
      <w:r w:rsidR="009C18A2" w:rsidRPr="006C10F9">
        <w:rPr>
          <w:rFonts w:ascii="Times New Roman" w:eastAsia="Times New Roman" w:hAnsi="Times New Roman" w:cs="Times New Roman"/>
          <w:sz w:val="20"/>
          <w:szCs w:val="20"/>
        </w:rPr>
        <w:t>SML</w:t>
      </w:r>
      <w:r w:rsidRPr="006C10F9">
        <w:rPr>
          <w:rFonts w:ascii="Times New Roman" w:eastAsia="Times New Roman" w:hAnsi="Times New Roman" w:cs="Times New Roman"/>
          <w:sz w:val="20"/>
          <w:szCs w:val="20"/>
        </w:rPr>
        <w:t xml:space="preserve"> tangents the MVF. Using the optimal weights, we </w:t>
      </w:r>
      <w:r w:rsidR="62934561" w:rsidRPr="006C10F9">
        <w:rPr>
          <w:rFonts w:ascii="Times New Roman" w:eastAsia="Times New Roman" w:hAnsi="Times New Roman" w:cs="Times New Roman"/>
          <w:sz w:val="20"/>
          <w:szCs w:val="20"/>
        </w:rPr>
        <w:t>calculated the optimal weighted return of our portfolio. With these values, we evaluated the performance of our portfolio by using the following risk-adjusted performance measures: Sharpe Ratio, Roy’s Safety First</w:t>
      </w:r>
      <w:r w:rsidR="5467A88E" w:rsidRPr="006C10F9">
        <w:rPr>
          <w:rFonts w:ascii="Times New Roman" w:eastAsia="Times New Roman" w:hAnsi="Times New Roman" w:cs="Times New Roman"/>
          <w:sz w:val="20"/>
          <w:szCs w:val="20"/>
        </w:rPr>
        <w:t xml:space="preserve"> Ratio, </w:t>
      </w:r>
      <w:proofErr w:type="spellStart"/>
      <w:r w:rsidR="5467A88E" w:rsidRPr="006C10F9">
        <w:rPr>
          <w:rFonts w:ascii="Times New Roman" w:eastAsia="Times New Roman" w:hAnsi="Times New Roman" w:cs="Times New Roman"/>
          <w:sz w:val="20"/>
          <w:szCs w:val="20"/>
        </w:rPr>
        <w:t>Treynor</w:t>
      </w:r>
      <w:proofErr w:type="spellEnd"/>
      <w:r w:rsidR="5467A88E" w:rsidRPr="006C10F9">
        <w:rPr>
          <w:rFonts w:ascii="Times New Roman" w:eastAsia="Times New Roman" w:hAnsi="Times New Roman" w:cs="Times New Roman"/>
          <w:sz w:val="20"/>
          <w:szCs w:val="20"/>
        </w:rPr>
        <w:t xml:space="preserve"> ratio, </w:t>
      </w:r>
      <w:proofErr w:type="spellStart"/>
      <w:r w:rsidR="5467A88E" w:rsidRPr="006C10F9">
        <w:rPr>
          <w:rFonts w:ascii="Times New Roman" w:eastAsia="Times New Roman" w:hAnsi="Times New Roman" w:cs="Times New Roman"/>
          <w:sz w:val="20"/>
          <w:szCs w:val="20"/>
        </w:rPr>
        <w:t>Sortino</w:t>
      </w:r>
      <w:proofErr w:type="spellEnd"/>
      <w:r w:rsidR="5467A88E" w:rsidRPr="006C10F9">
        <w:rPr>
          <w:rFonts w:ascii="Times New Roman" w:eastAsia="Times New Roman" w:hAnsi="Times New Roman" w:cs="Times New Roman"/>
          <w:sz w:val="20"/>
          <w:szCs w:val="20"/>
        </w:rPr>
        <w:t xml:space="preserve"> ratio and Information ratio.</w:t>
      </w:r>
      <w:r w:rsidR="04B73B76" w:rsidRPr="006C10F9">
        <w:rPr>
          <w:rFonts w:ascii="Times New Roman" w:eastAsia="Times New Roman" w:hAnsi="Times New Roman" w:cs="Times New Roman"/>
          <w:sz w:val="20"/>
          <w:szCs w:val="20"/>
        </w:rPr>
        <w:t xml:space="preserve"> For our benchmark, we selected SP500’s returns in the same period as the benchmark returns.</w:t>
      </w:r>
    </w:p>
    <w:p w14:paraId="231311B4" w14:textId="0B6CA845" w:rsidR="5925B761" w:rsidRPr="006C10F9" w:rsidRDefault="37A0007D" w:rsidP="53BBD9EA">
      <w:pPr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6C10F9">
        <w:rPr>
          <w:rFonts w:ascii="Times New Roman" w:eastAsia="Times New Roman" w:hAnsi="Times New Roman" w:cs="Times New Roman"/>
          <w:b/>
          <w:bCs/>
          <w:sz w:val="20"/>
          <w:szCs w:val="20"/>
        </w:rPr>
        <w:t>Sharpe Ratio</w:t>
      </w:r>
    </w:p>
    <w:p w14:paraId="5443FD81" w14:textId="13E6D930" w:rsidR="32907819" w:rsidRPr="006C10F9" w:rsidRDefault="7CBFBEB6" w:rsidP="53BBD9EA">
      <w:pPr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6C10F9">
        <w:rPr>
          <w:rFonts w:ascii="Times New Roman" w:eastAsia="Times New Roman" w:hAnsi="Times New Roman" w:cs="Times New Roman"/>
          <w:sz w:val="20"/>
          <w:szCs w:val="20"/>
        </w:rPr>
        <w:t xml:space="preserve">Compared to the benchmark </w:t>
      </w:r>
      <w:proofErr w:type="spellStart"/>
      <w:r w:rsidRPr="006C10F9">
        <w:rPr>
          <w:rFonts w:ascii="Times New Roman" w:eastAsia="Times New Roman" w:hAnsi="Times New Roman" w:cs="Times New Roman"/>
          <w:sz w:val="20"/>
          <w:szCs w:val="20"/>
        </w:rPr>
        <w:t>sharpe</w:t>
      </w:r>
      <w:proofErr w:type="spellEnd"/>
      <w:r w:rsidRPr="006C10F9">
        <w:rPr>
          <w:rFonts w:ascii="Times New Roman" w:eastAsia="Times New Roman" w:hAnsi="Times New Roman" w:cs="Times New Roman"/>
          <w:sz w:val="20"/>
          <w:szCs w:val="20"/>
        </w:rPr>
        <w:t xml:space="preserve"> ratio, our portfolio’s </w:t>
      </w:r>
      <w:proofErr w:type="spellStart"/>
      <w:r w:rsidRPr="006C10F9">
        <w:rPr>
          <w:rFonts w:ascii="Times New Roman" w:eastAsia="Times New Roman" w:hAnsi="Times New Roman" w:cs="Times New Roman"/>
          <w:sz w:val="20"/>
          <w:szCs w:val="20"/>
        </w:rPr>
        <w:t>sharpe</w:t>
      </w:r>
      <w:proofErr w:type="spellEnd"/>
      <w:r w:rsidRPr="006C10F9">
        <w:rPr>
          <w:rFonts w:ascii="Times New Roman" w:eastAsia="Times New Roman" w:hAnsi="Times New Roman" w:cs="Times New Roman"/>
          <w:sz w:val="20"/>
          <w:szCs w:val="20"/>
        </w:rPr>
        <w:t xml:space="preserve"> ratio is much higher, suggesting</w:t>
      </w:r>
      <w:r w:rsidR="51A6BB9E" w:rsidRPr="006C10F9">
        <w:rPr>
          <w:rFonts w:ascii="Times New Roman" w:eastAsia="Times New Roman" w:hAnsi="Times New Roman" w:cs="Times New Roman"/>
          <w:sz w:val="20"/>
          <w:szCs w:val="20"/>
        </w:rPr>
        <w:t xml:space="preserve"> that it’s risk-adjusted performance is better.</w:t>
      </w:r>
      <w:r w:rsidRPr="006C10F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67669DC7" w14:textId="515C1F35" w:rsidR="189E5402" w:rsidRPr="006C10F9" w:rsidRDefault="7AEB9402" w:rsidP="53BBD9EA">
      <w:pPr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6C10F9">
        <w:rPr>
          <w:rFonts w:ascii="Times New Roman" w:eastAsia="Times New Roman" w:hAnsi="Times New Roman" w:cs="Times New Roman"/>
          <w:b/>
          <w:sz w:val="20"/>
          <w:szCs w:val="20"/>
        </w:rPr>
        <w:t>Safety First Ratio</w:t>
      </w:r>
    </w:p>
    <w:p w14:paraId="27492DF9" w14:textId="6031F328" w:rsidR="1A530E5C" w:rsidRPr="006C10F9" w:rsidRDefault="3742AD8E" w:rsidP="53BBD9EA">
      <w:pPr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6C10F9">
        <w:rPr>
          <w:rFonts w:ascii="Times New Roman" w:eastAsia="Times New Roman" w:hAnsi="Times New Roman" w:cs="Times New Roman"/>
          <w:sz w:val="20"/>
          <w:szCs w:val="20"/>
        </w:rPr>
        <w:t>Our portfolio’s safety first ratio is slightly lower than the benchmark’s safety first ratio.</w:t>
      </w:r>
      <w:r w:rsidR="67E22A4F" w:rsidRPr="006C10F9">
        <w:rPr>
          <w:rFonts w:ascii="Times New Roman" w:eastAsia="Times New Roman" w:hAnsi="Times New Roman" w:cs="Times New Roman"/>
          <w:sz w:val="20"/>
          <w:szCs w:val="20"/>
        </w:rPr>
        <w:t xml:space="preserve"> This means our portfolio is slightly less likely to hit the required minimum return.</w:t>
      </w:r>
    </w:p>
    <w:p w14:paraId="7BE2A748" w14:textId="33CD4D89" w:rsidR="01C01505" w:rsidRPr="006C10F9" w:rsidRDefault="1C1FB439" w:rsidP="53BBD9EA">
      <w:pPr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6C10F9">
        <w:rPr>
          <w:rFonts w:ascii="Times New Roman" w:eastAsia="Times New Roman" w:hAnsi="Times New Roman" w:cs="Times New Roman"/>
          <w:b/>
          <w:sz w:val="20"/>
          <w:szCs w:val="20"/>
        </w:rPr>
        <w:t>Treynor ratio</w:t>
      </w:r>
    </w:p>
    <w:p w14:paraId="09B0961D" w14:textId="03C42CB6" w:rsidR="2AFB0C8F" w:rsidRPr="006C10F9" w:rsidRDefault="4CD39EC9" w:rsidP="53BBD9EA">
      <w:pPr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6C10F9">
        <w:rPr>
          <w:rFonts w:ascii="Times New Roman" w:eastAsia="Times New Roman" w:hAnsi="Times New Roman" w:cs="Times New Roman"/>
          <w:sz w:val="20"/>
          <w:szCs w:val="20"/>
        </w:rPr>
        <w:t xml:space="preserve">Given that the </w:t>
      </w:r>
      <w:proofErr w:type="spellStart"/>
      <w:r w:rsidR="00E1044B" w:rsidRPr="006C10F9">
        <w:rPr>
          <w:rFonts w:ascii="Times New Roman" w:eastAsia="Times New Roman" w:hAnsi="Times New Roman" w:cs="Times New Roman"/>
          <w:sz w:val="20"/>
          <w:szCs w:val="20"/>
        </w:rPr>
        <w:t>Treynor</w:t>
      </w:r>
      <w:proofErr w:type="spellEnd"/>
      <w:r w:rsidRPr="006C10F9">
        <w:rPr>
          <w:rFonts w:ascii="Times New Roman" w:eastAsia="Times New Roman" w:hAnsi="Times New Roman" w:cs="Times New Roman"/>
          <w:sz w:val="20"/>
          <w:szCs w:val="20"/>
        </w:rPr>
        <w:t xml:space="preserve"> ratio is positive, our portfolio is </w:t>
      </w:r>
      <w:r w:rsidR="481BBAA0" w:rsidRPr="006C10F9">
        <w:rPr>
          <w:rFonts w:ascii="Times New Roman" w:eastAsia="Times New Roman" w:hAnsi="Times New Roman" w:cs="Times New Roman"/>
          <w:sz w:val="20"/>
          <w:szCs w:val="20"/>
        </w:rPr>
        <w:t>less sensitive to market risk.</w:t>
      </w:r>
    </w:p>
    <w:p w14:paraId="6077DCB6" w14:textId="179AF744" w:rsidR="01C01505" w:rsidRPr="006C10F9" w:rsidRDefault="1C1FB439" w:rsidP="53BBD9EA">
      <w:pPr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6C10F9">
        <w:rPr>
          <w:rFonts w:ascii="Times New Roman" w:eastAsia="Times New Roman" w:hAnsi="Times New Roman" w:cs="Times New Roman"/>
          <w:b/>
          <w:sz w:val="20"/>
          <w:szCs w:val="20"/>
        </w:rPr>
        <w:t xml:space="preserve">Sortino ratio </w:t>
      </w:r>
    </w:p>
    <w:p w14:paraId="3181E1B5" w14:textId="35FE0BEA" w:rsidR="3040D7C5" w:rsidRPr="006C10F9" w:rsidRDefault="33F964A9" w:rsidP="53BBD9EA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C10F9">
        <w:rPr>
          <w:rFonts w:ascii="Times New Roman" w:eastAsia="Times New Roman" w:hAnsi="Times New Roman" w:cs="Times New Roman"/>
          <w:sz w:val="20"/>
          <w:szCs w:val="20"/>
        </w:rPr>
        <w:t xml:space="preserve">Our portfolio’s </w:t>
      </w:r>
      <w:r w:rsidR="71524A6D" w:rsidRPr="006C10F9">
        <w:rPr>
          <w:rFonts w:ascii="Times New Roman" w:eastAsia="Times New Roman" w:hAnsi="Times New Roman" w:cs="Times New Roman"/>
          <w:sz w:val="20"/>
          <w:szCs w:val="20"/>
        </w:rPr>
        <w:t>ratio is higher than that of the benchmark’s.</w:t>
      </w:r>
      <w:r w:rsidR="0C3FAA1A" w:rsidRPr="006C10F9">
        <w:rPr>
          <w:rFonts w:ascii="Times New Roman" w:eastAsia="Times New Roman" w:hAnsi="Times New Roman" w:cs="Times New Roman"/>
          <w:sz w:val="20"/>
          <w:szCs w:val="20"/>
        </w:rPr>
        <w:t xml:space="preserve"> Hence, given the downside deviations of both assets, our portfolio is returning more efficiently.</w:t>
      </w:r>
    </w:p>
    <w:p w14:paraId="770E175B" w14:textId="3582F317" w:rsidR="01C01505" w:rsidRPr="006C10F9" w:rsidRDefault="1C1FB439" w:rsidP="53BBD9EA">
      <w:pPr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6C10F9">
        <w:rPr>
          <w:rFonts w:ascii="Times New Roman" w:eastAsia="Times New Roman" w:hAnsi="Times New Roman" w:cs="Times New Roman"/>
          <w:b/>
          <w:sz w:val="20"/>
          <w:szCs w:val="20"/>
        </w:rPr>
        <w:t>Information ratio</w:t>
      </w:r>
    </w:p>
    <w:p w14:paraId="5454EA6D" w14:textId="36F265ED" w:rsidR="02949618" w:rsidRPr="006C10F9" w:rsidRDefault="07AD3327" w:rsidP="53BBD9EA">
      <w:pPr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6C10F9">
        <w:rPr>
          <w:rFonts w:ascii="Times New Roman" w:eastAsia="Times New Roman" w:hAnsi="Times New Roman" w:cs="Times New Roman"/>
          <w:sz w:val="20"/>
          <w:szCs w:val="20"/>
        </w:rPr>
        <w:t>Since our information ratio is negative, this means that it was unable to produce excess returns.</w:t>
      </w:r>
    </w:p>
    <w:p w14:paraId="1293F545" w14:textId="54AF491E" w:rsidR="1AA19B98" w:rsidRPr="006C10F9" w:rsidRDefault="0CE03A03" w:rsidP="53BBD9EA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C10F9">
        <w:rPr>
          <w:rFonts w:ascii="Times New Roman" w:eastAsia="Times New Roman" w:hAnsi="Times New Roman" w:cs="Times New Roman"/>
          <w:sz w:val="20"/>
          <w:szCs w:val="20"/>
        </w:rPr>
        <w:t>Overall, the performance of our portfolio based on these risk-adjusted yardsticks is better than the benchmark return’s performance</w:t>
      </w:r>
      <w:r w:rsidR="1ED001A2" w:rsidRPr="006C10F9">
        <w:rPr>
          <w:rFonts w:ascii="Times New Roman" w:eastAsia="Times New Roman" w:hAnsi="Times New Roman" w:cs="Times New Roman"/>
          <w:sz w:val="20"/>
          <w:szCs w:val="20"/>
        </w:rPr>
        <w:t>, making it a suitable investment.</w:t>
      </w:r>
    </w:p>
    <w:p w14:paraId="164BA4A0" w14:textId="61511F3A" w:rsidR="00E60193" w:rsidRDefault="00306BA9" w:rsidP="53BBD9EA">
      <w:pPr>
        <w:spacing w:line="240" w:lineRule="auto"/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 xml:space="preserve">2.5 </w:t>
      </w:r>
      <w:r w:rsidR="006C10F9">
        <w:rPr>
          <w:rFonts w:ascii="Times New Roman" w:hAnsi="Times New Roman" w:cs="Times New Roman"/>
          <w:sz w:val="20"/>
          <w:szCs w:val="20"/>
          <w:lang w:val="en-GB"/>
        </w:rPr>
        <w:t>Portfolio Limitations</w:t>
      </w:r>
    </w:p>
    <w:p w14:paraId="6FC05B99" w14:textId="31B1320E" w:rsidR="00326BB9" w:rsidRDefault="00326BB9" w:rsidP="53BBD9EA">
      <w:pPr>
        <w:spacing w:line="240" w:lineRule="auto"/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 xml:space="preserve">The </w:t>
      </w:r>
      <w:r w:rsidR="00310B3E">
        <w:rPr>
          <w:rFonts w:ascii="Times New Roman" w:hAnsi="Times New Roman" w:cs="Times New Roman"/>
          <w:sz w:val="20"/>
          <w:szCs w:val="20"/>
          <w:lang w:val="en-GB"/>
        </w:rPr>
        <w:t xml:space="preserve">tangency </w:t>
      </w:r>
      <w:r>
        <w:rPr>
          <w:rFonts w:ascii="Times New Roman" w:hAnsi="Times New Roman" w:cs="Times New Roman"/>
          <w:sz w:val="20"/>
          <w:szCs w:val="20"/>
          <w:lang w:val="en-GB"/>
        </w:rPr>
        <w:t xml:space="preserve">portfolio only works well </w:t>
      </w:r>
      <w:r w:rsidR="007C7B90">
        <w:rPr>
          <w:rFonts w:ascii="Times New Roman" w:hAnsi="Times New Roman" w:cs="Times New Roman"/>
          <w:sz w:val="20"/>
          <w:szCs w:val="20"/>
          <w:lang w:val="en-GB"/>
        </w:rPr>
        <w:t xml:space="preserve">when our estimations of the </w:t>
      </w:r>
      <w:r w:rsidR="00245F31">
        <w:rPr>
          <w:rFonts w:ascii="Times New Roman" w:hAnsi="Times New Roman" w:cs="Times New Roman"/>
          <w:sz w:val="20"/>
          <w:szCs w:val="20"/>
          <w:lang w:val="en-GB"/>
        </w:rPr>
        <w:t xml:space="preserve">means and variances of the asset components of the </w:t>
      </w:r>
      <w:r w:rsidR="00A7192F">
        <w:rPr>
          <w:rFonts w:ascii="Times New Roman" w:hAnsi="Times New Roman" w:cs="Times New Roman"/>
          <w:sz w:val="20"/>
          <w:szCs w:val="20"/>
          <w:lang w:val="en-GB"/>
        </w:rPr>
        <w:t xml:space="preserve">portfolio is accurate. </w:t>
      </w:r>
      <w:r w:rsidR="00137CE2">
        <w:rPr>
          <w:rFonts w:ascii="Times New Roman" w:hAnsi="Times New Roman" w:cs="Times New Roman"/>
          <w:sz w:val="20"/>
          <w:szCs w:val="20"/>
          <w:lang w:val="en-GB"/>
        </w:rPr>
        <w:t xml:space="preserve">However, in the short-term, the </w:t>
      </w:r>
      <w:r w:rsidR="00B91A49">
        <w:rPr>
          <w:rFonts w:ascii="Times New Roman" w:hAnsi="Times New Roman" w:cs="Times New Roman"/>
          <w:sz w:val="20"/>
          <w:szCs w:val="20"/>
          <w:lang w:val="en-GB"/>
        </w:rPr>
        <w:t xml:space="preserve">means and variances of the assets used in the portfolio may </w:t>
      </w:r>
      <w:r w:rsidR="00C33E77">
        <w:rPr>
          <w:rFonts w:ascii="Times New Roman" w:hAnsi="Times New Roman" w:cs="Times New Roman"/>
          <w:sz w:val="20"/>
          <w:szCs w:val="20"/>
          <w:lang w:val="en-GB"/>
        </w:rPr>
        <w:t>likely</w:t>
      </w:r>
      <w:r w:rsidR="00B91A49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="0042001F">
        <w:rPr>
          <w:rFonts w:ascii="Times New Roman" w:hAnsi="Times New Roman" w:cs="Times New Roman"/>
          <w:sz w:val="20"/>
          <w:szCs w:val="20"/>
          <w:lang w:val="en-GB"/>
        </w:rPr>
        <w:t xml:space="preserve">have </w:t>
      </w:r>
      <w:r w:rsidR="00B91A49">
        <w:rPr>
          <w:rFonts w:ascii="Times New Roman" w:hAnsi="Times New Roman" w:cs="Times New Roman"/>
          <w:sz w:val="20"/>
          <w:szCs w:val="20"/>
          <w:lang w:val="en-GB"/>
        </w:rPr>
        <w:t>significantly different means and variances as that which we have estimated using</w:t>
      </w:r>
      <w:r w:rsidR="00DD42D9">
        <w:rPr>
          <w:rFonts w:ascii="Times New Roman" w:hAnsi="Times New Roman" w:cs="Times New Roman"/>
          <w:sz w:val="20"/>
          <w:szCs w:val="20"/>
          <w:lang w:val="en-GB"/>
        </w:rPr>
        <w:t xml:space="preserve"> the</w:t>
      </w:r>
      <w:r w:rsidR="00B91A49">
        <w:rPr>
          <w:rFonts w:ascii="Times New Roman" w:hAnsi="Times New Roman" w:cs="Times New Roman"/>
          <w:sz w:val="20"/>
          <w:szCs w:val="20"/>
          <w:lang w:val="en-GB"/>
        </w:rPr>
        <w:t xml:space="preserve"> historical data of ten years. </w:t>
      </w:r>
    </w:p>
    <w:p w14:paraId="1E84BF1A" w14:textId="35EAE40F" w:rsidR="009165A3" w:rsidRDefault="009165A3" w:rsidP="53BBD9EA">
      <w:pPr>
        <w:spacing w:line="240" w:lineRule="auto"/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>A</w:t>
      </w:r>
      <w:r w:rsidR="00D35B58">
        <w:rPr>
          <w:rFonts w:ascii="Times New Roman" w:hAnsi="Times New Roman" w:cs="Times New Roman"/>
          <w:sz w:val="20"/>
          <w:szCs w:val="20"/>
          <w:lang w:val="en-GB"/>
        </w:rPr>
        <w:t>dditional</w:t>
      </w:r>
      <w:r w:rsidR="00DE5748">
        <w:rPr>
          <w:rFonts w:ascii="Times New Roman" w:hAnsi="Times New Roman" w:cs="Times New Roman"/>
          <w:sz w:val="20"/>
          <w:szCs w:val="20"/>
          <w:lang w:val="en-GB"/>
        </w:rPr>
        <w:t>ly</w:t>
      </w:r>
      <w:r w:rsidR="00D35B58">
        <w:rPr>
          <w:rFonts w:ascii="Times New Roman" w:hAnsi="Times New Roman" w:cs="Times New Roman"/>
          <w:sz w:val="20"/>
          <w:szCs w:val="20"/>
          <w:lang w:val="en-GB"/>
        </w:rPr>
        <w:t xml:space="preserve">, the correlations between assets of the portfolio may also change significantly </w:t>
      </w:r>
      <w:r w:rsidR="00B04F89">
        <w:rPr>
          <w:rFonts w:ascii="Times New Roman" w:hAnsi="Times New Roman" w:cs="Times New Roman"/>
          <w:sz w:val="20"/>
          <w:szCs w:val="20"/>
          <w:lang w:val="en-GB"/>
        </w:rPr>
        <w:t xml:space="preserve">during special economic events. Once example </w:t>
      </w:r>
      <w:r w:rsidR="00DB048B">
        <w:rPr>
          <w:rFonts w:ascii="Times New Roman" w:hAnsi="Times New Roman" w:cs="Times New Roman"/>
          <w:sz w:val="20"/>
          <w:szCs w:val="20"/>
          <w:lang w:val="en-GB"/>
        </w:rPr>
        <w:t xml:space="preserve">of such would be during the start of the Covid-19 pandemic which spurred a huge sell-off in many different asset markets (equities, bonds) </w:t>
      </w:r>
      <w:r w:rsidR="00966D72">
        <w:rPr>
          <w:rFonts w:ascii="Times New Roman" w:hAnsi="Times New Roman" w:cs="Times New Roman"/>
          <w:sz w:val="20"/>
          <w:szCs w:val="20"/>
          <w:lang w:val="en-GB"/>
        </w:rPr>
        <w:t xml:space="preserve">in March 2019. </w:t>
      </w:r>
      <w:r w:rsidR="009E7C91">
        <w:rPr>
          <w:rFonts w:ascii="Times New Roman" w:hAnsi="Times New Roman" w:cs="Times New Roman"/>
          <w:sz w:val="20"/>
          <w:szCs w:val="20"/>
          <w:lang w:val="en-GB"/>
        </w:rPr>
        <w:t xml:space="preserve">During such periods, the </w:t>
      </w:r>
      <w:r w:rsidR="00743567">
        <w:rPr>
          <w:rFonts w:ascii="Times New Roman" w:hAnsi="Times New Roman" w:cs="Times New Roman"/>
          <w:sz w:val="20"/>
          <w:szCs w:val="20"/>
          <w:lang w:val="en-GB"/>
        </w:rPr>
        <w:t xml:space="preserve">assets are likely to become highly correlated </w:t>
      </w:r>
      <w:r w:rsidR="00764A78">
        <w:rPr>
          <w:rFonts w:ascii="Times New Roman" w:hAnsi="Times New Roman" w:cs="Times New Roman"/>
          <w:sz w:val="20"/>
          <w:szCs w:val="20"/>
          <w:lang w:val="en-GB"/>
        </w:rPr>
        <w:t>during such frenzy sell-offs.</w:t>
      </w:r>
      <w:r w:rsidR="00F15A02">
        <w:rPr>
          <w:rFonts w:ascii="Times New Roman" w:hAnsi="Times New Roman" w:cs="Times New Roman"/>
          <w:sz w:val="20"/>
          <w:szCs w:val="20"/>
          <w:lang w:val="en-GB"/>
        </w:rPr>
        <w:t xml:space="preserve"> The tangency portfolio </w:t>
      </w:r>
      <w:r w:rsidR="00666B3D">
        <w:rPr>
          <w:rFonts w:ascii="Times New Roman" w:hAnsi="Times New Roman" w:cs="Times New Roman"/>
          <w:sz w:val="20"/>
          <w:szCs w:val="20"/>
          <w:lang w:val="en-GB"/>
        </w:rPr>
        <w:t xml:space="preserve">is not </w:t>
      </w:r>
      <w:r w:rsidR="000C1F70">
        <w:rPr>
          <w:rFonts w:ascii="Times New Roman" w:hAnsi="Times New Roman" w:cs="Times New Roman"/>
          <w:sz w:val="20"/>
          <w:szCs w:val="20"/>
          <w:lang w:val="en-GB"/>
        </w:rPr>
        <w:t>designed</w:t>
      </w:r>
      <w:r w:rsidR="00666B3D">
        <w:rPr>
          <w:rFonts w:ascii="Times New Roman" w:hAnsi="Times New Roman" w:cs="Times New Roman"/>
          <w:sz w:val="20"/>
          <w:szCs w:val="20"/>
          <w:lang w:val="en-GB"/>
        </w:rPr>
        <w:t xml:space="preserve"> to</w:t>
      </w:r>
      <w:r w:rsidR="00F15A02">
        <w:rPr>
          <w:rFonts w:ascii="Times New Roman" w:hAnsi="Times New Roman" w:cs="Times New Roman"/>
          <w:sz w:val="20"/>
          <w:szCs w:val="20"/>
          <w:lang w:val="en-GB"/>
        </w:rPr>
        <w:t xml:space="preserve"> outperform benchmarks and </w:t>
      </w:r>
      <w:r w:rsidR="000224A8">
        <w:rPr>
          <w:rFonts w:ascii="Times New Roman" w:hAnsi="Times New Roman" w:cs="Times New Roman"/>
          <w:sz w:val="20"/>
          <w:szCs w:val="20"/>
          <w:lang w:val="en-GB"/>
        </w:rPr>
        <w:t>other portfolios during such event</w:t>
      </w:r>
      <w:r w:rsidR="00407D56">
        <w:rPr>
          <w:rFonts w:ascii="Times New Roman" w:hAnsi="Times New Roman" w:cs="Times New Roman"/>
          <w:sz w:val="20"/>
          <w:szCs w:val="20"/>
          <w:lang w:val="en-GB"/>
        </w:rPr>
        <w:t>s.</w:t>
      </w:r>
    </w:p>
    <w:p w14:paraId="0AC80C2D" w14:textId="77777777" w:rsidR="008B548A" w:rsidRDefault="008B548A" w:rsidP="53BBD9EA">
      <w:pP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GB"/>
        </w:rPr>
      </w:pPr>
    </w:p>
    <w:p w14:paraId="7DABAA8F" w14:textId="0AD0E403" w:rsidR="006C10F9" w:rsidRPr="00DE7338" w:rsidRDefault="00DE7338" w:rsidP="53BBD9EA">
      <w:pP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GB"/>
        </w:rPr>
        <w:t xml:space="preserve">3. </w:t>
      </w:r>
      <w:r w:rsidR="00D27452" w:rsidRPr="00DE7338">
        <w:rPr>
          <w:rFonts w:ascii="Times New Roman" w:eastAsia="Times New Roman" w:hAnsi="Times New Roman" w:cs="Times New Roman"/>
          <w:b/>
          <w:bCs/>
          <w:sz w:val="28"/>
          <w:szCs w:val="28"/>
          <w:lang w:val="en-GB"/>
        </w:rPr>
        <w:t>Declaration</w:t>
      </w:r>
    </w:p>
    <w:p w14:paraId="0976E787" w14:textId="6735CA8E" w:rsidR="00371606" w:rsidRPr="00BA1E5D" w:rsidRDefault="00D27452" w:rsidP="00BA1E5D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9B2FDA">
        <w:rPr>
          <w:rFonts w:ascii="Times New Roman" w:hAnsi="Times New Roman" w:cs="Times New Roman"/>
          <w:sz w:val="20"/>
          <w:szCs w:val="20"/>
        </w:rPr>
        <w:t>Each member of this group contributes honestly and fairly to the completion of this report</w:t>
      </w:r>
      <w:r w:rsidR="00BA1E5D">
        <w:rPr>
          <w:rFonts w:ascii="Times New Roman" w:hAnsi="Times New Roman" w:cs="Times New Roman"/>
          <w:sz w:val="20"/>
          <w:szCs w:val="20"/>
        </w:rPr>
        <w:t>.</w:t>
      </w:r>
    </w:p>
    <w:sdt>
      <w:sdtPr>
        <w:id w:val="-573587230"/>
        <w:bibliography/>
      </w:sdtPr>
      <w:sdtEndPr/>
      <w:sdtContent>
        <w:p w14:paraId="341087CD" w14:textId="77777777" w:rsidR="007C1FE4" w:rsidRDefault="007C1FE4" w:rsidP="00371606">
          <w:pPr>
            <w:pStyle w:val="Bibliography"/>
          </w:pPr>
        </w:p>
        <w:p w14:paraId="1AB6BBC5" w14:textId="2EB69A7F" w:rsidR="007C1FE4" w:rsidRPr="00C83FB0" w:rsidRDefault="007C1FE4" w:rsidP="007C1FE4">
          <w:pPr>
            <w:pStyle w:val="NormalWeb"/>
            <w:spacing w:before="0" w:beforeAutospacing="0" w:after="0" w:afterAutospacing="0"/>
            <w:jc w:val="center"/>
            <w:textAlignment w:val="baseline"/>
            <w:rPr>
              <w:noProof/>
              <w:sz w:val="22"/>
              <w:szCs w:val="22"/>
            </w:rPr>
          </w:pPr>
          <w:r w:rsidRPr="00C83FB0">
            <w:rPr>
              <w:b/>
              <w:bCs/>
              <w:noProof/>
              <w:sz w:val="22"/>
              <w:szCs w:val="22"/>
            </w:rPr>
            <w:t>References</w:t>
          </w:r>
        </w:p>
        <w:p w14:paraId="249C7D15" w14:textId="77777777" w:rsidR="007C1FE4" w:rsidRDefault="007C1FE4" w:rsidP="007C1FE4">
          <w:pPr>
            <w:pStyle w:val="NormalWeb"/>
            <w:spacing w:before="0" w:beforeAutospacing="0" w:after="0" w:afterAutospacing="0"/>
            <w:textAlignment w:val="baseline"/>
            <w:rPr>
              <w:b/>
              <w:bCs/>
              <w:noProof/>
              <w:sz w:val="20"/>
              <w:szCs w:val="20"/>
            </w:rPr>
          </w:pPr>
        </w:p>
        <w:p w14:paraId="78808795" w14:textId="200A85B6" w:rsidR="007C1FE4" w:rsidRPr="007C1FE4" w:rsidRDefault="007C1FE4" w:rsidP="007C1FE4">
          <w:pPr>
            <w:rPr>
              <w:rFonts w:ascii="Times New Roman" w:eastAsia="Times New Roman" w:hAnsi="Times New Roman" w:cs="Times New Roman"/>
              <w:noProof/>
              <w:sz w:val="20"/>
              <w:szCs w:val="20"/>
            </w:rPr>
          </w:pPr>
          <w:r w:rsidRPr="007C1FE4">
            <w:rPr>
              <w:rFonts w:ascii="Times New Roman" w:eastAsia="Times New Roman" w:hAnsi="Times New Roman" w:cs="Times New Roman"/>
              <w:noProof/>
              <w:sz w:val="20"/>
              <w:szCs w:val="20"/>
            </w:rPr>
            <w:t xml:space="preserve">Resolve Asset Management. (n.d.). PORTFOLIO OPTIMIZATION: SIMPLE VERSUS OPTIMAL METHODS. Retrieved from Resolve Asset Management: </w:t>
          </w:r>
          <w:hyperlink r:id="rId24" w:history="1">
            <w:r w:rsidRPr="007C1FE4">
              <w:rPr>
                <w:rStyle w:val="Hyperlink"/>
                <w:rFonts w:ascii="Times New Roman" w:eastAsia="Times New Roman" w:hAnsi="Times New Roman" w:cs="Times New Roman"/>
                <w:noProof/>
                <w:color w:val="auto"/>
                <w:sz w:val="20"/>
                <w:szCs w:val="20"/>
              </w:rPr>
              <w:t>https://investresolve.com/portfolio-optimization-simple-optimal-methods/</w:t>
            </w:r>
          </w:hyperlink>
        </w:p>
        <w:p w14:paraId="47C884A4" w14:textId="34CEB19C" w:rsidR="007C1FE4" w:rsidRPr="007C1FE4" w:rsidRDefault="007C1FE4" w:rsidP="007C1FE4">
          <w:pPr>
            <w:rPr>
              <w:rFonts w:ascii="Times New Roman" w:eastAsia="Times New Roman" w:hAnsi="Times New Roman" w:cs="Times New Roman"/>
              <w:noProof/>
              <w:sz w:val="20"/>
              <w:szCs w:val="20"/>
            </w:rPr>
          </w:pPr>
          <w:proofErr w:type="spellStart"/>
          <w:r w:rsidRPr="007C1FE4">
            <w:rPr>
              <w:rFonts w:ascii="Times New Roman" w:hAnsi="Times New Roman" w:cs="Times New Roman"/>
              <w:sz w:val="20"/>
              <w:szCs w:val="20"/>
            </w:rPr>
            <w:t>Fama</w:t>
          </w:r>
          <w:proofErr w:type="spellEnd"/>
          <w:r w:rsidRPr="007C1FE4">
            <w:rPr>
              <w:rFonts w:ascii="Times New Roman" w:hAnsi="Times New Roman" w:cs="Times New Roman"/>
              <w:sz w:val="20"/>
              <w:szCs w:val="20"/>
            </w:rPr>
            <w:t>, Eugene, and Kenneth French. 1988. “Permanent and Temporary Components of Stock Prices.” </w:t>
          </w:r>
          <w:r w:rsidRPr="007C1FE4">
            <w:rPr>
              <w:rStyle w:val="Emphasis"/>
              <w:rFonts w:ascii="Times New Roman" w:hAnsi="Times New Roman" w:cs="Times New Roman"/>
              <w:sz w:val="20"/>
              <w:szCs w:val="20"/>
              <w:bdr w:val="none" w:sz="0" w:space="0" w:color="auto" w:frame="1"/>
            </w:rPr>
            <w:t>Journal of Political Economy</w:t>
          </w:r>
          <w:r w:rsidRPr="007C1FE4">
            <w:rPr>
              <w:rFonts w:ascii="Times New Roman" w:hAnsi="Times New Roman" w:cs="Times New Roman"/>
              <w:sz w:val="20"/>
              <w:szCs w:val="20"/>
            </w:rPr>
            <w:t> 96. </w:t>
          </w:r>
          <w:hyperlink r:id="rId25" w:tgtFrame="_blank" w:history="1">
            <w:r w:rsidRPr="007C1FE4">
              <w:rPr>
                <w:rStyle w:val="Hyperlink"/>
                <w:rFonts w:ascii="Times New Roman" w:hAnsi="Times New Roman" w:cs="Times New Roman"/>
                <w:color w:val="auto"/>
                <w:sz w:val="20"/>
                <w:szCs w:val="20"/>
                <w:bdr w:val="none" w:sz="0" w:space="0" w:color="auto" w:frame="1"/>
              </w:rPr>
              <w:t>https://teach.business.uq.edu.au/courses/FINM6905/files/module-2/readings/Fama</w:t>
            </w:r>
          </w:hyperlink>
          <w:r w:rsidRPr="007C1FE4">
            <w:rPr>
              <w:rFonts w:ascii="Times New Roman" w:hAnsi="Times New Roman" w:cs="Times New Roman"/>
              <w:sz w:val="20"/>
              <w:szCs w:val="20"/>
            </w:rPr>
            <w:t>: 246–73.</w:t>
          </w:r>
        </w:p>
        <w:p w14:paraId="72955A72" w14:textId="77777777" w:rsidR="007C1FE4" w:rsidRPr="007C1FE4" w:rsidRDefault="007C1FE4" w:rsidP="007C1FE4">
          <w:pPr>
            <w:pStyle w:val="NormalWeb"/>
            <w:spacing w:before="0" w:beforeAutospacing="0" w:after="0" w:afterAutospacing="0"/>
            <w:textAlignment w:val="baseline"/>
            <w:rPr>
              <w:sz w:val="20"/>
              <w:szCs w:val="20"/>
            </w:rPr>
          </w:pPr>
          <w:r w:rsidRPr="007C1FE4">
            <w:rPr>
              <w:sz w:val="20"/>
              <w:szCs w:val="20"/>
            </w:rPr>
            <w:t>Haugen, R., and N. Baker. 1991. “The Efficient Market Inefficiency of Capitalization-Weighted Stock Portfolios.” </w:t>
          </w:r>
          <w:r w:rsidRPr="007C1FE4">
            <w:rPr>
              <w:rStyle w:val="Emphasis"/>
              <w:sz w:val="20"/>
              <w:szCs w:val="20"/>
              <w:bdr w:val="none" w:sz="0" w:space="0" w:color="auto" w:frame="1"/>
            </w:rPr>
            <w:t>Journal of Portfolio Management</w:t>
          </w:r>
          <w:r w:rsidRPr="007C1FE4">
            <w:rPr>
              <w:sz w:val="20"/>
              <w:szCs w:val="20"/>
            </w:rPr>
            <w:t> 17. </w:t>
          </w:r>
          <w:hyperlink r:id="rId26" w:tgtFrame="_blank" w:history="1">
            <w:r w:rsidRPr="007C1FE4">
              <w:rPr>
                <w:rStyle w:val="Hyperlink"/>
                <w:rFonts w:eastAsiaTheme="majorEastAsia"/>
                <w:color w:val="auto"/>
                <w:sz w:val="20"/>
                <w:szCs w:val="20"/>
                <w:bdr w:val="none" w:sz="0" w:space="0" w:color="auto" w:frame="1"/>
              </w:rPr>
              <w:t>http://dx.doi.org/10.3905/jpm.1991.409335</w:t>
            </w:r>
          </w:hyperlink>
          <w:r w:rsidRPr="007C1FE4">
            <w:rPr>
              <w:sz w:val="20"/>
              <w:szCs w:val="20"/>
            </w:rPr>
            <w:t>: 35–40.</w:t>
          </w:r>
        </w:p>
        <w:p w14:paraId="66BBC391" w14:textId="77777777" w:rsidR="007C1FE4" w:rsidRDefault="003B2E7E" w:rsidP="007C1FE4"/>
      </w:sdtContent>
    </w:sdt>
    <w:p w14:paraId="15EB56A2" w14:textId="7DB537BA" w:rsidR="00D779F8" w:rsidRDefault="00D779F8" w:rsidP="007C1FE4"/>
    <w:p w14:paraId="2E89BC08" w14:textId="77777777" w:rsidR="00656F43" w:rsidRPr="00D779F8" w:rsidRDefault="00656F43" w:rsidP="00562F0E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sectPr w:rsidR="00656F43" w:rsidRPr="00D779F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83A20"/>
    <w:multiLevelType w:val="hybridMultilevel"/>
    <w:tmpl w:val="57E4474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EFE"/>
    <w:rsid w:val="00000908"/>
    <w:rsid w:val="00004F55"/>
    <w:rsid w:val="00006EF7"/>
    <w:rsid w:val="00007637"/>
    <w:rsid w:val="00011B93"/>
    <w:rsid w:val="0001263E"/>
    <w:rsid w:val="000224A8"/>
    <w:rsid w:val="000238D3"/>
    <w:rsid w:val="00023E7B"/>
    <w:rsid w:val="000244F8"/>
    <w:rsid w:val="00026D75"/>
    <w:rsid w:val="000274BB"/>
    <w:rsid w:val="000300DB"/>
    <w:rsid w:val="000335C7"/>
    <w:rsid w:val="00033EE5"/>
    <w:rsid w:val="00036D8E"/>
    <w:rsid w:val="00040975"/>
    <w:rsid w:val="00044178"/>
    <w:rsid w:val="0004622F"/>
    <w:rsid w:val="000468F4"/>
    <w:rsid w:val="00050083"/>
    <w:rsid w:val="00050EE2"/>
    <w:rsid w:val="0005238F"/>
    <w:rsid w:val="00064D10"/>
    <w:rsid w:val="00065806"/>
    <w:rsid w:val="00067179"/>
    <w:rsid w:val="00067268"/>
    <w:rsid w:val="000730DF"/>
    <w:rsid w:val="000743B3"/>
    <w:rsid w:val="00075036"/>
    <w:rsid w:val="00080028"/>
    <w:rsid w:val="00082ABE"/>
    <w:rsid w:val="00083FF5"/>
    <w:rsid w:val="000848C0"/>
    <w:rsid w:val="000860A1"/>
    <w:rsid w:val="000865DB"/>
    <w:rsid w:val="00087481"/>
    <w:rsid w:val="000877F7"/>
    <w:rsid w:val="00091876"/>
    <w:rsid w:val="00091A3D"/>
    <w:rsid w:val="00096B3D"/>
    <w:rsid w:val="000A6034"/>
    <w:rsid w:val="000A729A"/>
    <w:rsid w:val="000AFFBA"/>
    <w:rsid w:val="000B3228"/>
    <w:rsid w:val="000B5F04"/>
    <w:rsid w:val="000C074F"/>
    <w:rsid w:val="000C1F70"/>
    <w:rsid w:val="000C59CE"/>
    <w:rsid w:val="000C60A0"/>
    <w:rsid w:val="000D51FB"/>
    <w:rsid w:val="000E133B"/>
    <w:rsid w:val="000E14E4"/>
    <w:rsid w:val="000F3D3E"/>
    <w:rsid w:val="000F6DAE"/>
    <w:rsid w:val="001007E4"/>
    <w:rsid w:val="00101C3D"/>
    <w:rsid w:val="00101CDB"/>
    <w:rsid w:val="001042D2"/>
    <w:rsid w:val="001125F2"/>
    <w:rsid w:val="001127A5"/>
    <w:rsid w:val="00112EBF"/>
    <w:rsid w:val="0011416C"/>
    <w:rsid w:val="001161B0"/>
    <w:rsid w:val="0012080A"/>
    <w:rsid w:val="00125846"/>
    <w:rsid w:val="00133FD3"/>
    <w:rsid w:val="001347F0"/>
    <w:rsid w:val="00137CE2"/>
    <w:rsid w:val="0014214B"/>
    <w:rsid w:val="00150B40"/>
    <w:rsid w:val="0015138E"/>
    <w:rsid w:val="00154B10"/>
    <w:rsid w:val="00167043"/>
    <w:rsid w:val="00167162"/>
    <w:rsid w:val="00172993"/>
    <w:rsid w:val="00173018"/>
    <w:rsid w:val="00176A93"/>
    <w:rsid w:val="00180538"/>
    <w:rsid w:val="00185235"/>
    <w:rsid w:val="0019126D"/>
    <w:rsid w:val="00191916"/>
    <w:rsid w:val="001950CD"/>
    <w:rsid w:val="001B0A4F"/>
    <w:rsid w:val="001B6A64"/>
    <w:rsid w:val="001B73A6"/>
    <w:rsid w:val="001C0BB4"/>
    <w:rsid w:val="001C1F21"/>
    <w:rsid w:val="001D02C8"/>
    <w:rsid w:val="001D2CB7"/>
    <w:rsid w:val="001D3AED"/>
    <w:rsid w:val="001D69BE"/>
    <w:rsid w:val="001D76F3"/>
    <w:rsid w:val="001E157D"/>
    <w:rsid w:val="001E3958"/>
    <w:rsid w:val="001E3CE9"/>
    <w:rsid w:val="001E7849"/>
    <w:rsid w:val="001F5EC2"/>
    <w:rsid w:val="001F73B2"/>
    <w:rsid w:val="00200484"/>
    <w:rsid w:val="00213F65"/>
    <w:rsid w:val="00216CE7"/>
    <w:rsid w:val="00220663"/>
    <w:rsid w:val="002242D0"/>
    <w:rsid w:val="00236E41"/>
    <w:rsid w:val="00243D5E"/>
    <w:rsid w:val="00245F31"/>
    <w:rsid w:val="00247732"/>
    <w:rsid w:val="00250FEB"/>
    <w:rsid w:val="0025182A"/>
    <w:rsid w:val="00251A64"/>
    <w:rsid w:val="00252344"/>
    <w:rsid w:val="00252909"/>
    <w:rsid w:val="002533F9"/>
    <w:rsid w:val="0025657E"/>
    <w:rsid w:val="00260132"/>
    <w:rsid w:val="00266666"/>
    <w:rsid w:val="00274AC8"/>
    <w:rsid w:val="0028194B"/>
    <w:rsid w:val="002848F8"/>
    <w:rsid w:val="00286674"/>
    <w:rsid w:val="0029160B"/>
    <w:rsid w:val="0029452C"/>
    <w:rsid w:val="002956AA"/>
    <w:rsid w:val="0029660C"/>
    <w:rsid w:val="002A0648"/>
    <w:rsid w:val="002A0F48"/>
    <w:rsid w:val="002B0A3D"/>
    <w:rsid w:val="002B3DB2"/>
    <w:rsid w:val="002B6EF0"/>
    <w:rsid w:val="002C57A2"/>
    <w:rsid w:val="002D167E"/>
    <w:rsid w:val="002E07FD"/>
    <w:rsid w:val="002F423C"/>
    <w:rsid w:val="002F5D87"/>
    <w:rsid w:val="00302B3F"/>
    <w:rsid w:val="003037F1"/>
    <w:rsid w:val="00303BE1"/>
    <w:rsid w:val="00304C8D"/>
    <w:rsid w:val="00306AA3"/>
    <w:rsid w:val="00306BA9"/>
    <w:rsid w:val="003103AE"/>
    <w:rsid w:val="00310B3E"/>
    <w:rsid w:val="003123D4"/>
    <w:rsid w:val="00312ED9"/>
    <w:rsid w:val="003162B7"/>
    <w:rsid w:val="00323A91"/>
    <w:rsid w:val="00326BB9"/>
    <w:rsid w:val="00330CB1"/>
    <w:rsid w:val="00330DD2"/>
    <w:rsid w:val="0034503B"/>
    <w:rsid w:val="00347D8C"/>
    <w:rsid w:val="003544F2"/>
    <w:rsid w:val="00357888"/>
    <w:rsid w:val="00361447"/>
    <w:rsid w:val="00364EF1"/>
    <w:rsid w:val="003668F5"/>
    <w:rsid w:val="00366981"/>
    <w:rsid w:val="00371606"/>
    <w:rsid w:val="00371765"/>
    <w:rsid w:val="00382C92"/>
    <w:rsid w:val="003843B1"/>
    <w:rsid w:val="00384B5A"/>
    <w:rsid w:val="00391685"/>
    <w:rsid w:val="003A0837"/>
    <w:rsid w:val="003A0D47"/>
    <w:rsid w:val="003A2133"/>
    <w:rsid w:val="003A4CB7"/>
    <w:rsid w:val="003B0B1B"/>
    <w:rsid w:val="003B615B"/>
    <w:rsid w:val="003B78A8"/>
    <w:rsid w:val="003C4798"/>
    <w:rsid w:val="003D1063"/>
    <w:rsid w:val="003D116B"/>
    <w:rsid w:val="003D3D15"/>
    <w:rsid w:val="003D71FB"/>
    <w:rsid w:val="003E4748"/>
    <w:rsid w:val="003E70E2"/>
    <w:rsid w:val="003F7B5B"/>
    <w:rsid w:val="003F7F9C"/>
    <w:rsid w:val="0040350B"/>
    <w:rsid w:val="00404BBC"/>
    <w:rsid w:val="004054F8"/>
    <w:rsid w:val="00406F7D"/>
    <w:rsid w:val="00407D56"/>
    <w:rsid w:val="00414A98"/>
    <w:rsid w:val="0042001F"/>
    <w:rsid w:val="004237A9"/>
    <w:rsid w:val="00426F8B"/>
    <w:rsid w:val="00430C79"/>
    <w:rsid w:val="00432357"/>
    <w:rsid w:val="00435AA0"/>
    <w:rsid w:val="00435AEF"/>
    <w:rsid w:val="00443093"/>
    <w:rsid w:val="0044337E"/>
    <w:rsid w:val="00450968"/>
    <w:rsid w:val="0045793C"/>
    <w:rsid w:val="0046070D"/>
    <w:rsid w:val="004642BE"/>
    <w:rsid w:val="00465E95"/>
    <w:rsid w:val="0046646B"/>
    <w:rsid w:val="0046667C"/>
    <w:rsid w:val="00467F6D"/>
    <w:rsid w:val="0047783C"/>
    <w:rsid w:val="0047798E"/>
    <w:rsid w:val="004806B6"/>
    <w:rsid w:val="00486D54"/>
    <w:rsid w:val="00490848"/>
    <w:rsid w:val="00491BC0"/>
    <w:rsid w:val="00491DAA"/>
    <w:rsid w:val="004941DA"/>
    <w:rsid w:val="004975A6"/>
    <w:rsid w:val="004A0890"/>
    <w:rsid w:val="004A1E9E"/>
    <w:rsid w:val="004B48DD"/>
    <w:rsid w:val="004C0FEE"/>
    <w:rsid w:val="004C2639"/>
    <w:rsid w:val="004D26BF"/>
    <w:rsid w:val="004D34D5"/>
    <w:rsid w:val="004D4AD9"/>
    <w:rsid w:val="004D7239"/>
    <w:rsid w:val="004D77CA"/>
    <w:rsid w:val="004E02D3"/>
    <w:rsid w:val="004E1C3E"/>
    <w:rsid w:val="004F11CB"/>
    <w:rsid w:val="004F7B28"/>
    <w:rsid w:val="00501575"/>
    <w:rsid w:val="00501587"/>
    <w:rsid w:val="0050328C"/>
    <w:rsid w:val="00506897"/>
    <w:rsid w:val="005121FC"/>
    <w:rsid w:val="005128A0"/>
    <w:rsid w:val="00515F85"/>
    <w:rsid w:val="00521230"/>
    <w:rsid w:val="00531719"/>
    <w:rsid w:val="00534E38"/>
    <w:rsid w:val="00537BD3"/>
    <w:rsid w:val="00537DA3"/>
    <w:rsid w:val="00540A21"/>
    <w:rsid w:val="00540FD1"/>
    <w:rsid w:val="00541BC4"/>
    <w:rsid w:val="0054257C"/>
    <w:rsid w:val="00544673"/>
    <w:rsid w:val="00551323"/>
    <w:rsid w:val="00552CEA"/>
    <w:rsid w:val="00554E7A"/>
    <w:rsid w:val="00555919"/>
    <w:rsid w:val="0055659A"/>
    <w:rsid w:val="005572A7"/>
    <w:rsid w:val="00562F0E"/>
    <w:rsid w:val="005632B4"/>
    <w:rsid w:val="005646F4"/>
    <w:rsid w:val="00571E3C"/>
    <w:rsid w:val="00573304"/>
    <w:rsid w:val="005757EA"/>
    <w:rsid w:val="00576475"/>
    <w:rsid w:val="00581074"/>
    <w:rsid w:val="00586289"/>
    <w:rsid w:val="005959EB"/>
    <w:rsid w:val="00597597"/>
    <w:rsid w:val="005A7B19"/>
    <w:rsid w:val="005B3D4B"/>
    <w:rsid w:val="005B6DBF"/>
    <w:rsid w:val="005C177C"/>
    <w:rsid w:val="005C5C67"/>
    <w:rsid w:val="005D0D2C"/>
    <w:rsid w:val="005D2230"/>
    <w:rsid w:val="005D5F98"/>
    <w:rsid w:val="005E7610"/>
    <w:rsid w:val="005E7AEA"/>
    <w:rsid w:val="005E7D5E"/>
    <w:rsid w:val="005F792E"/>
    <w:rsid w:val="00602C3E"/>
    <w:rsid w:val="006041BB"/>
    <w:rsid w:val="00604D0D"/>
    <w:rsid w:val="00606920"/>
    <w:rsid w:val="00607090"/>
    <w:rsid w:val="00610FE9"/>
    <w:rsid w:val="006130D4"/>
    <w:rsid w:val="00614959"/>
    <w:rsid w:val="006155E9"/>
    <w:rsid w:val="00615762"/>
    <w:rsid w:val="0062266B"/>
    <w:rsid w:val="00622ABD"/>
    <w:rsid w:val="00622AD3"/>
    <w:rsid w:val="00626217"/>
    <w:rsid w:val="00626E46"/>
    <w:rsid w:val="006321D6"/>
    <w:rsid w:val="00633BEC"/>
    <w:rsid w:val="00636294"/>
    <w:rsid w:val="00640CD0"/>
    <w:rsid w:val="00641733"/>
    <w:rsid w:val="00641A31"/>
    <w:rsid w:val="00646067"/>
    <w:rsid w:val="00651F57"/>
    <w:rsid w:val="006525D8"/>
    <w:rsid w:val="006556CC"/>
    <w:rsid w:val="00656F43"/>
    <w:rsid w:val="00666B3D"/>
    <w:rsid w:val="00667E7B"/>
    <w:rsid w:val="00670367"/>
    <w:rsid w:val="00673238"/>
    <w:rsid w:val="006732BF"/>
    <w:rsid w:val="00682D25"/>
    <w:rsid w:val="006836CC"/>
    <w:rsid w:val="00690CD3"/>
    <w:rsid w:val="006965F5"/>
    <w:rsid w:val="006A1B63"/>
    <w:rsid w:val="006A3EA1"/>
    <w:rsid w:val="006A4414"/>
    <w:rsid w:val="006A760A"/>
    <w:rsid w:val="006B7D5F"/>
    <w:rsid w:val="006C0CBA"/>
    <w:rsid w:val="006C10F9"/>
    <w:rsid w:val="006C4350"/>
    <w:rsid w:val="006D2EC0"/>
    <w:rsid w:val="006D35BA"/>
    <w:rsid w:val="006D4A13"/>
    <w:rsid w:val="006E305A"/>
    <w:rsid w:val="006E30A0"/>
    <w:rsid w:val="006E5D51"/>
    <w:rsid w:val="006F422B"/>
    <w:rsid w:val="006F7908"/>
    <w:rsid w:val="007002FD"/>
    <w:rsid w:val="00703479"/>
    <w:rsid w:val="00704DB6"/>
    <w:rsid w:val="00707EBC"/>
    <w:rsid w:val="00712B6D"/>
    <w:rsid w:val="007147BE"/>
    <w:rsid w:val="00720BEF"/>
    <w:rsid w:val="00722E91"/>
    <w:rsid w:val="00723216"/>
    <w:rsid w:val="00727A54"/>
    <w:rsid w:val="007303F0"/>
    <w:rsid w:val="00731754"/>
    <w:rsid w:val="007340DF"/>
    <w:rsid w:val="00735B35"/>
    <w:rsid w:val="00741D38"/>
    <w:rsid w:val="00743567"/>
    <w:rsid w:val="00744D8B"/>
    <w:rsid w:val="007518FB"/>
    <w:rsid w:val="00751DA1"/>
    <w:rsid w:val="00752366"/>
    <w:rsid w:val="00757998"/>
    <w:rsid w:val="00760B2D"/>
    <w:rsid w:val="00764A78"/>
    <w:rsid w:val="0076565A"/>
    <w:rsid w:val="00767FC4"/>
    <w:rsid w:val="00770402"/>
    <w:rsid w:val="00770EAE"/>
    <w:rsid w:val="0077158A"/>
    <w:rsid w:val="007750ED"/>
    <w:rsid w:val="00780849"/>
    <w:rsid w:val="00787879"/>
    <w:rsid w:val="007914B6"/>
    <w:rsid w:val="00795FD9"/>
    <w:rsid w:val="007A1A56"/>
    <w:rsid w:val="007A3258"/>
    <w:rsid w:val="007A4350"/>
    <w:rsid w:val="007A46F7"/>
    <w:rsid w:val="007A544B"/>
    <w:rsid w:val="007A5FD1"/>
    <w:rsid w:val="007A752D"/>
    <w:rsid w:val="007B133A"/>
    <w:rsid w:val="007B2348"/>
    <w:rsid w:val="007B5726"/>
    <w:rsid w:val="007B741E"/>
    <w:rsid w:val="007C1EA7"/>
    <w:rsid w:val="007C1FE4"/>
    <w:rsid w:val="007C7B90"/>
    <w:rsid w:val="007C7D2B"/>
    <w:rsid w:val="007D09DC"/>
    <w:rsid w:val="007D3180"/>
    <w:rsid w:val="007E294B"/>
    <w:rsid w:val="00800B39"/>
    <w:rsid w:val="00801AED"/>
    <w:rsid w:val="00804B93"/>
    <w:rsid w:val="00806AC0"/>
    <w:rsid w:val="00807B79"/>
    <w:rsid w:val="00812861"/>
    <w:rsid w:val="00825845"/>
    <w:rsid w:val="0082641C"/>
    <w:rsid w:val="00826EE9"/>
    <w:rsid w:val="00834029"/>
    <w:rsid w:val="00834A37"/>
    <w:rsid w:val="008362FD"/>
    <w:rsid w:val="008401C2"/>
    <w:rsid w:val="00840EF9"/>
    <w:rsid w:val="00842476"/>
    <w:rsid w:val="00842FF7"/>
    <w:rsid w:val="00844A22"/>
    <w:rsid w:val="00846535"/>
    <w:rsid w:val="008465E0"/>
    <w:rsid w:val="00846688"/>
    <w:rsid w:val="00856088"/>
    <w:rsid w:val="0086627F"/>
    <w:rsid w:val="008677D6"/>
    <w:rsid w:val="0087133D"/>
    <w:rsid w:val="00881BE9"/>
    <w:rsid w:val="0088352F"/>
    <w:rsid w:val="008862B8"/>
    <w:rsid w:val="00892D13"/>
    <w:rsid w:val="00897289"/>
    <w:rsid w:val="008A51BC"/>
    <w:rsid w:val="008A74F6"/>
    <w:rsid w:val="008B10D4"/>
    <w:rsid w:val="008B1E35"/>
    <w:rsid w:val="008B1FCE"/>
    <w:rsid w:val="008B2D0A"/>
    <w:rsid w:val="008B548A"/>
    <w:rsid w:val="008B6E53"/>
    <w:rsid w:val="008C1970"/>
    <w:rsid w:val="008C55DA"/>
    <w:rsid w:val="008D460A"/>
    <w:rsid w:val="008D4A43"/>
    <w:rsid w:val="008E0869"/>
    <w:rsid w:val="008E482A"/>
    <w:rsid w:val="008F146D"/>
    <w:rsid w:val="008F2412"/>
    <w:rsid w:val="008F339E"/>
    <w:rsid w:val="008F50CF"/>
    <w:rsid w:val="008F5256"/>
    <w:rsid w:val="008F7963"/>
    <w:rsid w:val="009000EF"/>
    <w:rsid w:val="00902C89"/>
    <w:rsid w:val="00916394"/>
    <w:rsid w:val="009165A3"/>
    <w:rsid w:val="00917CCB"/>
    <w:rsid w:val="009212F0"/>
    <w:rsid w:val="009221DD"/>
    <w:rsid w:val="00923536"/>
    <w:rsid w:val="00923AC4"/>
    <w:rsid w:val="00936BC7"/>
    <w:rsid w:val="0093770E"/>
    <w:rsid w:val="00940EB8"/>
    <w:rsid w:val="0094253B"/>
    <w:rsid w:val="009545EE"/>
    <w:rsid w:val="009600F7"/>
    <w:rsid w:val="00962060"/>
    <w:rsid w:val="0096231A"/>
    <w:rsid w:val="00962BF7"/>
    <w:rsid w:val="009632A0"/>
    <w:rsid w:val="009667CC"/>
    <w:rsid w:val="00966D72"/>
    <w:rsid w:val="0096729D"/>
    <w:rsid w:val="00973036"/>
    <w:rsid w:val="00974B31"/>
    <w:rsid w:val="00975340"/>
    <w:rsid w:val="009775C8"/>
    <w:rsid w:val="009831AB"/>
    <w:rsid w:val="00986137"/>
    <w:rsid w:val="009926D6"/>
    <w:rsid w:val="00992F48"/>
    <w:rsid w:val="00994AE4"/>
    <w:rsid w:val="009A18EF"/>
    <w:rsid w:val="009A2796"/>
    <w:rsid w:val="009A2C78"/>
    <w:rsid w:val="009A7361"/>
    <w:rsid w:val="009A74FE"/>
    <w:rsid w:val="009B2FDA"/>
    <w:rsid w:val="009B2FFC"/>
    <w:rsid w:val="009C0824"/>
    <w:rsid w:val="009C18A2"/>
    <w:rsid w:val="009D1449"/>
    <w:rsid w:val="009D1A55"/>
    <w:rsid w:val="009D27AF"/>
    <w:rsid w:val="009D35C4"/>
    <w:rsid w:val="009D6DEB"/>
    <w:rsid w:val="009E1BAF"/>
    <w:rsid w:val="009E389B"/>
    <w:rsid w:val="009E3DD4"/>
    <w:rsid w:val="009E4738"/>
    <w:rsid w:val="009E576A"/>
    <w:rsid w:val="009E7C91"/>
    <w:rsid w:val="009F6158"/>
    <w:rsid w:val="00A00B09"/>
    <w:rsid w:val="00A00DE8"/>
    <w:rsid w:val="00A02DF7"/>
    <w:rsid w:val="00A02EA9"/>
    <w:rsid w:val="00A048CB"/>
    <w:rsid w:val="00A06241"/>
    <w:rsid w:val="00A10A1C"/>
    <w:rsid w:val="00A1229D"/>
    <w:rsid w:val="00A177AB"/>
    <w:rsid w:val="00A216C1"/>
    <w:rsid w:val="00A21AED"/>
    <w:rsid w:val="00A25320"/>
    <w:rsid w:val="00A37928"/>
    <w:rsid w:val="00A37C5E"/>
    <w:rsid w:val="00A45AFC"/>
    <w:rsid w:val="00A56A15"/>
    <w:rsid w:val="00A572CB"/>
    <w:rsid w:val="00A64007"/>
    <w:rsid w:val="00A6506F"/>
    <w:rsid w:val="00A65436"/>
    <w:rsid w:val="00A65A2B"/>
    <w:rsid w:val="00A7192F"/>
    <w:rsid w:val="00A72A92"/>
    <w:rsid w:val="00A80F9F"/>
    <w:rsid w:val="00A84658"/>
    <w:rsid w:val="00A85402"/>
    <w:rsid w:val="00A9081A"/>
    <w:rsid w:val="00A92675"/>
    <w:rsid w:val="00A951D3"/>
    <w:rsid w:val="00A961BE"/>
    <w:rsid w:val="00AA581D"/>
    <w:rsid w:val="00AB0605"/>
    <w:rsid w:val="00AB1088"/>
    <w:rsid w:val="00AB49BE"/>
    <w:rsid w:val="00AC140F"/>
    <w:rsid w:val="00AC1F16"/>
    <w:rsid w:val="00AC6D7E"/>
    <w:rsid w:val="00AD125D"/>
    <w:rsid w:val="00AE04C7"/>
    <w:rsid w:val="00AE48AD"/>
    <w:rsid w:val="00AE57FC"/>
    <w:rsid w:val="00AE7533"/>
    <w:rsid w:val="00AE7D33"/>
    <w:rsid w:val="00AF6FCA"/>
    <w:rsid w:val="00B0397C"/>
    <w:rsid w:val="00B04F89"/>
    <w:rsid w:val="00B05B55"/>
    <w:rsid w:val="00B06F3B"/>
    <w:rsid w:val="00B1368D"/>
    <w:rsid w:val="00B13EC1"/>
    <w:rsid w:val="00B14107"/>
    <w:rsid w:val="00B20B49"/>
    <w:rsid w:val="00B229BA"/>
    <w:rsid w:val="00B2326E"/>
    <w:rsid w:val="00B26B5C"/>
    <w:rsid w:val="00B31697"/>
    <w:rsid w:val="00B33A69"/>
    <w:rsid w:val="00B34E6F"/>
    <w:rsid w:val="00B37E2B"/>
    <w:rsid w:val="00B4183B"/>
    <w:rsid w:val="00B4212B"/>
    <w:rsid w:val="00B444AE"/>
    <w:rsid w:val="00B50444"/>
    <w:rsid w:val="00B507B9"/>
    <w:rsid w:val="00B548A4"/>
    <w:rsid w:val="00B55F01"/>
    <w:rsid w:val="00B5607E"/>
    <w:rsid w:val="00B5681C"/>
    <w:rsid w:val="00B649A2"/>
    <w:rsid w:val="00B6588D"/>
    <w:rsid w:val="00B65D22"/>
    <w:rsid w:val="00B71E9D"/>
    <w:rsid w:val="00B74EE4"/>
    <w:rsid w:val="00B80DDC"/>
    <w:rsid w:val="00B83B02"/>
    <w:rsid w:val="00B8767F"/>
    <w:rsid w:val="00B91A49"/>
    <w:rsid w:val="00B93757"/>
    <w:rsid w:val="00B94778"/>
    <w:rsid w:val="00B95978"/>
    <w:rsid w:val="00B977CC"/>
    <w:rsid w:val="00BA1E5D"/>
    <w:rsid w:val="00BA2829"/>
    <w:rsid w:val="00BA43FD"/>
    <w:rsid w:val="00BC0127"/>
    <w:rsid w:val="00BC3F80"/>
    <w:rsid w:val="00BC55A8"/>
    <w:rsid w:val="00BD22AB"/>
    <w:rsid w:val="00BD38C3"/>
    <w:rsid w:val="00BD6243"/>
    <w:rsid w:val="00BE6B33"/>
    <w:rsid w:val="00BF0E58"/>
    <w:rsid w:val="00BF1410"/>
    <w:rsid w:val="00BF2194"/>
    <w:rsid w:val="00BF7BB7"/>
    <w:rsid w:val="00C04085"/>
    <w:rsid w:val="00C16FDD"/>
    <w:rsid w:val="00C172B9"/>
    <w:rsid w:val="00C20B6C"/>
    <w:rsid w:val="00C26712"/>
    <w:rsid w:val="00C30C54"/>
    <w:rsid w:val="00C31D53"/>
    <w:rsid w:val="00C33E77"/>
    <w:rsid w:val="00C3448F"/>
    <w:rsid w:val="00C35719"/>
    <w:rsid w:val="00C36357"/>
    <w:rsid w:val="00C405A8"/>
    <w:rsid w:val="00C40863"/>
    <w:rsid w:val="00C42518"/>
    <w:rsid w:val="00C543C5"/>
    <w:rsid w:val="00C55304"/>
    <w:rsid w:val="00C57868"/>
    <w:rsid w:val="00C65EAA"/>
    <w:rsid w:val="00C7074B"/>
    <w:rsid w:val="00C74457"/>
    <w:rsid w:val="00C74C5B"/>
    <w:rsid w:val="00C800DC"/>
    <w:rsid w:val="00C83FB0"/>
    <w:rsid w:val="00C84C1F"/>
    <w:rsid w:val="00C85E4A"/>
    <w:rsid w:val="00C92E1E"/>
    <w:rsid w:val="00C979A9"/>
    <w:rsid w:val="00C97CEC"/>
    <w:rsid w:val="00CA1511"/>
    <w:rsid w:val="00CA1669"/>
    <w:rsid w:val="00CA18D6"/>
    <w:rsid w:val="00CB19E9"/>
    <w:rsid w:val="00CB326B"/>
    <w:rsid w:val="00CC3025"/>
    <w:rsid w:val="00CD3409"/>
    <w:rsid w:val="00CD662F"/>
    <w:rsid w:val="00CD6F10"/>
    <w:rsid w:val="00CD78D7"/>
    <w:rsid w:val="00CE2B15"/>
    <w:rsid w:val="00CE4D73"/>
    <w:rsid w:val="00CE5EBB"/>
    <w:rsid w:val="00CE6055"/>
    <w:rsid w:val="00CF1119"/>
    <w:rsid w:val="00CF43D0"/>
    <w:rsid w:val="00D01AF2"/>
    <w:rsid w:val="00D01F18"/>
    <w:rsid w:val="00D0412B"/>
    <w:rsid w:val="00D0587E"/>
    <w:rsid w:val="00D13D4D"/>
    <w:rsid w:val="00D147A8"/>
    <w:rsid w:val="00D15B5C"/>
    <w:rsid w:val="00D172F4"/>
    <w:rsid w:val="00D26574"/>
    <w:rsid w:val="00D27452"/>
    <w:rsid w:val="00D279C1"/>
    <w:rsid w:val="00D32811"/>
    <w:rsid w:val="00D354C0"/>
    <w:rsid w:val="00D35B58"/>
    <w:rsid w:val="00D40C30"/>
    <w:rsid w:val="00D40E60"/>
    <w:rsid w:val="00D42A0E"/>
    <w:rsid w:val="00D4318F"/>
    <w:rsid w:val="00D46E79"/>
    <w:rsid w:val="00D5103E"/>
    <w:rsid w:val="00D51B67"/>
    <w:rsid w:val="00D51EF3"/>
    <w:rsid w:val="00D53669"/>
    <w:rsid w:val="00D53866"/>
    <w:rsid w:val="00D53A5E"/>
    <w:rsid w:val="00D56EFC"/>
    <w:rsid w:val="00D60BBF"/>
    <w:rsid w:val="00D643D1"/>
    <w:rsid w:val="00D65E10"/>
    <w:rsid w:val="00D715CE"/>
    <w:rsid w:val="00D71CAB"/>
    <w:rsid w:val="00D72C15"/>
    <w:rsid w:val="00D779F8"/>
    <w:rsid w:val="00D82EFE"/>
    <w:rsid w:val="00D853B8"/>
    <w:rsid w:val="00D858E6"/>
    <w:rsid w:val="00DA094B"/>
    <w:rsid w:val="00DA0E30"/>
    <w:rsid w:val="00DA2191"/>
    <w:rsid w:val="00DB048B"/>
    <w:rsid w:val="00DB1308"/>
    <w:rsid w:val="00DC710E"/>
    <w:rsid w:val="00DD24EA"/>
    <w:rsid w:val="00DD42D9"/>
    <w:rsid w:val="00DD57A1"/>
    <w:rsid w:val="00DE1DE5"/>
    <w:rsid w:val="00DE258F"/>
    <w:rsid w:val="00DE2C2C"/>
    <w:rsid w:val="00DE438F"/>
    <w:rsid w:val="00DE5408"/>
    <w:rsid w:val="00DE5748"/>
    <w:rsid w:val="00DE7118"/>
    <w:rsid w:val="00DE7338"/>
    <w:rsid w:val="00DF30CA"/>
    <w:rsid w:val="00DF54E2"/>
    <w:rsid w:val="00DF579B"/>
    <w:rsid w:val="00DF604A"/>
    <w:rsid w:val="00DF718B"/>
    <w:rsid w:val="00DF742E"/>
    <w:rsid w:val="00E0294B"/>
    <w:rsid w:val="00E034E9"/>
    <w:rsid w:val="00E056FB"/>
    <w:rsid w:val="00E1044B"/>
    <w:rsid w:val="00E15552"/>
    <w:rsid w:val="00E17C36"/>
    <w:rsid w:val="00E2018D"/>
    <w:rsid w:val="00E26291"/>
    <w:rsid w:val="00E31316"/>
    <w:rsid w:val="00E324CF"/>
    <w:rsid w:val="00E33117"/>
    <w:rsid w:val="00E353B5"/>
    <w:rsid w:val="00E37005"/>
    <w:rsid w:val="00E45292"/>
    <w:rsid w:val="00E464AE"/>
    <w:rsid w:val="00E4684B"/>
    <w:rsid w:val="00E468F7"/>
    <w:rsid w:val="00E471A7"/>
    <w:rsid w:val="00E57474"/>
    <w:rsid w:val="00E5773C"/>
    <w:rsid w:val="00E60193"/>
    <w:rsid w:val="00E63048"/>
    <w:rsid w:val="00E67576"/>
    <w:rsid w:val="00E71121"/>
    <w:rsid w:val="00E74846"/>
    <w:rsid w:val="00E758B2"/>
    <w:rsid w:val="00E7768F"/>
    <w:rsid w:val="00E7BCB6"/>
    <w:rsid w:val="00E807D6"/>
    <w:rsid w:val="00E80B98"/>
    <w:rsid w:val="00E8447C"/>
    <w:rsid w:val="00E861D7"/>
    <w:rsid w:val="00E973A2"/>
    <w:rsid w:val="00E97CBD"/>
    <w:rsid w:val="00EA1C9E"/>
    <w:rsid w:val="00EA507B"/>
    <w:rsid w:val="00EB7255"/>
    <w:rsid w:val="00EC5EAB"/>
    <w:rsid w:val="00EC7372"/>
    <w:rsid w:val="00ED09ED"/>
    <w:rsid w:val="00ED2203"/>
    <w:rsid w:val="00ED284D"/>
    <w:rsid w:val="00ED4C00"/>
    <w:rsid w:val="00ED72D0"/>
    <w:rsid w:val="00EE14BF"/>
    <w:rsid w:val="00EE1F0C"/>
    <w:rsid w:val="00EE3F11"/>
    <w:rsid w:val="00EF7C55"/>
    <w:rsid w:val="00F04B89"/>
    <w:rsid w:val="00F070F1"/>
    <w:rsid w:val="00F13463"/>
    <w:rsid w:val="00F138A5"/>
    <w:rsid w:val="00F1396A"/>
    <w:rsid w:val="00F15A02"/>
    <w:rsid w:val="00F17FB4"/>
    <w:rsid w:val="00F22374"/>
    <w:rsid w:val="00F3012A"/>
    <w:rsid w:val="00F33943"/>
    <w:rsid w:val="00F46D11"/>
    <w:rsid w:val="00F5117D"/>
    <w:rsid w:val="00F53FB5"/>
    <w:rsid w:val="00F564C2"/>
    <w:rsid w:val="00F57626"/>
    <w:rsid w:val="00F57C5C"/>
    <w:rsid w:val="00F57DCF"/>
    <w:rsid w:val="00F63921"/>
    <w:rsid w:val="00F64CDF"/>
    <w:rsid w:val="00F6718B"/>
    <w:rsid w:val="00F7028D"/>
    <w:rsid w:val="00F731E4"/>
    <w:rsid w:val="00F746EC"/>
    <w:rsid w:val="00F770C7"/>
    <w:rsid w:val="00F7783F"/>
    <w:rsid w:val="00F8100C"/>
    <w:rsid w:val="00F82942"/>
    <w:rsid w:val="00F831D0"/>
    <w:rsid w:val="00F8466A"/>
    <w:rsid w:val="00F85776"/>
    <w:rsid w:val="00F9078C"/>
    <w:rsid w:val="00F9636C"/>
    <w:rsid w:val="00FA1FCA"/>
    <w:rsid w:val="00FA473E"/>
    <w:rsid w:val="00FB0FD8"/>
    <w:rsid w:val="00FB575A"/>
    <w:rsid w:val="00FC1004"/>
    <w:rsid w:val="00FC2D66"/>
    <w:rsid w:val="00FC484E"/>
    <w:rsid w:val="00FC68AA"/>
    <w:rsid w:val="00FC71C5"/>
    <w:rsid w:val="00FD20FC"/>
    <w:rsid w:val="00FD285B"/>
    <w:rsid w:val="00FD397D"/>
    <w:rsid w:val="00FD48D6"/>
    <w:rsid w:val="00FE076A"/>
    <w:rsid w:val="00FE0BD6"/>
    <w:rsid w:val="00FE1F7F"/>
    <w:rsid w:val="00FE43EB"/>
    <w:rsid w:val="00FE6421"/>
    <w:rsid w:val="00FE69FE"/>
    <w:rsid w:val="00FF01F4"/>
    <w:rsid w:val="00FF3FC2"/>
    <w:rsid w:val="01036936"/>
    <w:rsid w:val="013FBD58"/>
    <w:rsid w:val="0159B127"/>
    <w:rsid w:val="01C01505"/>
    <w:rsid w:val="02949618"/>
    <w:rsid w:val="033114FB"/>
    <w:rsid w:val="0333880B"/>
    <w:rsid w:val="0436F23E"/>
    <w:rsid w:val="04B73B76"/>
    <w:rsid w:val="04E41480"/>
    <w:rsid w:val="04EDB442"/>
    <w:rsid w:val="0579B827"/>
    <w:rsid w:val="061AF3E7"/>
    <w:rsid w:val="06232756"/>
    <w:rsid w:val="0690BB11"/>
    <w:rsid w:val="06DC2999"/>
    <w:rsid w:val="07AD3327"/>
    <w:rsid w:val="07FF714A"/>
    <w:rsid w:val="087165BB"/>
    <w:rsid w:val="08B65CAA"/>
    <w:rsid w:val="08FD4044"/>
    <w:rsid w:val="0902DB7D"/>
    <w:rsid w:val="091539B1"/>
    <w:rsid w:val="093DD67D"/>
    <w:rsid w:val="0974CFEE"/>
    <w:rsid w:val="0A8E14EF"/>
    <w:rsid w:val="0ABF1DBB"/>
    <w:rsid w:val="0AD98A38"/>
    <w:rsid w:val="0B59AEF8"/>
    <w:rsid w:val="0BE39CD6"/>
    <w:rsid w:val="0C3FAA1A"/>
    <w:rsid w:val="0CB3611C"/>
    <w:rsid w:val="0CE03A03"/>
    <w:rsid w:val="0DAD7D26"/>
    <w:rsid w:val="0EB5CB7B"/>
    <w:rsid w:val="0F0AB3A4"/>
    <w:rsid w:val="0FA57377"/>
    <w:rsid w:val="0FC3E27E"/>
    <w:rsid w:val="101541A2"/>
    <w:rsid w:val="105295B9"/>
    <w:rsid w:val="11D1D49B"/>
    <w:rsid w:val="11FC151C"/>
    <w:rsid w:val="13070733"/>
    <w:rsid w:val="13FF6845"/>
    <w:rsid w:val="14C0D6AB"/>
    <w:rsid w:val="14F14EA5"/>
    <w:rsid w:val="1587251D"/>
    <w:rsid w:val="1651A934"/>
    <w:rsid w:val="169B03B6"/>
    <w:rsid w:val="16CB2589"/>
    <w:rsid w:val="17D2F072"/>
    <w:rsid w:val="17D56382"/>
    <w:rsid w:val="18250AB4"/>
    <w:rsid w:val="189E5402"/>
    <w:rsid w:val="18D65AA5"/>
    <w:rsid w:val="19BD37E4"/>
    <w:rsid w:val="1A530E5C"/>
    <w:rsid w:val="1AA19B98"/>
    <w:rsid w:val="1AEDD26A"/>
    <w:rsid w:val="1C1FB439"/>
    <w:rsid w:val="1C66D30E"/>
    <w:rsid w:val="1C8744EB"/>
    <w:rsid w:val="1D76D9F9"/>
    <w:rsid w:val="1DB31A14"/>
    <w:rsid w:val="1E24DC9C"/>
    <w:rsid w:val="1E28B085"/>
    <w:rsid w:val="1E5594E0"/>
    <w:rsid w:val="1E5E9C6F"/>
    <w:rsid w:val="1E9AA4F6"/>
    <w:rsid w:val="1ED001A2"/>
    <w:rsid w:val="1EDC73BC"/>
    <w:rsid w:val="1FA2B206"/>
    <w:rsid w:val="1FA484C3"/>
    <w:rsid w:val="200A6861"/>
    <w:rsid w:val="20768110"/>
    <w:rsid w:val="20B64AA0"/>
    <w:rsid w:val="20BCC03A"/>
    <w:rsid w:val="219249EE"/>
    <w:rsid w:val="23A85CFB"/>
    <w:rsid w:val="23B6F2EC"/>
    <w:rsid w:val="24587495"/>
    <w:rsid w:val="246DAB7B"/>
    <w:rsid w:val="2585E6F2"/>
    <w:rsid w:val="26859E12"/>
    <w:rsid w:val="26FD53FF"/>
    <w:rsid w:val="27B392B7"/>
    <w:rsid w:val="28034611"/>
    <w:rsid w:val="29753D5D"/>
    <w:rsid w:val="29BAB61D"/>
    <w:rsid w:val="2A8D78D4"/>
    <w:rsid w:val="2AC766A2"/>
    <w:rsid w:val="2AFB0C8F"/>
    <w:rsid w:val="2BC37BC2"/>
    <w:rsid w:val="2BE2FD13"/>
    <w:rsid w:val="2C16702F"/>
    <w:rsid w:val="2D52C07E"/>
    <w:rsid w:val="2DA32DFB"/>
    <w:rsid w:val="2E051857"/>
    <w:rsid w:val="2EABC4FF"/>
    <w:rsid w:val="2ED4DC9D"/>
    <w:rsid w:val="2EFA850C"/>
    <w:rsid w:val="3040D7C5"/>
    <w:rsid w:val="3239163A"/>
    <w:rsid w:val="32907819"/>
    <w:rsid w:val="32CE3F0F"/>
    <w:rsid w:val="3315F885"/>
    <w:rsid w:val="3332EA20"/>
    <w:rsid w:val="33726794"/>
    <w:rsid w:val="33A4ABC0"/>
    <w:rsid w:val="33F880A1"/>
    <w:rsid w:val="33F964A9"/>
    <w:rsid w:val="347F4656"/>
    <w:rsid w:val="34CC6834"/>
    <w:rsid w:val="34E3BE96"/>
    <w:rsid w:val="354FB88A"/>
    <w:rsid w:val="35515251"/>
    <w:rsid w:val="36080AE0"/>
    <w:rsid w:val="3614264B"/>
    <w:rsid w:val="36C0088A"/>
    <w:rsid w:val="372F89EB"/>
    <w:rsid w:val="3742AD8E"/>
    <w:rsid w:val="376D2ACC"/>
    <w:rsid w:val="37A0007D"/>
    <w:rsid w:val="397586DF"/>
    <w:rsid w:val="39B8F621"/>
    <w:rsid w:val="3A1D3B90"/>
    <w:rsid w:val="3A4390A7"/>
    <w:rsid w:val="3AB58518"/>
    <w:rsid w:val="3B277989"/>
    <w:rsid w:val="3B73F85C"/>
    <w:rsid w:val="3B8225B4"/>
    <w:rsid w:val="3BF06A09"/>
    <w:rsid w:val="3C8F5BFC"/>
    <w:rsid w:val="3CE74897"/>
    <w:rsid w:val="3D08A580"/>
    <w:rsid w:val="3DFCFFEB"/>
    <w:rsid w:val="3ECA82F7"/>
    <w:rsid w:val="3EEFE26A"/>
    <w:rsid w:val="3F5823E8"/>
    <w:rsid w:val="3F6701DA"/>
    <w:rsid w:val="3FD95AF2"/>
    <w:rsid w:val="3FF75AF5"/>
    <w:rsid w:val="4131FACC"/>
    <w:rsid w:val="41937DB4"/>
    <w:rsid w:val="425EAF6E"/>
    <w:rsid w:val="43FA04FD"/>
    <w:rsid w:val="440ED641"/>
    <w:rsid w:val="44B582E9"/>
    <w:rsid w:val="4550C1C9"/>
    <w:rsid w:val="458BBCC9"/>
    <w:rsid w:val="46EC1758"/>
    <w:rsid w:val="481BBAA0"/>
    <w:rsid w:val="49D7B419"/>
    <w:rsid w:val="4A19C027"/>
    <w:rsid w:val="4AD58313"/>
    <w:rsid w:val="4C82A433"/>
    <w:rsid w:val="4CC75364"/>
    <w:rsid w:val="4CD39EC9"/>
    <w:rsid w:val="4D463821"/>
    <w:rsid w:val="4D76E8B6"/>
    <w:rsid w:val="4DE7F515"/>
    <w:rsid w:val="4E130095"/>
    <w:rsid w:val="4E197CA9"/>
    <w:rsid w:val="4ED09ADA"/>
    <w:rsid w:val="4EE2F90E"/>
    <w:rsid w:val="4F50BF9A"/>
    <w:rsid w:val="5072C42F"/>
    <w:rsid w:val="50F2B719"/>
    <w:rsid w:val="51A6BB9E"/>
    <w:rsid w:val="53BBD9EA"/>
    <w:rsid w:val="5467A88E"/>
    <w:rsid w:val="554D108E"/>
    <w:rsid w:val="56205516"/>
    <w:rsid w:val="56C7A296"/>
    <w:rsid w:val="57200C36"/>
    <w:rsid w:val="579D3B9E"/>
    <w:rsid w:val="57A3A6C4"/>
    <w:rsid w:val="582B8C37"/>
    <w:rsid w:val="584E00DB"/>
    <w:rsid w:val="5925B761"/>
    <w:rsid w:val="59D01CFA"/>
    <w:rsid w:val="5A3CA903"/>
    <w:rsid w:val="5A7696D1"/>
    <w:rsid w:val="5AA39453"/>
    <w:rsid w:val="5ABF40D3"/>
    <w:rsid w:val="5AD7076F"/>
    <w:rsid w:val="5B0A590B"/>
    <w:rsid w:val="5D95A6AE"/>
    <w:rsid w:val="5DC97F6C"/>
    <w:rsid w:val="5DFA4FC4"/>
    <w:rsid w:val="5F428010"/>
    <w:rsid w:val="5FE17203"/>
    <w:rsid w:val="601017ED"/>
    <w:rsid w:val="60395E9E"/>
    <w:rsid w:val="60DF40FD"/>
    <w:rsid w:val="60E4DC36"/>
    <w:rsid w:val="62934561"/>
    <w:rsid w:val="62AA39EF"/>
    <w:rsid w:val="636F4DDF"/>
    <w:rsid w:val="63FA55C6"/>
    <w:rsid w:val="64A7C009"/>
    <w:rsid w:val="653ED104"/>
    <w:rsid w:val="65809FCA"/>
    <w:rsid w:val="65AB2A3C"/>
    <w:rsid w:val="660A8DA8"/>
    <w:rsid w:val="66AE946F"/>
    <w:rsid w:val="67315F10"/>
    <w:rsid w:val="674C1B04"/>
    <w:rsid w:val="6760EC48"/>
    <w:rsid w:val="67877430"/>
    <w:rsid w:val="67E22A4F"/>
    <w:rsid w:val="68A064C0"/>
    <w:rsid w:val="697EBA15"/>
    <w:rsid w:val="69A0A6CA"/>
    <w:rsid w:val="69BB1347"/>
    <w:rsid w:val="6AF3F69E"/>
    <w:rsid w:val="6B735A71"/>
    <w:rsid w:val="6BCA4254"/>
    <w:rsid w:val="6C059B1C"/>
    <w:rsid w:val="6C535D6F"/>
    <w:rsid w:val="6C8314F0"/>
    <w:rsid w:val="6CC2DED0"/>
    <w:rsid w:val="6E98A582"/>
    <w:rsid w:val="6F6FFA3C"/>
    <w:rsid w:val="6FB4F12B"/>
    <w:rsid w:val="7033D5E8"/>
    <w:rsid w:val="70C8FEBD"/>
    <w:rsid w:val="714B91CB"/>
    <w:rsid w:val="71524A6D"/>
    <w:rsid w:val="715A41AE"/>
    <w:rsid w:val="71F5B35F"/>
    <w:rsid w:val="7222B0E1"/>
    <w:rsid w:val="72350F15"/>
    <w:rsid w:val="72620C97"/>
    <w:rsid w:val="7267A7D0"/>
    <w:rsid w:val="73F6EC8C"/>
    <w:rsid w:val="749279E8"/>
    <w:rsid w:val="74F95EC6"/>
    <w:rsid w:val="754C3DFA"/>
    <w:rsid w:val="757908AB"/>
    <w:rsid w:val="75ACAE98"/>
    <w:rsid w:val="7606DC6D"/>
    <w:rsid w:val="76E8FEE7"/>
    <w:rsid w:val="77036B64"/>
    <w:rsid w:val="773D9F16"/>
    <w:rsid w:val="77E0B351"/>
    <w:rsid w:val="781768CA"/>
    <w:rsid w:val="78E8DFDE"/>
    <w:rsid w:val="7A9E86D5"/>
    <w:rsid w:val="7AD69A7D"/>
    <w:rsid w:val="7AEB9402"/>
    <w:rsid w:val="7B237264"/>
    <w:rsid w:val="7B290D9D"/>
    <w:rsid w:val="7B857B77"/>
    <w:rsid w:val="7BB4E826"/>
    <w:rsid w:val="7CB85259"/>
    <w:rsid w:val="7CBCF9ED"/>
    <w:rsid w:val="7CBFBEB6"/>
    <w:rsid w:val="7CE06428"/>
    <w:rsid w:val="7D643498"/>
    <w:rsid w:val="7D6AAA32"/>
    <w:rsid w:val="7D8EBF0A"/>
    <w:rsid w:val="7E1B1FF8"/>
    <w:rsid w:val="7EE790BA"/>
    <w:rsid w:val="7F448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0868A"/>
  <w15:chartTrackingRefBased/>
  <w15:docId w15:val="{3D1C641D-99D2-1640-BC6B-5A6DF4B2F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2F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0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91D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1575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92F4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paragraph" w:styleId="Bibliography">
    <w:name w:val="Bibliography"/>
    <w:basedOn w:val="Normal"/>
    <w:next w:val="Normal"/>
    <w:uiPriority w:val="37"/>
    <w:unhideWhenUsed/>
    <w:rsid w:val="00992F48"/>
  </w:style>
  <w:style w:type="paragraph" w:styleId="NormalWeb">
    <w:name w:val="Normal (Web)"/>
    <w:basedOn w:val="Normal"/>
    <w:uiPriority w:val="99"/>
    <w:semiHidden/>
    <w:unhideWhenUsed/>
    <w:rsid w:val="00992F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92F48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992F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42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1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56469">
          <w:marLeft w:val="0"/>
          <w:marRight w:val="69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5" w:color="BBBBBB"/>
            <w:right w:val="none" w:sz="0" w:space="0" w:color="auto"/>
          </w:divBdr>
        </w:div>
      </w:divsChild>
    </w:div>
    <w:div w:id="5501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1753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10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 /><Relationship Id="rId13" Type="http://schemas.openxmlformats.org/officeDocument/2006/relationships/image" Target="media/image5.png" /><Relationship Id="rId18" Type="http://schemas.openxmlformats.org/officeDocument/2006/relationships/image" Target="media/image10.png" /><Relationship Id="rId26" Type="http://schemas.openxmlformats.org/officeDocument/2006/relationships/hyperlink" Target="http://dx.doi.org/10.3905/jpm.1991.409335" TargetMode="External" /><Relationship Id="rId3" Type="http://schemas.openxmlformats.org/officeDocument/2006/relationships/customXml" Target="../customXml/item3.xml" /><Relationship Id="rId21" Type="http://schemas.openxmlformats.org/officeDocument/2006/relationships/image" Target="media/image13.png" /><Relationship Id="rId7" Type="http://schemas.openxmlformats.org/officeDocument/2006/relationships/settings" Target="settings.xml" /><Relationship Id="rId12" Type="http://schemas.openxmlformats.org/officeDocument/2006/relationships/image" Target="media/image4.png" /><Relationship Id="rId17" Type="http://schemas.openxmlformats.org/officeDocument/2006/relationships/image" Target="media/image9.png" /><Relationship Id="rId25" Type="http://schemas.openxmlformats.org/officeDocument/2006/relationships/hyperlink" Target="https://teach.business.uq.edu.au/courses/FINM6905/files/module-2/readings/Fama" TargetMode="External" /><Relationship Id="rId2" Type="http://schemas.openxmlformats.org/officeDocument/2006/relationships/customXml" Target="../customXml/item2.xml" /><Relationship Id="rId16" Type="http://schemas.openxmlformats.org/officeDocument/2006/relationships/image" Target="media/image8.png" /><Relationship Id="rId20" Type="http://schemas.openxmlformats.org/officeDocument/2006/relationships/image" Target="media/image12.png" /><Relationship Id="rId1" Type="http://schemas.openxmlformats.org/officeDocument/2006/relationships/customXml" Target="../customXml/item1.xml" /><Relationship Id="rId6" Type="http://schemas.openxmlformats.org/officeDocument/2006/relationships/styles" Target="styles.xml" /><Relationship Id="rId11" Type="http://schemas.openxmlformats.org/officeDocument/2006/relationships/image" Target="media/image3.png" /><Relationship Id="rId24" Type="http://schemas.openxmlformats.org/officeDocument/2006/relationships/hyperlink" Target="https://investresolve.com/portfolio-optimization-simple-optimal-methods/" TargetMode="External" /><Relationship Id="rId5" Type="http://schemas.openxmlformats.org/officeDocument/2006/relationships/numbering" Target="numbering.xml" /><Relationship Id="rId15" Type="http://schemas.openxmlformats.org/officeDocument/2006/relationships/image" Target="media/image7.png" /><Relationship Id="rId23" Type="http://schemas.openxmlformats.org/officeDocument/2006/relationships/image" Target="media/image15.png" /><Relationship Id="rId28" Type="http://schemas.openxmlformats.org/officeDocument/2006/relationships/theme" Target="theme/theme1.xml" /><Relationship Id="rId10" Type="http://schemas.openxmlformats.org/officeDocument/2006/relationships/image" Target="media/image2.png" /><Relationship Id="rId19" Type="http://schemas.openxmlformats.org/officeDocument/2006/relationships/image" Target="media/image11.png" /><Relationship Id="rId4" Type="http://schemas.openxmlformats.org/officeDocument/2006/relationships/customXml" Target="../customXml/item4.xml" /><Relationship Id="rId9" Type="http://schemas.openxmlformats.org/officeDocument/2006/relationships/image" Target="media/image1.png" /><Relationship Id="rId14" Type="http://schemas.openxmlformats.org/officeDocument/2006/relationships/image" Target="media/image6.png" /><Relationship Id="rId22" Type="http://schemas.openxmlformats.org/officeDocument/2006/relationships/image" Target="media/image14.png" /><Relationship Id="rId27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40BA8BB502F164CBCD50E73C622A2F0" ma:contentTypeVersion="7" ma:contentTypeDescription="Create a new document." ma:contentTypeScope="" ma:versionID="f02c405c309e777c40a16d48670332c8">
  <xsd:schema xmlns:xsd="http://www.w3.org/2001/XMLSchema" xmlns:xs="http://www.w3.org/2001/XMLSchema" xmlns:p="http://schemas.microsoft.com/office/2006/metadata/properties" xmlns:ns3="8f68e04f-749a-4f9f-b073-6c8e4caa1efe" xmlns:ns4="1d7ff15b-21c4-4e42-8404-310e502b1a8d" targetNamespace="http://schemas.microsoft.com/office/2006/metadata/properties" ma:root="true" ma:fieldsID="a7050a59ec739cf77b11d3b93daaf6f9" ns3:_="" ns4:_="">
    <xsd:import namespace="8f68e04f-749a-4f9f-b073-6c8e4caa1efe"/>
    <xsd:import namespace="1d7ff15b-21c4-4e42-8404-310e502b1a8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8e04f-749a-4f9f-b073-6c8e4caa1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7ff15b-21c4-4e42-8404-310e502b1a8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Res</b:Tag>
    <b:SourceType>InternetSite</b:SourceType>
    <b:Guid>{9B620486-023C-445D-BDA0-DF6C945594F1}</b:Guid>
    <b:Author>
      <b:Author>
        <b:Corporate>Resolve Asset Management</b:Corporate>
      </b:Author>
    </b:Author>
    <b:Title>PORTFOLIO OPTIMIZATION: SIMPLE VERSUS OPTIMAL METHODS</b:Title>
    <b:InternetSiteTitle>Resolve Asset Management</b:InternetSiteTitle>
    <b:URL>https://investresolve.com/portfolio-optimization-simple-optimal-methods/</b:URL>
    <b:RefOrder>1</b:RefOrder>
  </b:Source>
</b:Sources>
</file>

<file path=customXml/itemProps1.xml><?xml version="1.0" encoding="utf-8"?>
<ds:datastoreItem xmlns:ds="http://schemas.openxmlformats.org/officeDocument/2006/customXml" ds:itemID="{CFAB8301-96EF-4AE2-8A3C-28F611BBF89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2E5C9A-3CBD-4721-B4FC-B491FF74E656}">
  <ds:schemaRefs>
    <ds:schemaRef ds:uri="http://schemas.microsoft.com/office/2006/metadata/properties"/>
    <ds:schemaRef ds:uri="http://www.w3.org/2000/xmlns/"/>
  </ds:schemaRefs>
</ds:datastoreItem>
</file>

<file path=customXml/itemProps3.xml><?xml version="1.0" encoding="utf-8"?>
<ds:datastoreItem xmlns:ds="http://schemas.openxmlformats.org/officeDocument/2006/customXml" ds:itemID="{E2EDFADE-823E-4583-AAB7-BF2A8E25D1E6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8f68e04f-749a-4f9f-b073-6c8e4caa1efe"/>
    <ds:schemaRef ds:uri="1d7ff15b-21c4-4e42-8404-310e502b1a8d"/>
  </ds:schemaRefs>
</ds:datastoreItem>
</file>

<file path=customXml/itemProps4.xml><?xml version="1.0" encoding="utf-8"?>
<ds:datastoreItem xmlns:ds="http://schemas.openxmlformats.org/officeDocument/2006/customXml" ds:itemID="{B607C2D3-2CEF-3547-9ECC-281047AFF219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2475</Words>
  <Characters>14108</Characters>
  <Application>Microsoft Office Word</Application>
  <DocSecurity>0</DocSecurity>
  <Lines>117</Lines>
  <Paragraphs>33</Paragraphs>
  <ScaleCrop>false</ScaleCrop>
  <Company/>
  <LinksUpToDate>false</LinksUpToDate>
  <CharactersWithSpaces>16550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Yupeng</dc:creator>
  <cp:keywords/>
  <dc:description/>
  <cp:lastModifiedBy>Mardy Marn</cp:lastModifiedBy>
  <cp:revision>2</cp:revision>
  <dcterms:created xsi:type="dcterms:W3CDTF">2021-11-09T03:24:00Z</dcterms:created>
  <dcterms:modified xsi:type="dcterms:W3CDTF">2021-11-09T03:24:00Z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0x010100640BA8BB502F164CBCD50E73C622A2F0</vt:lpwstr>
  </property>
</Properties>
</file>