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Применение косвенной адресации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Цель работы: 1. Изучение косвенной адресации ЭВМ, 2. Разработка циклической программы с переадресацией для учебной модели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Написать мнемокоды инструкций для выполнения работы с циклами, виды адресаций</w:t>
        <w:br w:type="textWrapping"/>
        <w:t xml:space="preserve">Вариант 9 </w:t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Ход выполнения работы:</w:t>
        <w:br w:type="textWrapping"/>
        <w:t xml:space="preserve">Задание.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43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Блок-схема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647248" cy="62104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248" cy="621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br w:type="textWrapping"/>
        <w:br w:type="textWrapping"/>
        <w:t xml:space="preserve">2. Распределение в ОЗУ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04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3. Исходные данные: Массив[10]</w:t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[9, 8, 6, 4, 9, 7, 5, -1, 10, 2]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115050" cy="3638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