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035"/>
        <w:rPr>
          <w:sz w:val="20"/>
        </w:rPr>
      </w:pPr>
      <w:r>
        <w:rPr>
          <w:sz w:val="20"/>
        </w:rPr>
        <mc:AlternateContent>
          <mc:Choice Requires="wps">
            <w:drawing>
              <wp:inline distT="0" distB="0" distL="0" distR="0">
                <wp:extent cx="1888489" cy="1578610"/>
                <wp:effectExtent l="0" t="0" r="0" b="2540"/>
                <wp:docPr id="1" name="Group 1" descr="Logo  Description automatically generated"/>
                <wp:cNvGraphicFramePr>
                  <a:graphicFrameLocks/>
                </wp:cNvGraphicFramePr>
                <a:graphic>
                  <a:graphicData uri="http://schemas.microsoft.com/office/word/2010/wordprocessingGroup">
                    <wpg:wgp>
                      <wpg:cNvPr id="1" name="Group 1" descr="Logo  Description automatically generated"/>
                      <wpg:cNvGrpSpPr/>
                      <wpg:grpSpPr>
                        <a:xfrm>
                          <a:off x="0" y="0"/>
                          <a:ext cx="1888489" cy="1578610"/>
                          <a:chExt cx="1888489" cy="1578610"/>
                        </a:xfrm>
                      </wpg:grpSpPr>
                      <pic:pic>
                        <pic:nvPicPr>
                          <pic:cNvPr id="2" name="Image 2" descr="Logo  Description automatically generated"/>
                          <pic:cNvPicPr/>
                        </pic:nvPicPr>
                        <pic:blipFill>
                          <a:blip r:embed="rId5" cstate="print"/>
                          <a:stretch>
                            <a:fillRect/>
                          </a:stretch>
                        </pic:blipFill>
                        <pic:spPr>
                          <a:xfrm>
                            <a:off x="0" y="0"/>
                            <a:ext cx="1887864" cy="1578390"/>
                          </a:xfrm>
                          <a:prstGeom prst="rect">
                            <a:avLst/>
                          </a:prstGeom>
                        </pic:spPr>
                      </pic:pic>
                      <wps:wsp>
                        <wps:cNvPr id="3" name="Graphic 3"/>
                        <wps:cNvSpPr/>
                        <wps:spPr>
                          <a:xfrm>
                            <a:off x="133291" y="650886"/>
                            <a:ext cx="1270" cy="281940"/>
                          </a:xfrm>
                          <a:custGeom>
                            <a:avLst/>
                            <a:gdLst/>
                            <a:ahLst/>
                            <a:cxnLst/>
                            <a:rect l="l" t="t" r="r" b="b"/>
                            <a:pathLst>
                              <a:path w="0" h="281940">
                                <a:moveTo>
                                  <a:pt x="0" y="0"/>
                                </a:moveTo>
                                <a:lnTo>
                                  <a:pt x="0" y="281939"/>
                                </a:lnTo>
                              </a:path>
                            </a:pathLst>
                          </a:custGeom>
                          <a:ln w="6350">
                            <a:solidFill>
                              <a:srgbClr val="4471C4"/>
                            </a:solidFill>
                            <a:prstDash val="sysDash"/>
                          </a:ln>
                        </wps:spPr>
                        <wps:bodyPr wrap="square" lIns="0" tIns="0" rIns="0" bIns="0" rtlCol="0">
                          <a:prstTxWarp prst="textNoShape">
                            <a:avLst/>
                          </a:prstTxWarp>
                          <a:noAutofit/>
                        </wps:bodyPr>
                      </wps:wsp>
                    </wpg:wgp>
                  </a:graphicData>
                </a:graphic>
              </wp:inline>
            </w:drawing>
          </mc:Choice>
          <mc:Fallback>
            <w:pict>
              <v:group style="width:148.7pt;height:124.3pt;mso-position-horizontal-relative:char;mso-position-vertical-relative:line" id="docshapegroup1" coordorigin="0,0" coordsize="2974,2486" alt="Logo  Description automatically generated">
                <v:shape style="position:absolute;left:0;top:0;width:2974;height:2486" type="#_x0000_t75" id="docshape2" alt="Logo  Description automatically generated" stroked="false">
                  <v:imagedata r:id="rId5" o:title=""/>
                </v:shape>
                <v:line style="position:absolute" from="210,1025" to="210,1469" stroked="true" strokeweight=".5pt" strokecolor="#4471c4">
                  <v:stroke dashstyle="shortdash"/>
                </v:line>
              </v:group>
            </w:pict>
          </mc:Fallback>
        </mc:AlternateContent>
      </w:r>
      <w:r>
        <w:rPr>
          <w:sz w:val="20"/>
        </w:rPr>
      </w:r>
    </w:p>
    <w:p>
      <w:pPr>
        <w:pStyle w:val="BodyText"/>
        <w:spacing w:before="186"/>
      </w:pPr>
    </w:p>
    <w:p>
      <w:pPr>
        <w:spacing w:before="0"/>
        <w:ind w:left="0" w:right="885" w:firstLine="0"/>
        <w:jc w:val="center"/>
        <w:rPr>
          <w:b/>
          <w:sz w:val="24"/>
        </w:rPr>
      </w:pPr>
      <w:r>
        <w:rPr>
          <w:b/>
          <w:sz w:val="24"/>
        </w:rPr>
        <w:t>MAPÚA</w:t>
      </w:r>
      <w:r>
        <w:rPr>
          <w:b/>
          <w:spacing w:val="-2"/>
          <w:sz w:val="24"/>
        </w:rPr>
        <w:t> </w:t>
      </w:r>
      <w:r>
        <w:rPr>
          <w:b/>
          <w:sz w:val="24"/>
        </w:rPr>
        <w:t>MALAYAN</w:t>
      </w:r>
      <w:r>
        <w:rPr>
          <w:b/>
          <w:spacing w:val="-1"/>
          <w:sz w:val="24"/>
        </w:rPr>
        <w:t> </w:t>
      </w:r>
      <w:r>
        <w:rPr>
          <w:b/>
          <w:sz w:val="24"/>
        </w:rPr>
        <w:t>COLLEGES</w:t>
      </w:r>
      <w:r>
        <w:rPr>
          <w:b/>
          <w:spacing w:val="-1"/>
          <w:sz w:val="24"/>
        </w:rPr>
        <w:t> </w:t>
      </w:r>
      <w:r>
        <w:rPr>
          <w:b/>
          <w:spacing w:val="-2"/>
          <w:sz w:val="24"/>
        </w:rPr>
        <w:t>MINDANAO</w:t>
      </w:r>
    </w:p>
    <w:p>
      <w:pPr>
        <w:pStyle w:val="BodyText"/>
        <w:rPr>
          <w:b/>
        </w:rPr>
      </w:pPr>
    </w:p>
    <w:p>
      <w:pPr>
        <w:pStyle w:val="BodyText"/>
        <w:spacing w:before="44"/>
        <w:rPr>
          <w:b/>
        </w:rPr>
      </w:pPr>
    </w:p>
    <w:p>
      <w:pPr>
        <w:spacing w:line="379" w:lineRule="auto" w:before="0"/>
        <w:ind w:left="1812" w:right="2702" w:firstLine="0"/>
        <w:jc w:val="center"/>
        <w:rPr>
          <w:b/>
          <w:sz w:val="24"/>
        </w:rPr>
      </w:pPr>
      <w:r>
        <w:rPr>
          <w:b/>
          <w:sz w:val="24"/>
        </w:rPr>
        <w:t>Cost-Benefit Analysis of Shifting from Plastic to Compostable</w:t>
      </w:r>
      <w:r>
        <w:rPr>
          <w:b/>
          <w:spacing w:val="-8"/>
          <w:sz w:val="24"/>
        </w:rPr>
        <w:t> </w:t>
      </w:r>
      <w:r>
        <w:rPr>
          <w:b/>
          <w:sz w:val="24"/>
        </w:rPr>
        <w:t>Packaging</w:t>
      </w:r>
      <w:r>
        <w:rPr>
          <w:b/>
          <w:spacing w:val="-7"/>
          <w:sz w:val="24"/>
        </w:rPr>
        <w:t> </w:t>
      </w:r>
      <w:r>
        <w:rPr>
          <w:b/>
          <w:sz w:val="24"/>
        </w:rPr>
        <w:t>in</w:t>
      </w:r>
      <w:r>
        <w:rPr>
          <w:b/>
          <w:spacing w:val="-6"/>
          <w:sz w:val="24"/>
        </w:rPr>
        <w:t> </w:t>
      </w:r>
      <w:r>
        <w:rPr>
          <w:b/>
          <w:sz w:val="24"/>
        </w:rPr>
        <w:t>the</w:t>
      </w:r>
      <w:r>
        <w:rPr>
          <w:b/>
          <w:spacing w:val="-7"/>
          <w:sz w:val="24"/>
        </w:rPr>
        <w:t> </w:t>
      </w:r>
      <w:r>
        <w:rPr>
          <w:b/>
          <w:sz w:val="24"/>
        </w:rPr>
        <w:t>Mapua</w:t>
      </w:r>
      <w:r>
        <w:rPr>
          <w:b/>
          <w:spacing w:val="-7"/>
          <w:sz w:val="24"/>
        </w:rPr>
        <w:t> </w:t>
      </w:r>
      <w:r>
        <w:rPr>
          <w:b/>
          <w:sz w:val="24"/>
        </w:rPr>
        <w:t>MCM</w:t>
      </w:r>
      <w:r>
        <w:rPr>
          <w:b/>
          <w:spacing w:val="-9"/>
          <w:sz w:val="24"/>
        </w:rPr>
        <w:t> </w:t>
      </w:r>
      <w:r>
        <w:rPr>
          <w:b/>
          <w:sz w:val="24"/>
        </w:rPr>
        <w:t>Canteen.</w:t>
      </w:r>
    </w:p>
    <w:p>
      <w:pPr>
        <w:pStyle w:val="BodyText"/>
        <w:rPr>
          <w:b/>
        </w:rPr>
      </w:pPr>
    </w:p>
    <w:p>
      <w:pPr>
        <w:pStyle w:val="BodyText"/>
        <w:rPr>
          <w:b/>
        </w:rPr>
      </w:pPr>
    </w:p>
    <w:p>
      <w:pPr>
        <w:pStyle w:val="BodyText"/>
        <w:spacing w:before="44"/>
        <w:rPr>
          <w:b/>
        </w:rPr>
      </w:pPr>
    </w:p>
    <w:p>
      <w:pPr>
        <w:spacing w:line="379" w:lineRule="auto" w:before="1"/>
        <w:ind w:left="2943" w:right="3829" w:firstLine="0"/>
        <w:jc w:val="center"/>
        <w:rPr>
          <w:b/>
          <w:sz w:val="24"/>
        </w:rPr>
      </w:pPr>
      <w:r>
        <w:rPr>
          <w:b/>
          <w:sz w:val="24"/>
        </w:rPr>
        <w:t>Farouq</w:t>
      </w:r>
      <w:r>
        <w:rPr>
          <w:b/>
          <w:spacing w:val="-12"/>
          <w:sz w:val="24"/>
        </w:rPr>
        <w:t> </w:t>
      </w:r>
      <w:r>
        <w:rPr>
          <w:b/>
          <w:sz w:val="24"/>
        </w:rPr>
        <w:t>Hesham</w:t>
      </w:r>
      <w:r>
        <w:rPr>
          <w:b/>
          <w:spacing w:val="-15"/>
          <w:sz w:val="24"/>
        </w:rPr>
        <w:t> </w:t>
      </w:r>
      <w:r>
        <w:rPr>
          <w:b/>
          <w:sz w:val="24"/>
        </w:rPr>
        <w:t>M.</w:t>
      </w:r>
      <w:r>
        <w:rPr>
          <w:b/>
          <w:spacing w:val="-12"/>
          <w:sz w:val="24"/>
        </w:rPr>
        <w:t> </w:t>
      </w:r>
      <w:r>
        <w:rPr>
          <w:b/>
          <w:sz w:val="24"/>
        </w:rPr>
        <w:t>Abdulgani Bien Antonio C. Asegurado Jozef James G. Elises</w:t>
      </w:r>
    </w:p>
    <w:p>
      <w:pPr>
        <w:spacing w:before="0"/>
        <w:ind w:left="0" w:right="883" w:firstLine="0"/>
        <w:jc w:val="center"/>
        <w:rPr>
          <w:b/>
          <w:sz w:val="24"/>
        </w:rPr>
      </w:pPr>
      <w:r>
        <w:rPr>
          <w:b/>
          <w:sz w:val="24"/>
        </w:rPr>
        <w:t>Patrick</w:t>
      </w:r>
      <w:r>
        <w:rPr>
          <w:b/>
          <w:spacing w:val="-2"/>
          <w:sz w:val="24"/>
        </w:rPr>
        <w:t> </w:t>
      </w:r>
      <w:r>
        <w:rPr>
          <w:b/>
          <w:sz w:val="24"/>
        </w:rPr>
        <w:t>Renz</w:t>
      </w:r>
      <w:r>
        <w:rPr>
          <w:b/>
          <w:spacing w:val="-2"/>
          <w:sz w:val="24"/>
        </w:rPr>
        <w:t> </w:t>
      </w:r>
      <w:r>
        <w:rPr>
          <w:b/>
          <w:sz w:val="24"/>
        </w:rPr>
        <w:t>L.</w:t>
      </w:r>
      <w:r>
        <w:rPr>
          <w:b/>
          <w:spacing w:val="-1"/>
          <w:sz w:val="24"/>
        </w:rPr>
        <w:t> </w:t>
      </w:r>
      <w:r>
        <w:rPr>
          <w:b/>
          <w:spacing w:val="-2"/>
          <w:sz w:val="24"/>
        </w:rPr>
        <w:t>Suaybaguio</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42"/>
        <w:rPr>
          <w:b/>
        </w:rPr>
      </w:pPr>
    </w:p>
    <w:p>
      <w:pPr>
        <w:pStyle w:val="BodyText"/>
        <w:ind w:right="882"/>
        <w:jc w:val="center"/>
      </w:pPr>
      <w:r>
        <w:rPr/>
        <w:t>Bachelor</w:t>
      </w:r>
      <w:r>
        <w:rPr>
          <w:spacing w:val="-1"/>
        </w:rPr>
        <w:t> </w:t>
      </w:r>
      <w:r>
        <w:rPr/>
        <w:t>of</w:t>
      </w:r>
      <w:r>
        <w:rPr>
          <w:spacing w:val="-2"/>
        </w:rPr>
        <w:t> </w:t>
      </w:r>
      <w:r>
        <w:rPr/>
        <w:t>Science</w:t>
      </w:r>
      <w:r>
        <w:rPr>
          <w:spacing w:val="-2"/>
        </w:rPr>
        <w:t> </w:t>
      </w:r>
      <w:r>
        <w:rPr/>
        <w:t>in</w:t>
      </w:r>
      <w:r>
        <w:rPr>
          <w:spacing w:val="-1"/>
        </w:rPr>
        <w:t> </w:t>
      </w:r>
      <w:r>
        <w:rPr>
          <w:spacing w:val="-2"/>
        </w:rPr>
        <w:t>Accountancy</w:t>
      </w:r>
    </w:p>
    <w:p>
      <w:pPr>
        <w:pStyle w:val="BodyText"/>
      </w:pPr>
    </w:p>
    <w:p>
      <w:pPr>
        <w:pStyle w:val="BodyText"/>
      </w:pPr>
    </w:p>
    <w:p>
      <w:pPr>
        <w:pStyle w:val="BodyText"/>
      </w:pPr>
    </w:p>
    <w:p>
      <w:pPr>
        <w:pStyle w:val="BodyText"/>
      </w:pPr>
    </w:p>
    <w:p>
      <w:pPr>
        <w:pStyle w:val="BodyText"/>
        <w:spacing w:before="90"/>
      </w:pPr>
    </w:p>
    <w:p>
      <w:pPr>
        <w:pStyle w:val="BodyText"/>
        <w:ind w:right="887"/>
        <w:jc w:val="center"/>
      </w:pPr>
      <w:r>
        <w:rPr/>
        <w:t>Course</w:t>
      </w:r>
      <w:r>
        <w:rPr>
          <w:spacing w:val="-2"/>
        </w:rPr>
        <w:t> Facilitator</w:t>
      </w:r>
    </w:p>
    <w:p>
      <w:pPr>
        <w:pStyle w:val="Heading1"/>
        <w:spacing w:before="166"/>
        <w:ind w:left="0" w:right="886"/>
        <w:jc w:val="center"/>
      </w:pPr>
      <w:r>
        <w:rPr/>
        <w:t>Ms.</w:t>
      </w:r>
      <w:r>
        <w:rPr>
          <w:spacing w:val="-1"/>
        </w:rPr>
        <w:t> </w:t>
      </w:r>
      <w:r>
        <w:rPr/>
        <w:t>Jerahmee</w:t>
      </w:r>
      <w:r>
        <w:rPr>
          <w:spacing w:val="-1"/>
        </w:rPr>
        <w:t> </w:t>
      </w:r>
      <w:r>
        <w:rPr/>
        <w:t>R.</w:t>
      </w:r>
      <w:r>
        <w:rPr>
          <w:spacing w:val="-1"/>
        </w:rPr>
        <w:t> </w:t>
      </w:r>
      <w:r>
        <w:rPr/>
        <w:t>De</w:t>
      </w:r>
      <w:r>
        <w:rPr>
          <w:spacing w:val="-1"/>
        </w:rPr>
        <w:t> </w:t>
      </w:r>
      <w:r>
        <w:rPr>
          <w:spacing w:val="-4"/>
        </w:rPr>
        <w:t>Leon</w:t>
      </w:r>
    </w:p>
    <w:p>
      <w:pPr>
        <w:pStyle w:val="BodyText"/>
        <w:spacing w:before="153"/>
        <w:ind w:right="885"/>
        <w:jc w:val="center"/>
      </w:pPr>
      <w:r>
        <w:rPr/>
        <w:t>College</w:t>
      </w:r>
      <w:r>
        <w:rPr>
          <w:spacing w:val="-3"/>
        </w:rPr>
        <w:t> </w:t>
      </w:r>
      <w:r>
        <w:rPr/>
        <w:t>of Arts</w:t>
      </w:r>
      <w:r>
        <w:rPr>
          <w:spacing w:val="-2"/>
        </w:rPr>
        <w:t> </w:t>
      </w:r>
      <w:r>
        <w:rPr/>
        <w:t>and</w:t>
      </w:r>
      <w:r>
        <w:rPr>
          <w:spacing w:val="-1"/>
        </w:rPr>
        <w:t> </w:t>
      </w:r>
      <w:r>
        <w:rPr>
          <w:spacing w:val="-2"/>
        </w:rPr>
        <w:t>Science</w:t>
      </w:r>
    </w:p>
    <w:p>
      <w:pPr>
        <w:pStyle w:val="BodyText"/>
        <w:spacing w:after="0"/>
        <w:jc w:val="center"/>
        <w:sectPr>
          <w:type w:val="continuous"/>
          <w:pgSz w:w="12240" w:h="15840"/>
          <w:pgMar w:top="1760" w:bottom="280" w:left="1800" w:right="360"/>
        </w:sectPr>
      </w:pPr>
    </w:p>
    <w:p>
      <w:pPr>
        <w:pStyle w:val="BodyText"/>
        <w:rPr>
          <w:sz w:val="28"/>
        </w:rPr>
      </w:pPr>
    </w:p>
    <w:p>
      <w:pPr>
        <w:pStyle w:val="BodyText"/>
        <w:rPr>
          <w:sz w:val="28"/>
        </w:rPr>
      </w:pPr>
    </w:p>
    <w:p>
      <w:pPr>
        <w:pStyle w:val="BodyText"/>
        <w:rPr>
          <w:sz w:val="28"/>
        </w:rPr>
      </w:pPr>
    </w:p>
    <w:p>
      <w:pPr>
        <w:pStyle w:val="BodyText"/>
        <w:spacing w:before="103"/>
        <w:rPr>
          <w:sz w:val="28"/>
        </w:rPr>
      </w:pPr>
    </w:p>
    <w:p>
      <w:pPr>
        <w:pStyle w:val="Title"/>
        <w:ind w:left="1729"/>
      </w:pPr>
      <w:r>
        <w:rPr/>
        <w:t>Cost-Benefit</w:t>
      </w:r>
      <w:r>
        <w:rPr>
          <w:spacing w:val="-9"/>
        </w:rPr>
        <w:t> </w:t>
      </w:r>
      <w:r>
        <w:rPr/>
        <w:t>Analysis</w:t>
      </w:r>
      <w:r>
        <w:rPr>
          <w:spacing w:val="-10"/>
        </w:rPr>
        <w:t> </w:t>
      </w:r>
      <w:r>
        <w:rPr>
          <w:spacing w:val="-5"/>
        </w:rPr>
        <w:t>of</w:t>
      </w:r>
    </w:p>
    <w:p>
      <w:pPr>
        <w:pStyle w:val="Title"/>
        <w:spacing w:line="360" w:lineRule="auto" w:before="160"/>
      </w:pPr>
      <w:r>
        <w:rPr/>
        <w:t>Shifting</w:t>
      </w:r>
      <w:r>
        <w:rPr>
          <w:spacing w:val="-7"/>
        </w:rPr>
        <w:t> </w:t>
      </w:r>
      <w:r>
        <w:rPr/>
        <w:t>from</w:t>
      </w:r>
      <w:r>
        <w:rPr>
          <w:spacing w:val="-11"/>
        </w:rPr>
        <w:t> </w:t>
      </w:r>
      <w:r>
        <w:rPr/>
        <w:t>Plastic</w:t>
      </w:r>
      <w:r>
        <w:rPr>
          <w:spacing w:val="-8"/>
        </w:rPr>
        <w:t> </w:t>
      </w:r>
      <w:r>
        <w:rPr/>
        <w:t>to</w:t>
      </w:r>
      <w:r>
        <w:rPr>
          <w:spacing w:val="-8"/>
        </w:rPr>
        <w:t> </w:t>
      </w:r>
      <w:r>
        <w:rPr/>
        <w:t>Compostable</w:t>
      </w:r>
      <w:r>
        <w:rPr>
          <w:spacing w:val="-8"/>
        </w:rPr>
        <w:t> </w:t>
      </w:r>
      <w:r>
        <w:rPr/>
        <w:t>Packaging In the Mapua MCM Canteen</w:t>
      </w:r>
    </w:p>
    <w:p>
      <w:pPr>
        <w:pStyle w:val="BodyText"/>
        <w:rPr>
          <w:b/>
          <w:sz w:val="28"/>
        </w:rPr>
      </w:pPr>
    </w:p>
    <w:p>
      <w:pPr>
        <w:pStyle w:val="BodyText"/>
        <w:rPr>
          <w:b/>
          <w:sz w:val="28"/>
        </w:rPr>
      </w:pPr>
    </w:p>
    <w:p>
      <w:pPr>
        <w:pStyle w:val="BodyText"/>
        <w:rPr>
          <w:b/>
          <w:sz w:val="28"/>
        </w:rPr>
      </w:pPr>
    </w:p>
    <w:p>
      <w:pPr>
        <w:pStyle w:val="BodyText"/>
        <w:spacing w:before="14"/>
        <w:rPr>
          <w:b/>
          <w:sz w:val="28"/>
        </w:rPr>
      </w:pPr>
    </w:p>
    <w:p>
      <w:pPr>
        <w:pStyle w:val="BodyText"/>
        <w:ind w:left="1728" w:right="2441"/>
        <w:jc w:val="center"/>
      </w:pPr>
      <w:r>
        <w:rPr>
          <w:spacing w:val="-5"/>
        </w:rPr>
        <w:t>by</w:t>
      </w:r>
    </w:p>
    <w:p>
      <w:pPr>
        <w:pStyle w:val="BodyText"/>
      </w:pPr>
    </w:p>
    <w:p>
      <w:pPr>
        <w:pStyle w:val="BodyText"/>
        <w:spacing w:before="51"/>
      </w:pPr>
    </w:p>
    <w:p>
      <w:pPr>
        <w:pStyle w:val="Heading1"/>
        <w:spacing w:line="379" w:lineRule="auto"/>
        <w:ind w:left="3027" w:right="3745"/>
        <w:jc w:val="center"/>
      </w:pPr>
      <w:r>
        <w:rPr/>
        <w:t>Farouq</w:t>
      </w:r>
      <w:r>
        <w:rPr>
          <w:spacing w:val="-12"/>
        </w:rPr>
        <w:t> </w:t>
      </w:r>
      <w:r>
        <w:rPr/>
        <w:t>Hesham</w:t>
      </w:r>
      <w:r>
        <w:rPr>
          <w:spacing w:val="-15"/>
        </w:rPr>
        <w:t> </w:t>
      </w:r>
      <w:r>
        <w:rPr/>
        <w:t>M.</w:t>
      </w:r>
      <w:r>
        <w:rPr>
          <w:spacing w:val="-12"/>
        </w:rPr>
        <w:t> </w:t>
      </w:r>
      <w:r>
        <w:rPr/>
        <w:t>Abdulgani Bien Antonio C. Asegurado Jozef James G. Elises</w:t>
      </w:r>
    </w:p>
    <w:p>
      <w:pPr>
        <w:spacing w:before="0"/>
        <w:ind w:left="1726" w:right="2441" w:firstLine="0"/>
        <w:jc w:val="center"/>
        <w:rPr>
          <w:b/>
          <w:sz w:val="24"/>
        </w:rPr>
      </w:pPr>
      <w:r>
        <w:rPr>
          <w:b/>
          <w:sz w:val="24"/>
        </w:rPr>
        <w:t>Patrick</w:t>
      </w:r>
      <w:r>
        <w:rPr>
          <w:b/>
          <w:spacing w:val="-2"/>
          <w:sz w:val="24"/>
        </w:rPr>
        <w:t> </w:t>
      </w:r>
      <w:r>
        <w:rPr>
          <w:b/>
          <w:sz w:val="24"/>
        </w:rPr>
        <w:t>Renz</w:t>
      </w:r>
      <w:r>
        <w:rPr>
          <w:b/>
          <w:spacing w:val="-2"/>
          <w:sz w:val="24"/>
        </w:rPr>
        <w:t> </w:t>
      </w:r>
      <w:r>
        <w:rPr>
          <w:b/>
          <w:sz w:val="24"/>
        </w:rPr>
        <w:t>L.</w:t>
      </w:r>
      <w:r>
        <w:rPr>
          <w:b/>
          <w:spacing w:val="-1"/>
          <w:sz w:val="24"/>
        </w:rPr>
        <w:t> </w:t>
      </w:r>
      <w:r>
        <w:rPr>
          <w:b/>
          <w:spacing w:val="-2"/>
          <w:sz w:val="24"/>
        </w:rPr>
        <w:t>Suaybaguio</w:t>
      </w:r>
    </w:p>
    <w:p>
      <w:pPr>
        <w:pStyle w:val="BodyText"/>
        <w:rPr>
          <w:b/>
        </w:rPr>
      </w:pPr>
    </w:p>
    <w:p>
      <w:pPr>
        <w:pStyle w:val="BodyText"/>
        <w:rPr>
          <w:b/>
        </w:rPr>
      </w:pPr>
    </w:p>
    <w:p>
      <w:pPr>
        <w:pStyle w:val="BodyText"/>
        <w:rPr>
          <w:b/>
        </w:rPr>
      </w:pPr>
    </w:p>
    <w:p>
      <w:pPr>
        <w:pStyle w:val="BodyText"/>
        <w:rPr>
          <w:b/>
        </w:rPr>
      </w:pPr>
    </w:p>
    <w:p>
      <w:pPr>
        <w:pStyle w:val="BodyText"/>
        <w:spacing w:before="82"/>
        <w:rPr>
          <w:b/>
        </w:rPr>
      </w:pPr>
    </w:p>
    <w:p>
      <w:pPr>
        <w:pStyle w:val="BodyText"/>
        <w:spacing w:line="379" w:lineRule="auto"/>
        <w:ind w:left="1645" w:right="2366"/>
        <w:jc w:val="center"/>
      </w:pPr>
      <w:r>
        <w:rPr/>
        <w:t>A</w:t>
      </w:r>
      <w:r>
        <w:rPr>
          <w:spacing w:val="-5"/>
        </w:rPr>
        <w:t> </w:t>
      </w:r>
      <w:r>
        <w:rPr/>
        <w:t>Thesis</w:t>
      </w:r>
      <w:r>
        <w:rPr>
          <w:spacing w:val="-5"/>
        </w:rPr>
        <w:t> </w:t>
      </w:r>
      <w:r>
        <w:rPr/>
        <w:t>Report</w:t>
      </w:r>
      <w:r>
        <w:rPr>
          <w:spacing w:val="-5"/>
        </w:rPr>
        <w:t> </w:t>
      </w:r>
      <w:r>
        <w:rPr/>
        <w:t>Submitted</w:t>
      </w:r>
      <w:r>
        <w:rPr>
          <w:spacing w:val="-5"/>
        </w:rPr>
        <w:t> </w:t>
      </w:r>
      <w:r>
        <w:rPr/>
        <w:t>to</w:t>
      </w:r>
      <w:r>
        <w:rPr>
          <w:spacing w:val="-5"/>
        </w:rPr>
        <w:t> </w:t>
      </w:r>
      <w:r>
        <w:rPr/>
        <w:t>the</w:t>
      </w:r>
      <w:r>
        <w:rPr>
          <w:spacing w:val="-6"/>
        </w:rPr>
        <w:t> </w:t>
      </w:r>
      <w:r>
        <w:rPr/>
        <w:t>College</w:t>
      </w:r>
      <w:r>
        <w:rPr>
          <w:spacing w:val="-6"/>
        </w:rPr>
        <w:t> </w:t>
      </w:r>
      <w:r>
        <w:rPr/>
        <w:t>of</w:t>
      </w:r>
      <w:r>
        <w:rPr>
          <w:spacing w:val="-5"/>
        </w:rPr>
        <w:t> </w:t>
      </w:r>
      <w:r>
        <w:rPr/>
        <w:t>Arts</w:t>
      </w:r>
      <w:r>
        <w:rPr>
          <w:spacing w:val="-3"/>
        </w:rPr>
        <w:t> </w:t>
      </w:r>
      <w:r>
        <w:rPr/>
        <w:t>and</w:t>
      </w:r>
      <w:r>
        <w:rPr>
          <w:spacing w:val="-5"/>
        </w:rPr>
        <w:t> </w:t>
      </w:r>
      <w:r>
        <w:rPr/>
        <w:t>Science in Partial Fulfillment of the Requirements for the ENG024</w:t>
      </w:r>
    </w:p>
    <w:p>
      <w:pPr>
        <w:pStyle w:val="BodyText"/>
        <w:spacing w:before="159"/>
      </w:pPr>
    </w:p>
    <w:p>
      <w:pPr>
        <w:pStyle w:val="BodyText"/>
        <w:spacing w:before="1"/>
        <w:ind w:left="1731" w:right="2441"/>
        <w:jc w:val="center"/>
      </w:pPr>
      <w:r>
        <w:rPr/>
        <w:t>Bachelor</w:t>
      </w:r>
      <w:r>
        <w:rPr>
          <w:spacing w:val="-1"/>
        </w:rPr>
        <w:t> </w:t>
      </w:r>
      <w:r>
        <w:rPr/>
        <w:t>of</w:t>
      </w:r>
      <w:r>
        <w:rPr>
          <w:spacing w:val="-2"/>
        </w:rPr>
        <w:t> </w:t>
      </w:r>
      <w:r>
        <w:rPr/>
        <w:t>Science</w:t>
      </w:r>
      <w:r>
        <w:rPr>
          <w:spacing w:val="-2"/>
        </w:rPr>
        <w:t> </w:t>
      </w:r>
      <w:r>
        <w:rPr/>
        <w:t>in</w:t>
      </w:r>
      <w:r>
        <w:rPr>
          <w:spacing w:val="-1"/>
        </w:rPr>
        <w:t> </w:t>
      </w:r>
      <w:r>
        <w:rPr>
          <w:spacing w:val="-2"/>
        </w:rPr>
        <w:t>Accountancy</w:t>
      </w:r>
    </w:p>
    <w:p>
      <w:pPr>
        <w:pStyle w:val="BodyText"/>
      </w:pPr>
    </w:p>
    <w:p>
      <w:pPr>
        <w:pStyle w:val="BodyText"/>
      </w:pPr>
    </w:p>
    <w:p>
      <w:pPr>
        <w:pStyle w:val="BodyText"/>
      </w:pPr>
    </w:p>
    <w:p>
      <w:pPr>
        <w:pStyle w:val="BodyText"/>
      </w:pPr>
    </w:p>
    <w:p>
      <w:pPr>
        <w:pStyle w:val="BodyText"/>
        <w:spacing w:before="89"/>
      </w:pPr>
    </w:p>
    <w:p>
      <w:pPr>
        <w:pStyle w:val="BodyText"/>
        <w:spacing w:line="379" w:lineRule="auto"/>
        <w:ind w:left="2658" w:right="3376"/>
        <w:jc w:val="center"/>
      </w:pPr>
      <w:r>
        <w:rPr/>
        <w:t>Mapúa</w:t>
      </w:r>
      <w:r>
        <w:rPr>
          <w:spacing w:val="-14"/>
        </w:rPr>
        <w:t> </w:t>
      </w:r>
      <w:r>
        <w:rPr/>
        <w:t>Malayan</w:t>
      </w:r>
      <w:r>
        <w:rPr>
          <w:spacing w:val="-13"/>
        </w:rPr>
        <w:t> </w:t>
      </w:r>
      <w:r>
        <w:rPr/>
        <w:t>Colleges</w:t>
      </w:r>
      <w:r>
        <w:rPr>
          <w:spacing w:val="-13"/>
        </w:rPr>
        <w:t> </w:t>
      </w:r>
      <w:r>
        <w:rPr/>
        <w:t>Mindanao Davao City</w:t>
      </w:r>
    </w:p>
    <w:p>
      <w:pPr>
        <w:pStyle w:val="BodyText"/>
        <w:spacing w:before="160"/>
      </w:pPr>
    </w:p>
    <w:p>
      <w:pPr>
        <w:pStyle w:val="BodyText"/>
        <w:ind w:left="1723" w:right="2443"/>
        <w:jc w:val="center"/>
      </w:pPr>
      <w:r>
        <w:rPr/>
        <w:t>October</w:t>
      </w:r>
      <w:r>
        <w:rPr>
          <w:spacing w:val="-3"/>
        </w:rPr>
        <w:t> </w:t>
      </w:r>
      <w:r>
        <w:rPr>
          <w:spacing w:val="-4"/>
        </w:rPr>
        <w:t>2025</w:t>
      </w:r>
    </w:p>
    <w:p>
      <w:pPr>
        <w:pStyle w:val="BodyText"/>
        <w:spacing w:after="0"/>
        <w:jc w:val="center"/>
        <w:sectPr>
          <w:headerReference w:type="default" r:id="rId6"/>
          <w:pgSz w:w="12240" w:h="15840"/>
          <w:pgMar w:header="710" w:footer="0" w:top="1340" w:bottom="280" w:left="1800" w:right="360"/>
          <w:pgNumType w:start="1"/>
        </w:sectPr>
      </w:pPr>
    </w:p>
    <w:p>
      <w:pPr>
        <w:spacing w:before="84"/>
        <w:ind w:left="1726" w:right="2441" w:firstLine="0"/>
        <w:jc w:val="center"/>
        <w:rPr>
          <w:b/>
          <w:sz w:val="24"/>
        </w:rPr>
      </w:pPr>
      <w:r>
        <w:rPr>
          <w:b/>
          <w:sz w:val="24"/>
        </w:rPr>
        <w:t>APPROVAL</w:t>
      </w:r>
      <w:r>
        <w:rPr>
          <w:b/>
          <w:spacing w:val="-2"/>
          <w:sz w:val="24"/>
        </w:rPr>
        <w:t> SHEET</w:t>
      </w:r>
    </w:p>
    <w:p>
      <w:pPr>
        <w:pStyle w:val="BodyText"/>
        <w:rPr>
          <w:b/>
        </w:rPr>
      </w:pPr>
    </w:p>
    <w:p>
      <w:pPr>
        <w:pStyle w:val="BodyText"/>
        <w:spacing w:before="204"/>
        <w:rPr>
          <w:b/>
        </w:rPr>
      </w:pPr>
    </w:p>
    <w:p>
      <w:pPr>
        <w:spacing w:line="240" w:lineRule="auto" w:before="0"/>
        <w:ind w:left="914" w:right="1088" w:firstLine="0"/>
        <w:jc w:val="both"/>
        <w:rPr>
          <w:sz w:val="24"/>
        </w:rPr>
      </w:pPr>
      <w:r>
        <w:rPr>
          <w:sz w:val="24"/>
        </w:rPr>
        <w:t>The thesis, entitled </w:t>
      </w:r>
      <w:r>
        <w:rPr>
          <w:b/>
          <w:sz w:val="24"/>
        </w:rPr>
        <w:t>“Cost-Benefit Analysis of Shifting from Plastic to Compostable Packaging in the Mapua MCM Canteen” </w:t>
      </w:r>
      <w:r>
        <w:rPr>
          <w:sz w:val="24"/>
        </w:rPr>
        <w:t>prepared and submitted by</w:t>
      </w:r>
      <w:r>
        <w:rPr>
          <w:spacing w:val="-3"/>
          <w:sz w:val="24"/>
        </w:rPr>
        <w:t> </w:t>
      </w:r>
      <w:r>
        <w:rPr>
          <w:b/>
          <w:sz w:val="24"/>
        </w:rPr>
        <w:t>Farouq</w:t>
      </w:r>
      <w:r>
        <w:rPr>
          <w:b/>
          <w:spacing w:val="-1"/>
          <w:sz w:val="24"/>
        </w:rPr>
        <w:t> </w:t>
      </w:r>
      <w:r>
        <w:rPr>
          <w:b/>
          <w:sz w:val="24"/>
        </w:rPr>
        <w:t>Hesham</w:t>
      </w:r>
      <w:r>
        <w:rPr>
          <w:b/>
          <w:spacing w:val="-1"/>
          <w:sz w:val="24"/>
        </w:rPr>
        <w:t> </w:t>
      </w:r>
      <w:r>
        <w:rPr>
          <w:b/>
          <w:sz w:val="24"/>
        </w:rPr>
        <w:t>M. Abdulgani,</w:t>
      </w:r>
      <w:r>
        <w:rPr>
          <w:b/>
          <w:spacing w:val="-1"/>
          <w:sz w:val="24"/>
        </w:rPr>
        <w:t> </w:t>
      </w:r>
      <w:r>
        <w:rPr>
          <w:b/>
          <w:sz w:val="24"/>
        </w:rPr>
        <w:t>Bien</w:t>
      </w:r>
      <w:r>
        <w:rPr>
          <w:b/>
          <w:spacing w:val="-1"/>
          <w:sz w:val="24"/>
        </w:rPr>
        <w:t> </w:t>
      </w:r>
      <w:r>
        <w:rPr>
          <w:b/>
          <w:sz w:val="24"/>
        </w:rPr>
        <w:t>Antonio</w:t>
      </w:r>
      <w:r>
        <w:rPr>
          <w:b/>
          <w:spacing w:val="-1"/>
          <w:sz w:val="24"/>
        </w:rPr>
        <w:t> </w:t>
      </w:r>
      <w:r>
        <w:rPr>
          <w:b/>
          <w:sz w:val="24"/>
        </w:rPr>
        <w:t>C.</w:t>
      </w:r>
      <w:r>
        <w:rPr>
          <w:b/>
          <w:spacing w:val="-2"/>
          <w:sz w:val="24"/>
        </w:rPr>
        <w:t> </w:t>
      </w:r>
      <w:r>
        <w:rPr>
          <w:b/>
          <w:sz w:val="24"/>
        </w:rPr>
        <w:t>Asegurado,</w:t>
      </w:r>
      <w:r>
        <w:rPr>
          <w:b/>
          <w:spacing w:val="-1"/>
          <w:sz w:val="24"/>
        </w:rPr>
        <w:t> </w:t>
      </w:r>
      <w:r>
        <w:rPr>
          <w:b/>
          <w:sz w:val="24"/>
        </w:rPr>
        <w:t>Jozef James G. Elises, Patrick Renz L. Suaybaguio </w:t>
      </w:r>
      <w:r>
        <w:rPr>
          <w:sz w:val="24"/>
        </w:rPr>
        <w:t>in partial fulfillment of the requirements for the degree of </w:t>
      </w:r>
      <w:r>
        <w:rPr>
          <w:b/>
          <w:sz w:val="24"/>
        </w:rPr>
        <w:t>Bachelor of Science in Accountancy </w:t>
      </w:r>
      <w:r>
        <w:rPr>
          <w:sz w:val="24"/>
        </w:rPr>
        <w:t>is hereby accepted.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4"/>
        <w:rPr>
          <w:sz w:val="20"/>
        </w:rPr>
      </w:pPr>
    </w:p>
    <w:tbl>
      <w:tblPr>
        <w:tblW w:w="0" w:type="auto"/>
        <w:jc w:val="left"/>
        <w:tblInd w:w="20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07"/>
      </w:tblGrid>
      <w:tr>
        <w:trPr>
          <w:trHeight w:val="441" w:hRule="atLeast"/>
        </w:trPr>
        <w:tc>
          <w:tcPr>
            <w:tcW w:w="5207" w:type="dxa"/>
            <w:tcBorders>
              <w:bottom w:val="single" w:sz="6" w:space="0" w:color="000000"/>
            </w:tcBorders>
          </w:tcPr>
          <w:p>
            <w:pPr>
              <w:pStyle w:val="TableParagraph"/>
              <w:spacing w:line="266" w:lineRule="exact"/>
              <w:ind w:left="64" w:right="65"/>
              <w:jc w:val="center"/>
              <w:rPr>
                <w:b/>
                <w:sz w:val="24"/>
              </w:rPr>
            </w:pPr>
            <w:r>
              <w:rPr>
                <w:b/>
                <w:sz w:val="24"/>
              </w:rPr>
              <w:t>Jerahmee</w:t>
            </w:r>
            <w:r>
              <w:rPr>
                <w:b/>
                <w:spacing w:val="-3"/>
                <w:sz w:val="24"/>
              </w:rPr>
              <w:t> </w:t>
            </w:r>
            <w:r>
              <w:rPr>
                <w:b/>
                <w:sz w:val="24"/>
              </w:rPr>
              <w:t>R.</w:t>
            </w:r>
            <w:r>
              <w:rPr>
                <w:b/>
                <w:spacing w:val="-2"/>
                <w:sz w:val="24"/>
              </w:rPr>
              <w:t> </w:t>
            </w:r>
            <w:r>
              <w:rPr>
                <w:b/>
                <w:sz w:val="24"/>
              </w:rPr>
              <w:t>De</w:t>
            </w:r>
            <w:r>
              <w:rPr>
                <w:b/>
                <w:spacing w:val="-2"/>
                <w:sz w:val="24"/>
              </w:rPr>
              <w:t> </w:t>
            </w:r>
            <w:r>
              <w:rPr>
                <w:b/>
                <w:spacing w:val="-4"/>
                <w:sz w:val="24"/>
              </w:rPr>
              <w:t>Leon</w:t>
            </w:r>
          </w:p>
        </w:tc>
      </w:tr>
      <w:tr>
        <w:trPr>
          <w:trHeight w:val="272" w:hRule="atLeast"/>
        </w:trPr>
        <w:tc>
          <w:tcPr>
            <w:tcW w:w="5207" w:type="dxa"/>
            <w:tcBorders>
              <w:top w:val="single" w:sz="6" w:space="0" w:color="000000"/>
            </w:tcBorders>
          </w:tcPr>
          <w:p>
            <w:pPr>
              <w:pStyle w:val="TableParagraph"/>
              <w:spacing w:before="9"/>
              <w:ind w:left="11" w:right="65"/>
              <w:jc w:val="center"/>
              <w:rPr>
                <w:sz w:val="20"/>
              </w:rPr>
            </w:pPr>
            <w:r>
              <w:rPr>
                <w:sz w:val="20"/>
              </w:rPr>
              <w:t>(Signature</w:t>
            </w:r>
            <w:r>
              <w:rPr>
                <w:spacing w:val="-8"/>
                <w:sz w:val="20"/>
              </w:rPr>
              <w:t> </w:t>
            </w:r>
            <w:r>
              <w:rPr>
                <w:sz w:val="20"/>
              </w:rPr>
              <w:t>over</w:t>
            </w:r>
            <w:r>
              <w:rPr>
                <w:spacing w:val="-6"/>
                <w:sz w:val="20"/>
              </w:rPr>
              <w:t> </w:t>
            </w:r>
            <w:r>
              <w:rPr>
                <w:sz w:val="20"/>
              </w:rPr>
              <w:t>printed</w:t>
            </w:r>
            <w:r>
              <w:rPr>
                <w:spacing w:val="-7"/>
                <w:sz w:val="20"/>
              </w:rPr>
              <w:t> </w:t>
            </w:r>
            <w:r>
              <w:rPr>
                <w:spacing w:val="-2"/>
                <w:sz w:val="20"/>
              </w:rPr>
              <w:t>name/date)</w:t>
            </w:r>
          </w:p>
        </w:tc>
      </w:tr>
      <w:tr>
        <w:trPr>
          <w:trHeight w:val="298" w:hRule="atLeast"/>
        </w:trPr>
        <w:tc>
          <w:tcPr>
            <w:tcW w:w="5207" w:type="dxa"/>
          </w:tcPr>
          <w:p>
            <w:pPr>
              <w:pStyle w:val="TableParagraph"/>
              <w:spacing w:line="256" w:lineRule="exact" w:before="22"/>
              <w:ind w:left="59" w:right="65"/>
              <w:jc w:val="center"/>
              <w:rPr>
                <w:sz w:val="24"/>
              </w:rPr>
            </w:pPr>
            <w:r>
              <w:rPr>
                <w:sz w:val="24"/>
              </w:rPr>
              <w:t>COURSE</w:t>
            </w:r>
            <w:r>
              <w:rPr>
                <w:spacing w:val="-1"/>
                <w:sz w:val="24"/>
              </w:rPr>
              <w:t> </w:t>
            </w:r>
            <w:r>
              <w:rPr>
                <w:spacing w:val="-2"/>
                <w:sz w:val="24"/>
              </w:rPr>
              <w:t>FACILITATOR</w:t>
            </w:r>
          </w:p>
        </w:tc>
      </w:tr>
    </w:tbl>
    <w:p>
      <w:pPr>
        <w:pStyle w:val="BodyText"/>
      </w:pPr>
    </w:p>
    <w:p>
      <w:pPr>
        <w:pStyle w:val="BodyText"/>
      </w:pPr>
    </w:p>
    <w:p>
      <w:pPr>
        <w:pStyle w:val="BodyText"/>
        <w:spacing w:before="46"/>
      </w:pPr>
    </w:p>
    <w:p>
      <w:pPr>
        <w:spacing w:before="0"/>
        <w:ind w:left="914" w:right="1002" w:firstLine="0"/>
        <w:jc w:val="left"/>
        <w:rPr>
          <w:b/>
          <w:sz w:val="24"/>
        </w:rPr>
      </w:pPr>
      <w:r>
        <w:rPr>
          <w:sz w:val="24"/>
        </w:rPr>
        <w:t>Accepted as partial fulfillment of the requirements for the degree of </w:t>
      </w:r>
      <w:r>
        <w:rPr>
          <w:b/>
          <w:sz w:val="24"/>
          <w:u w:val="single"/>
        </w:rPr>
        <w:t>BACHELOR</w:t>
      </w:r>
      <w:r>
        <w:rPr>
          <w:b/>
          <w:sz w:val="24"/>
        </w:rPr>
        <w:t> </w:t>
      </w:r>
      <w:r>
        <w:rPr>
          <w:b/>
          <w:sz w:val="24"/>
          <w:u w:val="single"/>
        </w:rPr>
        <w:t>OF ACCOUNTANCY.</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
        <w:rPr>
          <w:b/>
          <w:sz w:val="20"/>
        </w:rPr>
      </w:pPr>
    </w:p>
    <w:tbl>
      <w:tblPr>
        <w:tblW w:w="0" w:type="auto"/>
        <w:jc w:val="left"/>
        <w:tblInd w:w="20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07"/>
      </w:tblGrid>
      <w:tr>
        <w:trPr>
          <w:trHeight w:val="280" w:hRule="atLeast"/>
        </w:trPr>
        <w:tc>
          <w:tcPr>
            <w:tcW w:w="5207" w:type="dxa"/>
            <w:tcBorders>
              <w:bottom w:val="single" w:sz="6" w:space="0" w:color="000000"/>
            </w:tcBorders>
          </w:tcPr>
          <w:p>
            <w:pPr>
              <w:pStyle w:val="TableParagraph"/>
              <w:spacing w:line="261" w:lineRule="exact"/>
              <w:ind w:left="64" w:right="65"/>
              <w:jc w:val="center"/>
              <w:rPr>
                <w:b/>
                <w:sz w:val="24"/>
              </w:rPr>
            </w:pPr>
            <w:r>
              <w:rPr>
                <w:b/>
                <w:sz w:val="24"/>
              </w:rPr>
              <w:t>Joy</w:t>
            </w:r>
            <w:r>
              <w:rPr>
                <w:b/>
                <w:spacing w:val="-3"/>
                <w:sz w:val="24"/>
              </w:rPr>
              <w:t> </w:t>
            </w:r>
            <w:r>
              <w:rPr>
                <w:b/>
                <w:sz w:val="24"/>
              </w:rPr>
              <w:t>G. Hofileña, </w:t>
            </w:r>
            <w:r>
              <w:rPr>
                <w:b/>
                <w:spacing w:val="-5"/>
                <w:sz w:val="24"/>
              </w:rPr>
              <w:t>PhD</w:t>
            </w:r>
          </w:p>
        </w:tc>
      </w:tr>
      <w:tr>
        <w:trPr>
          <w:trHeight w:val="317" w:hRule="atLeast"/>
        </w:trPr>
        <w:tc>
          <w:tcPr>
            <w:tcW w:w="5207" w:type="dxa"/>
            <w:tcBorders>
              <w:top w:val="single" w:sz="6" w:space="0" w:color="000000"/>
            </w:tcBorders>
          </w:tcPr>
          <w:p>
            <w:pPr>
              <w:pStyle w:val="TableParagraph"/>
              <w:spacing w:before="9"/>
              <w:ind w:left="12" w:right="65"/>
              <w:jc w:val="center"/>
              <w:rPr>
                <w:sz w:val="20"/>
              </w:rPr>
            </w:pPr>
            <w:r>
              <w:rPr>
                <w:sz w:val="20"/>
              </w:rPr>
              <w:t>(Signature</w:t>
            </w:r>
            <w:r>
              <w:rPr>
                <w:spacing w:val="-7"/>
                <w:sz w:val="20"/>
              </w:rPr>
              <w:t> </w:t>
            </w:r>
            <w:r>
              <w:rPr>
                <w:sz w:val="20"/>
              </w:rPr>
              <w:t>over</w:t>
            </w:r>
            <w:r>
              <w:rPr>
                <w:spacing w:val="-7"/>
                <w:sz w:val="20"/>
              </w:rPr>
              <w:t> </w:t>
            </w:r>
            <w:r>
              <w:rPr>
                <w:sz w:val="20"/>
              </w:rPr>
              <w:t>printed</w:t>
            </w:r>
            <w:r>
              <w:rPr>
                <w:spacing w:val="-6"/>
                <w:sz w:val="20"/>
              </w:rPr>
              <w:t> </w:t>
            </w:r>
            <w:r>
              <w:rPr>
                <w:spacing w:val="-2"/>
                <w:sz w:val="20"/>
              </w:rPr>
              <w:t>name/date)</w:t>
            </w:r>
          </w:p>
        </w:tc>
      </w:tr>
      <w:tr>
        <w:trPr>
          <w:trHeight w:val="343" w:hRule="atLeast"/>
        </w:trPr>
        <w:tc>
          <w:tcPr>
            <w:tcW w:w="5207" w:type="dxa"/>
          </w:tcPr>
          <w:p>
            <w:pPr>
              <w:pStyle w:val="TableParagraph"/>
              <w:spacing w:line="256" w:lineRule="exact" w:before="67"/>
              <w:ind w:right="65"/>
              <w:jc w:val="center"/>
              <w:rPr>
                <w:sz w:val="24"/>
              </w:rPr>
            </w:pPr>
            <w:r>
              <w:rPr>
                <w:spacing w:val="-4"/>
                <w:sz w:val="24"/>
              </w:rPr>
              <w:t>DEAN</w:t>
            </w:r>
          </w:p>
        </w:tc>
      </w:tr>
    </w:tbl>
    <w:p>
      <w:pPr>
        <w:pStyle w:val="TableParagraph"/>
        <w:spacing w:after="0" w:line="256" w:lineRule="exact"/>
        <w:jc w:val="center"/>
        <w:rPr>
          <w:sz w:val="24"/>
        </w:rPr>
        <w:sectPr>
          <w:pgSz w:w="12240" w:h="15840"/>
          <w:pgMar w:header="710" w:footer="0" w:top="1340" w:bottom="280" w:left="1800" w:right="360"/>
        </w:sectPr>
      </w:pPr>
    </w:p>
    <w:p>
      <w:pPr>
        <w:spacing w:before="164"/>
        <w:ind w:left="3334" w:right="0" w:firstLine="0"/>
        <w:jc w:val="left"/>
        <w:rPr>
          <w:b/>
          <w:sz w:val="24"/>
        </w:rPr>
      </w:pPr>
      <w:r>
        <w:rPr>
          <w:b/>
          <w:spacing w:val="-2"/>
          <w:sz w:val="24"/>
        </w:rPr>
        <w:t>ACKNOWLEDGEMENT</w:t>
      </w:r>
    </w:p>
    <w:p>
      <w:pPr>
        <w:pStyle w:val="BodyText"/>
        <w:spacing w:before="155"/>
        <w:rPr>
          <w:b/>
        </w:rPr>
      </w:pPr>
    </w:p>
    <w:p>
      <w:pPr>
        <w:pStyle w:val="BodyText"/>
        <w:spacing w:line="499" w:lineRule="auto" w:before="1"/>
        <w:ind w:left="360" w:right="1002" w:firstLine="720"/>
      </w:pPr>
      <w:r>
        <w:rPr/>
        <w:t>We</w:t>
      </w:r>
      <w:r>
        <w:rPr>
          <w:spacing w:val="-3"/>
        </w:rPr>
        <w:t> </w:t>
      </w:r>
      <w:r>
        <w:rPr/>
        <w:t>would</w:t>
      </w:r>
      <w:r>
        <w:rPr>
          <w:spacing w:val="-2"/>
        </w:rPr>
        <w:t> </w:t>
      </w:r>
      <w:r>
        <w:rPr/>
        <w:t>like</w:t>
      </w:r>
      <w:r>
        <w:rPr>
          <w:spacing w:val="-3"/>
        </w:rPr>
        <w:t> </w:t>
      </w:r>
      <w:r>
        <w:rPr/>
        <w:t>to</w:t>
      </w:r>
      <w:r>
        <w:rPr>
          <w:spacing w:val="-2"/>
        </w:rPr>
        <w:t> </w:t>
      </w:r>
      <w:r>
        <w:rPr/>
        <w:t>begin</w:t>
      </w:r>
      <w:r>
        <w:rPr>
          <w:spacing w:val="-2"/>
        </w:rPr>
        <w:t> </w:t>
      </w:r>
      <w:r>
        <w:rPr/>
        <w:t>by</w:t>
      </w:r>
      <w:r>
        <w:rPr>
          <w:spacing w:val="-5"/>
        </w:rPr>
        <w:t> </w:t>
      </w:r>
      <w:r>
        <w:rPr/>
        <w:t>expressing</w:t>
      </w:r>
      <w:r>
        <w:rPr>
          <w:spacing w:val="-5"/>
        </w:rPr>
        <w:t> </w:t>
      </w:r>
      <w:r>
        <w:rPr/>
        <w:t>our</w:t>
      </w:r>
      <w:r>
        <w:rPr>
          <w:spacing w:val="-2"/>
        </w:rPr>
        <w:t> </w:t>
      </w:r>
      <w:r>
        <w:rPr/>
        <w:t>deepest gratitude</w:t>
      </w:r>
      <w:r>
        <w:rPr>
          <w:spacing w:val="-2"/>
        </w:rPr>
        <w:t> </w:t>
      </w:r>
      <w:r>
        <w:rPr/>
        <w:t>to</w:t>
      </w:r>
      <w:r>
        <w:rPr>
          <w:spacing w:val="-2"/>
        </w:rPr>
        <w:t> </w:t>
      </w:r>
      <w:r>
        <w:rPr/>
        <w:t>our</w:t>
      </w:r>
      <w:r>
        <w:rPr>
          <w:spacing w:val="-3"/>
        </w:rPr>
        <w:t> </w:t>
      </w:r>
      <w:r>
        <w:rPr/>
        <w:t>parents,</w:t>
      </w:r>
      <w:r>
        <w:rPr>
          <w:spacing w:val="-2"/>
        </w:rPr>
        <w:t> </w:t>
      </w:r>
      <w:r>
        <w:rPr/>
        <w:t>whose unwavering</w:t>
      </w:r>
      <w:r>
        <w:rPr>
          <w:spacing w:val="-7"/>
        </w:rPr>
        <w:t> </w:t>
      </w:r>
      <w:r>
        <w:rPr/>
        <w:t>support</w:t>
      </w:r>
      <w:r>
        <w:rPr>
          <w:spacing w:val="-2"/>
        </w:rPr>
        <w:t> </w:t>
      </w:r>
      <w:r>
        <w:rPr/>
        <w:t>and</w:t>
      </w:r>
      <w:r>
        <w:rPr>
          <w:spacing w:val="-2"/>
        </w:rPr>
        <w:t> </w:t>
      </w:r>
      <w:r>
        <w:rPr/>
        <w:t>provision</w:t>
      </w:r>
      <w:r>
        <w:rPr>
          <w:spacing w:val="-4"/>
        </w:rPr>
        <w:t> </w:t>
      </w:r>
      <w:r>
        <w:rPr/>
        <w:t>of</w:t>
      </w:r>
      <w:r>
        <w:rPr>
          <w:spacing w:val="-4"/>
        </w:rPr>
        <w:t> </w:t>
      </w:r>
      <w:r>
        <w:rPr/>
        <w:t>resources</w:t>
      </w:r>
      <w:r>
        <w:rPr>
          <w:spacing w:val="-4"/>
        </w:rPr>
        <w:t> </w:t>
      </w:r>
      <w:r>
        <w:rPr/>
        <w:t>have</w:t>
      </w:r>
      <w:r>
        <w:rPr>
          <w:spacing w:val="-5"/>
        </w:rPr>
        <w:t> </w:t>
      </w:r>
      <w:r>
        <w:rPr/>
        <w:t>been</w:t>
      </w:r>
      <w:r>
        <w:rPr>
          <w:spacing w:val="-4"/>
        </w:rPr>
        <w:t> </w:t>
      </w:r>
      <w:r>
        <w:rPr/>
        <w:t>our</w:t>
      </w:r>
      <w:r>
        <w:rPr>
          <w:spacing w:val="-3"/>
        </w:rPr>
        <w:t> </w:t>
      </w:r>
      <w:r>
        <w:rPr/>
        <w:t>constant</w:t>
      </w:r>
      <w:r>
        <w:rPr>
          <w:spacing w:val="-4"/>
        </w:rPr>
        <w:t> </w:t>
      </w:r>
      <w:r>
        <w:rPr/>
        <w:t>source</w:t>
      </w:r>
      <w:r>
        <w:rPr>
          <w:spacing w:val="-5"/>
        </w:rPr>
        <w:t> </w:t>
      </w:r>
      <w:r>
        <w:rPr/>
        <w:t>of</w:t>
      </w:r>
      <w:r>
        <w:rPr>
          <w:spacing w:val="-1"/>
        </w:rPr>
        <w:t> </w:t>
      </w:r>
      <w:r>
        <w:rPr/>
        <w:t>strength throughout this journey. We are equally thankful to our friends and to one another as research partners, whose encouragement and solidarity helped us remain steadfast in completing this study.</w:t>
      </w:r>
    </w:p>
    <w:p>
      <w:pPr>
        <w:pStyle w:val="BodyText"/>
        <w:spacing w:line="480" w:lineRule="auto" w:before="80"/>
        <w:ind w:left="360" w:right="1074" w:firstLine="720"/>
        <w:jc w:val="both"/>
      </w:pPr>
      <w:r>
        <w:rPr/>
        <w:t>Our profound appreciation goes to our Research Adviser and Instructor, Ms. Jerahmee R. De Leon and Mr. Juli Mikael K. Matab for their invaluable guidance, knowledge, and unwavering support. Ms. De Leon and Mr. Matab’s motivation and encouragement carried us through challenges and steered us toward the successful completion of this work. We are especially grateful as well to our Research Adviser and Instructor</w:t>
      </w:r>
      <w:r>
        <w:rPr>
          <w:spacing w:val="-15"/>
        </w:rPr>
        <w:t> </w:t>
      </w:r>
      <w:r>
        <w:rPr/>
        <w:t>whose</w:t>
      </w:r>
      <w:r>
        <w:rPr>
          <w:spacing w:val="-15"/>
        </w:rPr>
        <w:t> </w:t>
      </w:r>
      <w:r>
        <w:rPr/>
        <w:t>constructive</w:t>
      </w:r>
      <w:r>
        <w:rPr>
          <w:spacing w:val="-15"/>
        </w:rPr>
        <w:t> </w:t>
      </w:r>
      <w:r>
        <w:rPr/>
        <w:t>insights</w:t>
      </w:r>
      <w:r>
        <w:rPr>
          <w:spacing w:val="-15"/>
        </w:rPr>
        <w:t> </w:t>
      </w:r>
      <w:r>
        <w:rPr/>
        <w:t>and</w:t>
      </w:r>
      <w:r>
        <w:rPr>
          <w:spacing w:val="-15"/>
        </w:rPr>
        <w:t> </w:t>
      </w:r>
      <w:r>
        <w:rPr/>
        <w:t>thoughtful</w:t>
      </w:r>
      <w:r>
        <w:rPr>
          <w:spacing w:val="-15"/>
        </w:rPr>
        <w:t> </w:t>
      </w:r>
      <w:r>
        <w:rPr/>
        <w:t>critiques</w:t>
      </w:r>
      <w:r>
        <w:rPr>
          <w:spacing w:val="-15"/>
        </w:rPr>
        <w:t> </w:t>
      </w:r>
      <w:r>
        <w:rPr/>
        <w:t>helped</w:t>
      </w:r>
      <w:r>
        <w:rPr>
          <w:spacing w:val="-15"/>
        </w:rPr>
        <w:t> </w:t>
      </w:r>
      <w:r>
        <w:rPr/>
        <w:t>refine</w:t>
      </w:r>
      <w:r>
        <w:rPr>
          <w:spacing w:val="-15"/>
        </w:rPr>
        <w:t> </w:t>
      </w:r>
      <w:r>
        <w:rPr/>
        <w:t>and</w:t>
      </w:r>
      <w:r>
        <w:rPr>
          <w:spacing w:val="-15"/>
        </w:rPr>
        <w:t> </w:t>
      </w:r>
      <w:r>
        <w:rPr/>
        <w:t>strengthen our research.</w:t>
      </w:r>
    </w:p>
    <w:p>
      <w:pPr>
        <w:pStyle w:val="BodyText"/>
        <w:spacing w:line="480" w:lineRule="auto" w:before="161"/>
        <w:ind w:left="360" w:right="1080" w:firstLine="720"/>
        <w:jc w:val="both"/>
      </w:pPr>
      <w:r>
        <w:rPr/>
        <w:t>Lastly, we extend our heartfelt thanks to the Mapua Malayan Colleges Minanao canteen staffs who willingly took part in this research. Their cooperation and openness played a vital role in bringing this study to fruition.</w:t>
      </w:r>
    </w:p>
    <w:p>
      <w:pPr>
        <w:pStyle w:val="BodyText"/>
        <w:spacing w:line="621" w:lineRule="auto" w:before="159"/>
        <w:ind w:left="360" w:right="1077" w:firstLine="720"/>
        <w:jc w:val="both"/>
      </w:pPr>
      <w:r>
        <w:rPr/>
        <w:t>Above</w:t>
      </w:r>
      <w:r>
        <w:rPr>
          <w:spacing w:val="-10"/>
        </w:rPr>
        <w:t> </w:t>
      </w:r>
      <w:r>
        <w:rPr/>
        <w:t>all,</w:t>
      </w:r>
      <w:r>
        <w:rPr>
          <w:spacing w:val="-6"/>
        </w:rPr>
        <w:t> </w:t>
      </w:r>
      <w:r>
        <w:rPr/>
        <w:t>we</w:t>
      </w:r>
      <w:r>
        <w:rPr>
          <w:spacing w:val="-7"/>
        </w:rPr>
        <w:t> </w:t>
      </w:r>
      <w:r>
        <w:rPr/>
        <w:t>express</w:t>
      </w:r>
      <w:r>
        <w:rPr>
          <w:spacing w:val="-8"/>
        </w:rPr>
        <w:t> </w:t>
      </w:r>
      <w:r>
        <w:rPr/>
        <w:t>our</w:t>
      </w:r>
      <w:r>
        <w:rPr>
          <w:spacing w:val="-7"/>
        </w:rPr>
        <w:t> </w:t>
      </w:r>
      <w:r>
        <w:rPr/>
        <w:t>gratitude</w:t>
      </w:r>
      <w:r>
        <w:rPr>
          <w:spacing w:val="-6"/>
        </w:rPr>
        <w:t> </w:t>
      </w:r>
      <w:r>
        <w:rPr/>
        <w:t>for</w:t>
      </w:r>
      <w:r>
        <w:rPr>
          <w:spacing w:val="-10"/>
        </w:rPr>
        <w:t> </w:t>
      </w:r>
      <w:r>
        <w:rPr/>
        <w:t>the</w:t>
      </w:r>
      <w:r>
        <w:rPr>
          <w:spacing w:val="-9"/>
        </w:rPr>
        <w:t> </w:t>
      </w:r>
      <w:r>
        <w:rPr/>
        <w:t>divine</w:t>
      </w:r>
      <w:r>
        <w:rPr>
          <w:spacing w:val="-7"/>
        </w:rPr>
        <w:t> </w:t>
      </w:r>
      <w:r>
        <w:rPr/>
        <w:t>guidance</w:t>
      </w:r>
      <w:r>
        <w:rPr>
          <w:spacing w:val="-7"/>
        </w:rPr>
        <w:t> </w:t>
      </w:r>
      <w:r>
        <w:rPr/>
        <w:t>and</w:t>
      </w:r>
      <w:r>
        <w:rPr>
          <w:spacing w:val="-8"/>
        </w:rPr>
        <w:t> </w:t>
      </w:r>
      <w:r>
        <w:rPr/>
        <w:t>blessings</w:t>
      </w:r>
      <w:r>
        <w:rPr>
          <w:spacing w:val="-4"/>
        </w:rPr>
        <w:t> </w:t>
      </w:r>
      <w:r>
        <w:rPr/>
        <w:t>that</w:t>
      </w:r>
      <w:r>
        <w:rPr>
          <w:spacing w:val="-8"/>
        </w:rPr>
        <w:t> </w:t>
      </w:r>
      <w:r>
        <w:rPr/>
        <w:t>have made this work possible.</w:t>
      </w:r>
    </w:p>
    <w:p>
      <w:pPr>
        <w:pStyle w:val="BodyText"/>
        <w:spacing w:after="0" w:line="621" w:lineRule="auto"/>
        <w:jc w:val="both"/>
        <w:sectPr>
          <w:pgSz w:w="12240" w:h="15840"/>
          <w:pgMar w:header="710" w:footer="0" w:top="1340" w:bottom="280" w:left="1800" w:right="360"/>
        </w:sectPr>
      </w:pPr>
    </w:p>
    <w:p>
      <w:pPr>
        <w:spacing w:before="84"/>
        <w:ind w:left="1724" w:right="2441" w:firstLine="0"/>
        <w:jc w:val="center"/>
        <w:rPr>
          <w:b/>
          <w:sz w:val="24"/>
        </w:rPr>
      </w:pPr>
      <w:r>
        <w:rPr>
          <w:b/>
          <w:sz w:val="24"/>
        </w:rPr>
        <w:t>TABLE OF</w:t>
      </w:r>
      <w:r>
        <w:rPr>
          <w:b/>
          <w:spacing w:val="-3"/>
          <w:sz w:val="24"/>
        </w:rPr>
        <w:t> </w:t>
      </w:r>
      <w:r>
        <w:rPr>
          <w:b/>
          <w:spacing w:val="-2"/>
          <w:sz w:val="24"/>
        </w:rPr>
        <w:t>CONTENTS</w:t>
      </w:r>
    </w:p>
    <w:p>
      <w:pPr>
        <w:pStyle w:val="BodyText"/>
        <w:rPr>
          <w:b/>
          <w:sz w:val="20"/>
        </w:rPr>
      </w:pPr>
    </w:p>
    <w:p>
      <w:pPr>
        <w:pStyle w:val="BodyText"/>
        <w:spacing w:before="141"/>
        <w:rPr>
          <w:b/>
          <w:sz w:val="20"/>
        </w:rPr>
      </w:pPr>
    </w:p>
    <w:tbl>
      <w:tblPr>
        <w:tblW w:w="0" w:type="auto"/>
        <w:jc w:val="left"/>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06"/>
        <w:gridCol w:w="1736"/>
      </w:tblGrid>
      <w:tr>
        <w:trPr>
          <w:trHeight w:val="359" w:hRule="atLeast"/>
        </w:trPr>
        <w:tc>
          <w:tcPr>
            <w:tcW w:w="7506" w:type="dxa"/>
          </w:tcPr>
          <w:p>
            <w:pPr>
              <w:pStyle w:val="TableParagraph"/>
              <w:spacing w:line="266" w:lineRule="exact"/>
              <w:ind w:left="50"/>
              <w:rPr>
                <w:sz w:val="24"/>
              </w:rPr>
            </w:pPr>
            <w:r>
              <w:rPr>
                <w:sz w:val="24"/>
              </w:rPr>
              <w:t>TITLE</w:t>
            </w:r>
            <w:r>
              <w:rPr>
                <w:spacing w:val="-4"/>
                <w:sz w:val="24"/>
              </w:rPr>
              <w:t> PAGE</w:t>
            </w:r>
          </w:p>
        </w:tc>
        <w:tc>
          <w:tcPr>
            <w:tcW w:w="1736" w:type="dxa"/>
          </w:tcPr>
          <w:p>
            <w:pPr>
              <w:pStyle w:val="TableParagraph"/>
              <w:spacing w:line="266" w:lineRule="exact"/>
              <w:ind w:right="49"/>
              <w:jc w:val="right"/>
              <w:rPr>
                <w:sz w:val="24"/>
              </w:rPr>
            </w:pPr>
            <w:r>
              <w:rPr>
                <w:spacing w:val="-10"/>
                <w:sz w:val="24"/>
              </w:rPr>
              <w:t>i</w:t>
            </w:r>
          </w:p>
        </w:tc>
      </w:tr>
      <w:tr>
        <w:trPr>
          <w:trHeight w:val="463" w:hRule="atLeast"/>
        </w:trPr>
        <w:tc>
          <w:tcPr>
            <w:tcW w:w="7506" w:type="dxa"/>
          </w:tcPr>
          <w:p>
            <w:pPr>
              <w:pStyle w:val="TableParagraph"/>
              <w:spacing w:before="83"/>
              <w:ind w:left="50"/>
              <w:rPr>
                <w:sz w:val="24"/>
              </w:rPr>
            </w:pPr>
            <w:r>
              <w:rPr>
                <w:sz w:val="24"/>
              </w:rPr>
              <w:t>APPROVAL</w:t>
            </w:r>
            <w:r>
              <w:rPr>
                <w:spacing w:val="-5"/>
                <w:sz w:val="24"/>
              </w:rPr>
              <w:t> </w:t>
            </w:r>
            <w:r>
              <w:rPr>
                <w:spacing w:val="-2"/>
                <w:sz w:val="24"/>
              </w:rPr>
              <w:t>SHEET</w:t>
            </w:r>
          </w:p>
        </w:tc>
        <w:tc>
          <w:tcPr>
            <w:tcW w:w="1736" w:type="dxa"/>
          </w:tcPr>
          <w:p>
            <w:pPr>
              <w:pStyle w:val="TableParagraph"/>
              <w:spacing w:before="83"/>
              <w:ind w:right="49"/>
              <w:jc w:val="right"/>
              <w:rPr>
                <w:sz w:val="24"/>
              </w:rPr>
            </w:pPr>
            <w:r>
              <w:rPr>
                <w:spacing w:val="-5"/>
                <w:sz w:val="24"/>
              </w:rPr>
              <w:t>ii</w:t>
            </w:r>
          </w:p>
        </w:tc>
      </w:tr>
      <w:tr>
        <w:trPr>
          <w:trHeight w:val="462" w:hRule="atLeast"/>
        </w:trPr>
        <w:tc>
          <w:tcPr>
            <w:tcW w:w="7506" w:type="dxa"/>
          </w:tcPr>
          <w:p>
            <w:pPr>
              <w:pStyle w:val="TableParagraph"/>
              <w:spacing w:before="93"/>
              <w:ind w:left="50"/>
              <w:rPr>
                <w:sz w:val="24"/>
              </w:rPr>
            </w:pPr>
            <w:r>
              <w:rPr>
                <w:spacing w:val="-2"/>
                <w:sz w:val="24"/>
              </w:rPr>
              <w:t>ACKNOWLEDGEMENT</w:t>
            </w:r>
          </w:p>
        </w:tc>
        <w:tc>
          <w:tcPr>
            <w:tcW w:w="1736" w:type="dxa"/>
          </w:tcPr>
          <w:p>
            <w:pPr>
              <w:pStyle w:val="TableParagraph"/>
              <w:spacing w:before="93"/>
              <w:ind w:right="46"/>
              <w:jc w:val="right"/>
              <w:rPr>
                <w:sz w:val="24"/>
              </w:rPr>
            </w:pPr>
            <w:r>
              <w:rPr>
                <w:spacing w:val="-5"/>
                <w:sz w:val="24"/>
              </w:rPr>
              <w:t>iii</w:t>
            </w:r>
          </w:p>
        </w:tc>
      </w:tr>
      <w:tr>
        <w:trPr>
          <w:trHeight w:val="462" w:hRule="atLeast"/>
        </w:trPr>
        <w:tc>
          <w:tcPr>
            <w:tcW w:w="7506" w:type="dxa"/>
          </w:tcPr>
          <w:p>
            <w:pPr>
              <w:pStyle w:val="TableParagraph"/>
              <w:spacing w:before="82"/>
              <w:ind w:left="50"/>
              <w:rPr>
                <w:sz w:val="24"/>
              </w:rPr>
            </w:pPr>
            <w:r>
              <w:rPr>
                <w:sz w:val="24"/>
              </w:rPr>
              <w:t>TABLE</w:t>
            </w:r>
            <w:r>
              <w:rPr>
                <w:spacing w:val="-2"/>
                <w:sz w:val="24"/>
              </w:rPr>
              <w:t> </w:t>
            </w:r>
            <w:r>
              <w:rPr>
                <w:sz w:val="24"/>
              </w:rPr>
              <w:t>OF</w:t>
            </w:r>
            <w:r>
              <w:rPr>
                <w:spacing w:val="-3"/>
                <w:sz w:val="24"/>
              </w:rPr>
              <w:t> </w:t>
            </w:r>
            <w:r>
              <w:rPr>
                <w:spacing w:val="-2"/>
                <w:sz w:val="24"/>
              </w:rPr>
              <w:t>CONTENTS</w:t>
            </w:r>
          </w:p>
        </w:tc>
        <w:tc>
          <w:tcPr>
            <w:tcW w:w="1736" w:type="dxa"/>
          </w:tcPr>
          <w:p>
            <w:pPr>
              <w:pStyle w:val="TableParagraph"/>
              <w:spacing w:before="82"/>
              <w:ind w:right="48"/>
              <w:jc w:val="right"/>
              <w:rPr>
                <w:sz w:val="24"/>
              </w:rPr>
            </w:pPr>
            <w:r>
              <w:rPr>
                <w:spacing w:val="-5"/>
                <w:sz w:val="24"/>
              </w:rPr>
              <w:t>iv</w:t>
            </w:r>
          </w:p>
        </w:tc>
      </w:tr>
      <w:tr>
        <w:trPr>
          <w:trHeight w:val="461" w:hRule="atLeast"/>
        </w:trPr>
        <w:tc>
          <w:tcPr>
            <w:tcW w:w="7506" w:type="dxa"/>
          </w:tcPr>
          <w:p>
            <w:pPr>
              <w:pStyle w:val="TableParagraph"/>
              <w:spacing w:before="93"/>
              <w:ind w:left="50"/>
              <w:rPr>
                <w:sz w:val="24"/>
              </w:rPr>
            </w:pPr>
            <w:r>
              <w:rPr>
                <w:sz w:val="24"/>
              </w:rPr>
              <w:t>LIST</w:t>
            </w:r>
            <w:r>
              <w:rPr>
                <w:spacing w:val="-2"/>
                <w:sz w:val="24"/>
              </w:rPr>
              <w:t> </w:t>
            </w:r>
            <w:r>
              <w:rPr>
                <w:sz w:val="24"/>
              </w:rPr>
              <w:t>OF</w:t>
            </w:r>
            <w:r>
              <w:rPr>
                <w:spacing w:val="-3"/>
                <w:sz w:val="24"/>
              </w:rPr>
              <w:t> </w:t>
            </w:r>
            <w:r>
              <w:rPr>
                <w:spacing w:val="-2"/>
                <w:sz w:val="24"/>
              </w:rPr>
              <w:t>TABLES</w:t>
            </w:r>
          </w:p>
        </w:tc>
        <w:tc>
          <w:tcPr>
            <w:tcW w:w="1736" w:type="dxa"/>
          </w:tcPr>
          <w:p>
            <w:pPr>
              <w:pStyle w:val="TableParagraph"/>
              <w:spacing w:before="93"/>
              <w:ind w:right="49"/>
              <w:jc w:val="right"/>
              <w:rPr>
                <w:sz w:val="24"/>
              </w:rPr>
            </w:pPr>
            <w:r>
              <w:rPr>
                <w:spacing w:val="-10"/>
                <w:sz w:val="24"/>
              </w:rPr>
              <w:t>v</w:t>
            </w:r>
          </w:p>
        </w:tc>
      </w:tr>
      <w:tr>
        <w:trPr>
          <w:trHeight w:val="463" w:hRule="atLeast"/>
        </w:trPr>
        <w:tc>
          <w:tcPr>
            <w:tcW w:w="7506" w:type="dxa"/>
          </w:tcPr>
          <w:p>
            <w:pPr>
              <w:pStyle w:val="TableParagraph"/>
              <w:spacing w:before="82"/>
              <w:ind w:left="50"/>
              <w:rPr>
                <w:sz w:val="24"/>
              </w:rPr>
            </w:pPr>
            <w:r>
              <w:rPr>
                <w:sz w:val="24"/>
              </w:rPr>
              <w:t>LIST</w:t>
            </w:r>
            <w:r>
              <w:rPr>
                <w:spacing w:val="-2"/>
                <w:sz w:val="24"/>
              </w:rPr>
              <w:t> </w:t>
            </w:r>
            <w:r>
              <w:rPr>
                <w:sz w:val="24"/>
              </w:rPr>
              <w:t>OF</w:t>
            </w:r>
            <w:r>
              <w:rPr>
                <w:spacing w:val="-2"/>
                <w:sz w:val="24"/>
              </w:rPr>
              <w:t> ABBREVIATIONS</w:t>
            </w:r>
          </w:p>
        </w:tc>
        <w:tc>
          <w:tcPr>
            <w:tcW w:w="1736" w:type="dxa"/>
          </w:tcPr>
          <w:p>
            <w:pPr>
              <w:pStyle w:val="TableParagraph"/>
              <w:spacing w:before="82"/>
              <w:ind w:right="49"/>
              <w:jc w:val="right"/>
              <w:rPr>
                <w:sz w:val="24"/>
              </w:rPr>
            </w:pPr>
            <w:r>
              <w:rPr>
                <w:spacing w:val="-5"/>
                <w:sz w:val="24"/>
              </w:rPr>
              <w:t>vi</w:t>
            </w:r>
          </w:p>
        </w:tc>
      </w:tr>
      <w:tr>
        <w:trPr>
          <w:trHeight w:val="753" w:hRule="atLeast"/>
        </w:trPr>
        <w:tc>
          <w:tcPr>
            <w:tcW w:w="7506" w:type="dxa"/>
          </w:tcPr>
          <w:p>
            <w:pPr>
              <w:pStyle w:val="TableParagraph"/>
              <w:spacing w:before="95"/>
              <w:ind w:left="50" w:right="236"/>
              <w:rPr>
                <w:sz w:val="24"/>
              </w:rPr>
            </w:pPr>
            <w:r>
              <w:rPr>
                <w:sz w:val="24"/>
              </w:rPr>
              <w:t>ARTICLE</w:t>
            </w:r>
            <w:r>
              <w:rPr>
                <w:spacing w:val="-5"/>
                <w:sz w:val="24"/>
              </w:rPr>
              <w:t> </w:t>
            </w:r>
            <w:r>
              <w:rPr>
                <w:sz w:val="24"/>
              </w:rPr>
              <w:t>1:</w:t>
            </w:r>
            <w:r>
              <w:rPr>
                <w:spacing w:val="-5"/>
                <w:sz w:val="24"/>
              </w:rPr>
              <w:t> </w:t>
            </w:r>
            <w:r>
              <w:rPr>
                <w:sz w:val="24"/>
              </w:rPr>
              <w:t>Cost-Benefit</w:t>
            </w:r>
            <w:r>
              <w:rPr>
                <w:spacing w:val="-5"/>
                <w:sz w:val="24"/>
              </w:rPr>
              <w:t> </w:t>
            </w:r>
            <w:r>
              <w:rPr>
                <w:sz w:val="24"/>
              </w:rPr>
              <w:t>Analysis</w:t>
            </w:r>
            <w:r>
              <w:rPr>
                <w:spacing w:val="-5"/>
                <w:sz w:val="24"/>
              </w:rPr>
              <w:t> </w:t>
            </w:r>
            <w:r>
              <w:rPr>
                <w:sz w:val="24"/>
              </w:rPr>
              <w:t>of</w:t>
            </w:r>
            <w:r>
              <w:rPr>
                <w:spacing w:val="-5"/>
                <w:sz w:val="24"/>
              </w:rPr>
              <w:t> </w:t>
            </w:r>
            <w:r>
              <w:rPr>
                <w:sz w:val="24"/>
              </w:rPr>
              <w:t>Shifting</w:t>
            </w:r>
            <w:r>
              <w:rPr>
                <w:spacing w:val="-5"/>
                <w:sz w:val="24"/>
              </w:rPr>
              <w:t> </w:t>
            </w:r>
            <w:r>
              <w:rPr>
                <w:sz w:val="24"/>
              </w:rPr>
              <w:t>from</w:t>
            </w:r>
            <w:r>
              <w:rPr>
                <w:spacing w:val="-5"/>
                <w:sz w:val="24"/>
              </w:rPr>
              <w:t> </w:t>
            </w:r>
            <w:r>
              <w:rPr>
                <w:sz w:val="24"/>
              </w:rPr>
              <w:t>Plastic</w:t>
            </w:r>
            <w:r>
              <w:rPr>
                <w:spacing w:val="-5"/>
                <w:sz w:val="24"/>
              </w:rPr>
              <w:t> </w:t>
            </w:r>
            <w:r>
              <w:rPr>
                <w:sz w:val="24"/>
              </w:rPr>
              <w:t>to Compostable Packaging in the Mapua MCM Canteen</w:t>
            </w:r>
          </w:p>
        </w:tc>
        <w:tc>
          <w:tcPr>
            <w:tcW w:w="1736" w:type="dxa"/>
          </w:tcPr>
          <w:p>
            <w:pPr>
              <w:pStyle w:val="TableParagraph"/>
              <w:spacing w:before="95"/>
              <w:ind w:right="49"/>
              <w:jc w:val="right"/>
              <w:rPr>
                <w:sz w:val="24"/>
              </w:rPr>
            </w:pPr>
            <w:r>
              <w:rPr>
                <w:spacing w:val="-10"/>
                <w:sz w:val="24"/>
              </w:rPr>
              <w:t>1</w:t>
            </w:r>
          </w:p>
        </w:tc>
      </w:tr>
      <w:tr>
        <w:trPr>
          <w:trHeight w:val="3685" w:hRule="atLeast"/>
        </w:trPr>
        <w:tc>
          <w:tcPr>
            <w:tcW w:w="7506" w:type="dxa"/>
          </w:tcPr>
          <w:p>
            <w:pPr>
              <w:pStyle w:val="TableParagraph"/>
              <w:spacing w:line="480" w:lineRule="auto" w:before="97"/>
              <w:ind w:left="50" w:right="5303"/>
              <w:rPr>
                <w:sz w:val="24"/>
              </w:rPr>
            </w:pPr>
            <w:r>
              <w:rPr>
                <w:spacing w:val="-2"/>
                <w:sz w:val="24"/>
              </w:rPr>
              <w:t>ABSTRACT INTRODUCTION METHODS RESULTS DISCUSSION CONCLUSION</w:t>
            </w:r>
          </w:p>
          <w:p>
            <w:pPr>
              <w:pStyle w:val="TableParagraph"/>
              <w:spacing w:line="256" w:lineRule="exact"/>
              <w:ind w:left="50"/>
              <w:rPr>
                <w:sz w:val="24"/>
              </w:rPr>
            </w:pPr>
            <w:r>
              <w:rPr>
                <w:sz w:val="24"/>
              </w:rPr>
              <w:t>APPENDIX</w:t>
            </w:r>
            <w:r>
              <w:rPr>
                <w:spacing w:val="-2"/>
                <w:sz w:val="24"/>
              </w:rPr>
              <w:t> </w:t>
            </w:r>
            <w:r>
              <w:rPr>
                <w:sz w:val="24"/>
              </w:rPr>
              <w:t>A:</w:t>
            </w:r>
            <w:r>
              <w:rPr>
                <w:spacing w:val="-2"/>
                <w:sz w:val="24"/>
              </w:rPr>
              <w:t> </w:t>
            </w:r>
            <w:r>
              <w:rPr>
                <w:sz w:val="24"/>
              </w:rPr>
              <w:t>REVIEW</w:t>
            </w:r>
            <w:r>
              <w:rPr>
                <w:spacing w:val="-2"/>
                <w:sz w:val="24"/>
              </w:rPr>
              <w:t> </w:t>
            </w:r>
            <w:r>
              <w:rPr>
                <w:sz w:val="24"/>
              </w:rPr>
              <w:t>OF</w:t>
            </w:r>
            <w:r>
              <w:rPr>
                <w:spacing w:val="-3"/>
                <w:sz w:val="24"/>
              </w:rPr>
              <w:t> </w:t>
            </w:r>
            <w:r>
              <w:rPr>
                <w:sz w:val="24"/>
              </w:rPr>
              <w:t>RELATED</w:t>
            </w:r>
            <w:r>
              <w:rPr>
                <w:spacing w:val="-1"/>
                <w:sz w:val="24"/>
              </w:rPr>
              <w:t> </w:t>
            </w:r>
            <w:r>
              <w:rPr>
                <w:spacing w:val="-2"/>
                <w:sz w:val="24"/>
              </w:rPr>
              <w:t>LITERATURE</w:t>
            </w:r>
          </w:p>
        </w:tc>
        <w:tc>
          <w:tcPr>
            <w:tcW w:w="1736" w:type="dxa"/>
          </w:tcPr>
          <w:p>
            <w:pPr>
              <w:pStyle w:val="TableParagraph"/>
              <w:spacing w:before="97"/>
              <w:ind w:right="49"/>
              <w:jc w:val="right"/>
              <w:rPr>
                <w:sz w:val="24"/>
              </w:rPr>
            </w:pPr>
            <w:r>
              <w:rPr>
                <w:spacing w:val="-10"/>
                <w:sz w:val="24"/>
              </w:rPr>
              <w:t>2</w:t>
            </w:r>
          </w:p>
          <w:p>
            <w:pPr>
              <w:pStyle w:val="TableParagraph"/>
              <w:spacing w:before="276"/>
              <w:ind w:right="49"/>
              <w:jc w:val="right"/>
              <w:rPr>
                <w:sz w:val="24"/>
              </w:rPr>
            </w:pPr>
            <w:r>
              <w:rPr>
                <w:spacing w:val="-10"/>
                <w:sz w:val="24"/>
              </w:rPr>
              <w:t>3</w:t>
            </w:r>
          </w:p>
          <w:p>
            <w:pPr>
              <w:pStyle w:val="TableParagraph"/>
              <w:spacing w:before="276"/>
              <w:ind w:right="49"/>
              <w:jc w:val="right"/>
              <w:rPr>
                <w:sz w:val="24"/>
              </w:rPr>
            </w:pPr>
            <w:r>
              <w:rPr>
                <w:spacing w:val="-10"/>
                <w:sz w:val="24"/>
              </w:rPr>
              <w:t>8</w:t>
            </w:r>
          </w:p>
          <w:p>
            <w:pPr>
              <w:pStyle w:val="TableParagraph"/>
              <w:rPr>
                <w:b/>
                <w:sz w:val="24"/>
              </w:rPr>
            </w:pPr>
          </w:p>
          <w:p>
            <w:pPr>
              <w:pStyle w:val="TableParagraph"/>
              <w:ind w:right="49"/>
              <w:jc w:val="right"/>
              <w:rPr>
                <w:sz w:val="24"/>
              </w:rPr>
            </w:pPr>
            <w:r>
              <w:rPr>
                <w:spacing w:val="-5"/>
                <w:sz w:val="24"/>
              </w:rPr>
              <w:t>12</w:t>
            </w:r>
          </w:p>
          <w:p>
            <w:pPr>
              <w:pStyle w:val="TableParagraph"/>
              <w:rPr>
                <w:b/>
                <w:sz w:val="24"/>
              </w:rPr>
            </w:pPr>
          </w:p>
          <w:p>
            <w:pPr>
              <w:pStyle w:val="TableParagraph"/>
              <w:ind w:right="49"/>
              <w:jc w:val="right"/>
              <w:rPr>
                <w:sz w:val="24"/>
              </w:rPr>
            </w:pPr>
            <w:r>
              <w:rPr>
                <w:spacing w:val="-5"/>
                <w:sz w:val="24"/>
              </w:rPr>
              <w:t>19</w:t>
            </w:r>
          </w:p>
          <w:p>
            <w:pPr>
              <w:pStyle w:val="TableParagraph"/>
              <w:rPr>
                <w:b/>
                <w:sz w:val="24"/>
              </w:rPr>
            </w:pPr>
          </w:p>
          <w:p>
            <w:pPr>
              <w:pStyle w:val="TableParagraph"/>
              <w:ind w:right="49"/>
              <w:jc w:val="right"/>
              <w:rPr>
                <w:sz w:val="24"/>
              </w:rPr>
            </w:pPr>
            <w:r>
              <w:rPr>
                <w:spacing w:val="-5"/>
                <w:sz w:val="24"/>
              </w:rPr>
              <w:t>19</w:t>
            </w:r>
          </w:p>
          <w:p>
            <w:pPr>
              <w:pStyle w:val="TableParagraph"/>
              <w:rPr>
                <w:b/>
                <w:sz w:val="24"/>
              </w:rPr>
            </w:pPr>
          </w:p>
          <w:p>
            <w:pPr>
              <w:pStyle w:val="TableParagraph"/>
              <w:spacing w:line="256" w:lineRule="exact"/>
              <w:ind w:right="49"/>
              <w:jc w:val="right"/>
              <w:rPr>
                <w:sz w:val="24"/>
              </w:rPr>
            </w:pPr>
            <w:r>
              <w:rPr>
                <w:spacing w:val="-5"/>
                <w:sz w:val="24"/>
              </w:rPr>
              <w:t>24</w:t>
            </w:r>
          </w:p>
        </w:tc>
      </w:tr>
    </w:tbl>
    <w:p>
      <w:pPr>
        <w:pStyle w:val="TableParagraph"/>
        <w:spacing w:after="0" w:line="256" w:lineRule="exact"/>
        <w:jc w:val="right"/>
        <w:rPr>
          <w:sz w:val="24"/>
        </w:rPr>
        <w:sectPr>
          <w:pgSz w:w="12240" w:h="15840"/>
          <w:pgMar w:header="710" w:footer="0" w:top="1340" w:bottom="280" w:left="1800" w:right="360"/>
        </w:sectPr>
      </w:pPr>
    </w:p>
    <w:p>
      <w:pPr>
        <w:spacing w:before="84"/>
        <w:ind w:left="1723" w:right="2441" w:firstLine="0"/>
        <w:jc w:val="center"/>
        <w:rPr>
          <w:b/>
          <w:sz w:val="24"/>
        </w:rPr>
      </w:pPr>
      <w:r>
        <w:rPr>
          <w:b/>
          <w:sz w:val="24"/>
        </w:rPr>
        <w:t>LIST OF</w:t>
      </w:r>
      <w:r>
        <w:rPr>
          <w:b/>
          <w:spacing w:val="-3"/>
          <w:sz w:val="24"/>
        </w:rPr>
        <w:t> </w:t>
      </w:r>
      <w:r>
        <w:rPr>
          <w:b/>
          <w:spacing w:val="-2"/>
          <w:sz w:val="24"/>
        </w:rPr>
        <w:t>TABLES</w:t>
      </w:r>
    </w:p>
    <w:p>
      <w:pPr>
        <w:pStyle w:val="BodyText"/>
        <w:spacing w:before="176" w:after="1"/>
        <w:rPr>
          <w:b/>
          <w:sz w:val="20"/>
        </w:rPr>
      </w:pPr>
    </w:p>
    <w:tbl>
      <w:tblPr>
        <w:tblW w:w="0" w:type="auto"/>
        <w:jc w:val="left"/>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81"/>
        <w:gridCol w:w="877"/>
      </w:tblGrid>
      <w:tr>
        <w:trPr>
          <w:trHeight w:val="5839" w:hRule="atLeast"/>
        </w:trPr>
        <w:tc>
          <w:tcPr>
            <w:tcW w:w="8481" w:type="dxa"/>
          </w:tcPr>
          <w:p>
            <w:pPr>
              <w:pStyle w:val="TableParagraph"/>
              <w:spacing w:line="266" w:lineRule="exact"/>
              <w:ind w:left="50"/>
              <w:rPr>
                <w:sz w:val="24"/>
              </w:rPr>
            </w:pPr>
            <w:r>
              <w:rPr>
                <w:b/>
                <w:sz w:val="24"/>
              </w:rPr>
              <w:t>Table</w:t>
            </w:r>
            <w:r>
              <w:rPr>
                <w:b/>
                <w:spacing w:val="-1"/>
                <w:sz w:val="24"/>
              </w:rPr>
              <w:t> </w:t>
            </w:r>
            <w:r>
              <w:rPr>
                <w:b/>
                <w:sz w:val="24"/>
              </w:rPr>
              <w:t>2.3</w:t>
            </w:r>
            <w:r>
              <w:rPr>
                <w:b/>
                <w:spacing w:val="1"/>
                <w:sz w:val="24"/>
              </w:rPr>
              <w:t> </w:t>
            </w:r>
            <w:r>
              <w:rPr>
                <w:sz w:val="24"/>
              </w:rPr>
              <w:t>Likert Scale</w:t>
            </w:r>
            <w:r>
              <w:rPr>
                <w:spacing w:val="-1"/>
                <w:sz w:val="24"/>
              </w:rPr>
              <w:t> </w:t>
            </w:r>
            <w:r>
              <w:rPr>
                <w:sz w:val="24"/>
              </w:rPr>
              <w:t>used</w:t>
            </w:r>
            <w:r>
              <w:rPr>
                <w:spacing w:val="-1"/>
                <w:sz w:val="24"/>
              </w:rPr>
              <w:t> </w:t>
            </w:r>
            <w:r>
              <w:rPr>
                <w:sz w:val="24"/>
              </w:rPr>
              <w:t>in</w:t>
            </w:r>
            <w:r>
              <w:rPr>
                <w:spacing w:val="-1"/>
                <w:sz w:val="24"/>
              </w:rPr>
              <w:t> </w:t>
            </w:r>
            <w:r>
              <w:rPr>
                <w:sz w:val="24"/>
              </w:rPr>
              <w:t>the</w:t>
            </w:r>
            <w:r>
              <w:rPr>
                <w:spacing w:val="-2"/>
                <w:sz w:val="24"/>
              </w:rPr>
              <w:t> </w:t>
            </w:r>
            <w:r>
              <w:rPr>
                <w:sz w:val="24"/>
              </w:rPr>
              <w:t>survey</w:t>
            </w:r>
            <w:r>
              <w:rPr>
                <w:spacing w:val="-5"/>
                <w:sz w:val="24"/>
              </w:rPr>
              <w:t> </w:t>
            </w:r>
            <w:r>
              <w:rPr>
                <w:spacing w:val="-2"/>
                <w:sz w:val="24"/>
              </w:rPr>
              <w:t>questionnaire</w:t>
            </w:r>
          </w:p>
          <w:p>
            <w:pPr>
              <w:pStyle w:val="TableParagraph"/>
              <w:spacing w:before="4"/>
              <w:rPr>
                <w:b/>
                <w:sz w:val="24"/>
              </w:rPr>
            </w:pPr>
          </w:p>
          <w:p>
            <w:pPr>
              <w:pStyle w:val="TableParagraph"/>
              <w:spacing w:before="1"/>
              <w:ind w:left="50"/>
              <w:rPr>
                <w:sz w:val="24"/>
              </w:rPr>
            </w:pPr>
            <w:r>
              <w:rPr>
                <w:b/>
                <w:sz w:val="24"/>
              </w:rPr>
              <w:t>Table</w:t>
            </w:r>
            <w:r>
              <w:rPr>
                <w:b/>
                <w:spacing w:val="-1"/>
                <w:sz w:val="24"/>
              </w:rPr>
              <w:t> </w:t>
            </w:r>
            <w:r>
              <w:rPr>
                <w:b/>
                <w:sz w:val="24"/>
              </w:rPr>
              <w:t>3.1.</w:t>
            </w:r>
            <w:r>
              <w:rPr>
                <w:b/>
                <w:spacing w:val="-1"/>
                <w:sz w:val="24"/>
              </w:rPr>
              <w:t> </w:t>
            </w:r>
            <w:r>
              <w:rPr>
                <w:sz w:val="24"/>
              </w:rPr>
              <w:t>Distribution</w:t>
            </w:r>
            <w:r>
              <w:rPr>
                <w:spacing w:val="-1"/>
                <w:sz w:val="24"/>
              </w:rPr>
              <w:t> </w:t>
            </w:r>
            <w:r>
              <w:rPr>
                <w:sz w:val="24"/>
              </w:rPr>
              <w:t>of </w:t>
            </w:r>
            <w:r>
              <w:rPr>
                <w:spacing w:val="-2"/>
                <w:sz w:val="24"/>
              </w:rPr>
              <w:t>Respondents</w:t>
            </w:r>
          </w:p>
          <w:p>
            <w:pPr>
              <w:pStyle w:val="TableParagraph"/>
              <w:spacing w:before="4"/>
              <w:rPr>
                <w:b/>
                <w:sz w:val="24"/>
              </w:rPr>
            </w:pPr>
          </w:p>
          <w:p>
            <w:pPr>
              <w:pStyle w:val="TableParagraph"/>
              <w:ind w:left="50"/>
              <w:rPr>
                <w:sz w:val="24"/>
              </w:rPr>
            </w:pPr>
            <w:r>
              <w:rPr>
                <w:b/>
                <w:sz w:val="24"/>
              </w:rPr>
              <w:t>Table</w:t>
            </w:r>
            <w:r>
              <w:rPr>
                <w:b/>
                <w:spacing w:val="-2"/>
                <w:sz w:val="24"/>
              </w:rPr>
              <w:t> </w:t>
            </w:r>
            <w:r>
              <w:rPr>
                <w:b/>
                <w:sz w:val="24"/>
              </w:rPr>
              <w:t>3.2.1. </w:t>
            </w:r>
            <w:r>
              <w:rPr>
                <w:sz w:val="24"/>
              </w:rPr>
              <w:t>Level</w:t>
            </w:r>
            <w:r>
              <w:rPr>
                <w:spacing w:val="-2"/>
                <w:sz w:val="24"/>
              </w:rPr>
              <w:t> </w:t>
            </w:r>
            <w:r>
              <w:rPr>
                <w:sz w:val="24"/>
              </w:rPr>
              <w:t>of</w:t>
            </w:r>
            <w:r>
              <w:rPr>
                <w:spacing w:val="-2"/>
                <w:sz w:val="24"/>
              </w:rPr>
              <w:t> </w:t>
            </w:r>
            <w:r>
              <w:rPr>
                <w:sz w:val="24"/>
              </w:rPr>
              <w:t>Cost Implications</w:t>
            </w:r>
            <w:r>
              <w:rPr>
                <w:spacing w:val="-1"/>
                <w:sz w:val="24"/>
              </w:rPr>
              <w:t> </w:t>
            </w:r>
            <w:r>
              <w:rPr>
                <w:sz w:val="24"/>
              </w:rPr>
              <w:t>–</w:t>
            </w:r>
            <w:r>
              <w:rPr>
                <w:spacing w:val="-1"/>
                <w:sz w:val="24"/>
              </w:rPr>
              <w:t> </w:t>
            </w:r>
            <w:r>
              <w:rPr>
                <w:spacing w:val="-2"/>
                <w:sz w:val="24"/>
              </w:rPr>
              <w:t>Procurement</w:t>
            </w:r>
          </w:p>
          <w:p>
            <w:pPr>
              <w:pStyle w:val="TableParagraph"/>
              <w:spacing w:before="5"/>
              <w:rPr>
                <w:b/>
                <w:sz w:val="24"/>
              </w:rPr>
            </w:pPr>
          </w:p>
          <w:p>
            <w:pPr>
              <w:pStyle w:val="TableParagraph"/>
              <w:spacing w:line="484" w:lineRule="auto"/>
              <w:ind w:left="50" w:right="2444"/>
              <w:jc w:val="both"/>
              <w:rPr>
                <w:sz w:val="24"/>
              </w:rPr>
            </w:pPr>
            <w:r>
              <w:rPr>
                <w:b/>
                <w:sz w:val="24"/>
              </w:rPr>
              <w:t>Table</w:t>
            </w:r>
            <w:r>
              <w:rPr>
                <w:b/>
                <w:spacing w:val="-5"/>
                <w:sz w:val="24"/>
              </w:rPr>
              <w:t> </w:t>
            </w:r>
            <w:r>
              <w:rPr>
                <w:b/>
                <w:sz w:val="24"/>
              </w:rPr>
              <w:t>3.2.2.</w:t>
            </w:r>
            <w:r>
              <w:rPr>
                <w:b/>
                <w:spacing w:val="-4"/>
                <w:sz w:val="24"/>
              </w:rPr>
              <w:t> </w:t>
            </w:r>
            <w:r>
              <w:rPr>
                <w:sz w:val="24"/>
              </w:rPr>
              <w:t>Level</w:t>
            </w:r>
            <w:r>
              <w:rPr>
                <w:spacing w:val="-5"/>
                <w:sz w:val="24"/>
              </w:rPr>
              <w:t> </w:t>
            </w:r>
            <w:r>
              <w:rPr>
                <w:sz w:val="24"/>
              </w:rPr>
              <w:t>of</w:t>
            </w:r>
            <w:r>
              <w:rPr>
                <w:spacing w:val="-5"/>
                <w:sz w:val="24"/>
              </w:rPr>
              <w:t> </w:t>
            </w:r>
            <w:r>
              <w:rPr>
                <w:sz w:val="24"/>
              </w:rPr>
              <w:t>Cost</w:t>
            </w:r>
            <w:r>
              <w:rPr>
                <w:spacing w:val="-4"/>
                <w:sz w:val="24"/>
              </w:rPr>
              <w:t> </w:t>
            </w:r>
            <w:r>
              <w:rPr>
                <w:sz w:val="24"/>
              </w:rPr>
              <w:t>Implications</w:t>
            </w:r>
            <w:r>
              <w:rPr>
                <w:spacing w:val="-4"/>
                <w:sz w:val="24"/>
              </w:rPr>
              <w:t> </w:t>
            </w:r>
            <w:r>
              <w:rPr>
                <w:sz w:val="24"/>
              </w:rPr>
              <w:t>–</w:t>
            </w:r>
            <w:r>
              <w:rPr>
                <w:spacing w:val="-5"/>
                <w:sz w:val="24"/>
              </w:rPr>
              <w:t> </w:t>
            </w:r>
            <w:r>
              <w:rPr>
                <w:sz w:val="24"/>
              </w:rPr>
              <w:t>Storage</w:t>
            </w:r>
            <w:r>
              <w:rPr>
                <w:spacing w:val="-4"/>
                <w:sz w:val="24"/>
              </w:rPr>
              <w:t> </w:t>
            </w:r>
            <w:r>
              <w:rPr>
                <w:sz w:val="24"/>
              </w:rPr>
              <w:t>&amp;</w:t>
            </w:r>
            <w:r>
              <w:rPr>
                <w:spacing w:val="-7"/>
                <w:sz w:val="24"/>
              </w:rPr>
              <w:t> </w:t>
            </w:r>
            <w:r>
              <w:rPr>
                <w:sz w:val="24"/>
              </w:rPr>
              <w:t>Handling </w:t>
            </w:r>
            <w:r>
              <w:rPr>
                <w:b/>
                <w:sz w:val="24"/>
              </w:rPr>
              <w:t>Table</w:t>
            </w:r>
            <w:r>
              <w:rPr>
                <w:b/>
                <w:spacing w:val="-4"/>
                <w:sz w:val="24"/>
              </w:rPr>
              <w:t> </w:t>
            </w:r>
            <w:r>
              <w:rPr>
                <w:b/>
                <w:sz w:val="24"/>
              </w:rPr>
              <w:t>3.2.3.</w:t>
            </w:r>
            <w:r>
              <w:rPr>
                <w:b/>
                <w:spacing w:val="-2"/>
                <w:sz w:val="24"/>
              </w:rPr>
              <w:t> </w:t>
            </w:r>
            <w:r>
              <w:rPr>
                <w:sz w:val="24"/>
              </w:rPr>
              <w:t>Level</w:t>
            </w:r>
            <w:r>
              <w:rPr>
                <w:spacing w:val="-4"/>
                <w:sz w:val="24"/>
              </w:rPr>
              <w:t> </w:t>
            </w:r>
            <w:r>
              <w:rPr>
                <w:sz w:val="24"/>
              </w:rPr>
              <w:t>of</w:t>
            </w:r>
            <w:r>
              <w:rPr>
                <w:spacing w:val="-4"/>
                <w:sz w:val="24"/>
              </w:rPr>
              <w:t> </w:t>
            </w:r>
            <w:r>
              <w:rPr>
                <w:sz w:val="24"/>
              </w:rPr>
              <w:t>Cost</w:t>
            </w:r>
            <w:r>
              <w:rPr>
                <w:spacing w:val="-2"/>
                <w:sz w:val="24"/>
              </w:rPr>
              <w:t> </w:t>
            </w:r>
            <w:r>
              <w:rPr>
                <w:sz w:val="24"/>
              </w:rPr>
              <w:t>Implications</w:t>
            </w:r>
            <w:r>
              <w:rPr>
                <w:spacing w:val="-2"/>
                <w:sz w:val="24"/>
              </w:rPr>
              <w:t> </w:t>
            </w:r>
            <w:r>
              <w:rPr>
                <w:sz w:val="24"/>
              </w:rPr>
              <w:t>–</w:t>
            </w:r>
            <w:r>
              <w:rPr>
                <w:spacing w:val="-4"/>
                <w:sz w:val="24"/>
              </w:rPr>
              <w:t> </w:t>
            </w:r>
            <w:r>
              <w:rPr>
                <w:sz w:val="24"/>
              </w:rPr>
              <w:t>Waste</w:t>
            </w:r>
            <w:r>
              <w:rPr>
                <w:spacing w:val="-3"/>
                <w:sz w:val="24"/>
              </w:rPr>
              <w:t> </w:t>
            </w:r>
            <w:r>
              <w:rPr>
                <w:sz w:val="24"/>
              </w:rPr>
              <w:t>Management </w:t>
            </w:r>
            <w:r>
              <w:rPr>
                <w:b/>
                <w:sz w:val="24"/>
              </w:rPr>
              <w:t>Table 3.2.4. </w:t>
            </w:r>
            <w:r>
              <w:rPr>
                <w:sz w:val="24"/>
              </w:rPr>
              <w:t>Level of Cost Implications – Overall Summary</w:t>
            </w:r>
          </w:p>
          <w:p>
            <w:pPr>
              <w:pStyle w:val="TableParagraph"/>
              <w:spacing w:before="1"/>
              <w:ind w:left="50"/>
              <w:rPr>
                <w:sz w:val="24"/>
              </w:rPr>
            </w:pPr>
            <w:r>
              <w:rPr>
                <w:b/>
                <w:sz w:val="24"/>
              </w:rPr>
              <w:t>Table</w:t>
            </w:r>
            <w:r>
              <w:rPr>
                <w:b/>
                <w:spacing w:val="-4"/>
                <w:sz w:val="24"/>
              </w:rPr>
              <w:t> </w:t>
            </w:r>
            <w:r>
              <w:rPr>
                <w:b/>
                <w:sz w:val="24"/>
              </w:rPr>
              <w:t>3.3.1.</w:t>
            </w:r>
            <w:r>
              <w:rPr>
                <w:b/>
                <w:spacing w:val="1"/>
                <w:sz w:val="24"/>
              </w:rPr>
              <w:t> </w:t>
            </w:r>
            <w:r>
              <w:rPr>
                <w:sz w:val="24"/>
              </w:rPr>
              <w:t>Level</w:t>
            </w:r>
            <w:r>
              <w:rPr>
                <w:spacing w:val="-2"/>
                <w:sz w:val="24"/>
              </w:rPr>
              <w:t> </w:t>
            </w:r>
            <w:r>
              <w:rPr>
                <w:sz w:val="24"/>
              </w:rPr>
              <w:t>of</w:t>
            </w:r>
            <w:r>
              <w:rPr>
                <w:spacing w:val="1"/>
                <w:sz w:val="24"/>
              </w:rPr>
              <w:t> </w:t>
            </w:r>
            <w:r>
              <w:rPr>
                <w:sz w:val="24"/>
              </w:rPr>
              <w:t>Operational &amp;</w:t>
            </w:r>
            <w:r>
              <w:rPr>
                <w:spacing w:val="-3"/>
                <w:sz w:val="24"/>
              </w:rPr>
              <w:t> </w:t>
            </w:r>
            <w:r>
              <w:rPr>
                <w:sz w:val="24"/>
              </w:rPr>
              <w:t>Environmental</w:t>
            </w:r>
            <w:r>
              <w:rPr>
                <w:spacing w:val="-2"/>
                <w:sz w:val="24"/>
              </w:rPr>
              <w:t> </w:t>
            </w:r>
            <w:r>
              <w:rPr>
                <w:sz w:val="24"/>
              </w:rPr>
              <w:t>Benefits</w:t>
            </w:r>
            <w:r>
              <w:rPr>
                <w:spacing w:val="1"/>
                <w:sz w:val="24"/>
              </w:rPr>
              <w:t> </w:t>
            </w:r>
            <w:r>
              <w:rPr>
                <w:sz w:val="24"/>
              </w:rPr>
              <w:t>-</w:t>
            </w:r>
            <w:r>
              <w:rPr>
                <w:spacing w:val="-2"/>
                <w:sz w:val="24"/>
              </w:rPr>
              <w:t> Practicality</w:t>
            </w:r>
          </w:p>
          <w:p>
            <w:pPr>
              <w:pStyle w:val="TableParagraph"/>
              <w:spacing w:before="5"/>
              <w:rPr>
                <w:b/>
                <w:sz w:val="24"/>
              </w:rPr>
            </w:pPr>
          </w:p>
          <w:p>
            <w:pPr>
              <w:pStyle w:val="TableParagraph"/>
              <w:spacing w:line="484" w:lineRule="auto"/>
              <w:ind w:left="50" w:right="505"/>
              <w:rPr>
                <w:sz w:val="24"/>
              </w:rPr>
            </w:pPr>
            <w:r>
              <w:rPr>
                <w:b/>
                <w:sz w:val="24"/>
              </w:rPr>
              <w:t>Table</w:t>
            </w:r>
            <w:r>
              <w:rPr>
                <w:b/>
                <w:spacing w:val="-5"/>
                <w:sz w:val="24"/>
              </w:rPr>
              <w:t> </w:t>
            </w:r>
            <w:r>
              <w:rPr>
                <w:b/>
                <w:sz w:val="24"/>
              </w:rPr>
              <w:t>3.3.2.</w:t>
            </w:r>
            <w:r>
              <w:rPr>
                <w:b/>
                <w:spacing w:val="-3"/>
                <w:sz w:val="24"/>
              </w:rPr>
              <w:t> </w:t>
            </w:r>
            <w:r>
              <w:rPr>
                <w:sz w:val="24"/>
              </w:rPr>
              <w:t>Level</w:t>
            </w:r>
            <w:r>
              <w:rPr>
                <w:spacing w:val="-5"/>
                <w:sz w:val="24"/>
              </w:rPr>
              <w:t> </w:t>
            </w:r>
            <w:r>
              <w:rPr>
                <w:sz w:val="24"/>
              </w:rPr>
              <w:t>of</w:t>
            </w:r>
            <w:r>
              <w:rPr>
                <w:spacing w:val="-3"/>
                <w:sz w:val="24"/>
              </w:rPr>
              <w:t> </w:t>
            </w:r>
            <w:r>
              <w:rPr>
                <w:sz w:val="24"/>
              </w:rPr>
              <w:t>Operational</w:t>
            </w:r>
            <w:r>
              <w:rPr>
                <w:spacing w:val="-3"/>
                <w:sz w:val="24"/>
              </w:rPr>
              <w:t> </w:t>
            </w:r>
            <w:r>
              <w:rPr>
                <w:sz w:val="24"/>
              </w:rPr>
              <w:t>&amp;</w:t>
            </w:r>
            <w:r>
              <w:rPr>
                <w:spacing w:val="-7"/>
                <w:sz w:val="24"/>
              </w:rPr>
              <w:t> </w:t>
            </w:r>
            <w:r>
              <w:rPr>
                <w:sz w:val="24"/>
              </w:rPr>
              <w:t>Environmental</w:t>
            </w:r>
            <w:r>
              <w:rPr>
                <w:spacing w:val="-5"/>
                <w:sz w:val="24"/>
              </w:rPr>
              <w:t> </w:t>
            </w:r>
            <w:r>
              <w:rPr>
                <w:sz w:val="24"/>
              </w:rPr>
              <w:t>Benefits</w:t>
            </w:r>
            <w:r>
              <w:rPr>
                <w:spacing w:val="-3"/>
                <w:sz w:val="24"/>
              </w:rPr>
              <w:t> </w:t>
            </w:r>
            <w:r>
              <w:rPr>
                <w:sz w:val="24"/>
              </w:rPr>
              <w:t>-</w:t>
            </w:r>
            <w:r>
              <w:rPr>
                <w:spacing w:val="-6"/>
                <w:sz w:val="24"/>
              </w:rPr>
              <w:t> </w:t>
            </w:r>
            <w:r>
              <w:rPr>
                <w:sz w:val="24"/>
              </w:rPr>
              <w:t>Waste</w:t>
            </w:r>
            <w:r>
              <w:rPr>
                <w:spacing w:val="-6"/>
                <w:sz w:val="24"/>
              </w:rPr>
              <w:t> </w:t>
            </w:r>
            <w:r>
              <w:rPr>
                <w:sz w:val="24"/>
              </w:rPr>
              <w:t>Segregation </w:t>
            </w:r>
            <w:r>
              <w:rPr>
                <w:b/>
                <w:sz w:val="24"/>
              </w:rPr>
              <w:t>Table 3.3.3. </w:t>
            </w:r>
            <w:r>
              <w:rPr>
                <w:sz w:val="24"/>
              </w:rPr>
              <w:t>Level of Operational &amp; Environmental Benefits - Sustainability </w:t>
            </w:r>
            <w:r>
              <w:rPr>
                <w:b/>
                <w:sz w:val="24"/>
              </w:rPr>
              <w:t>Table 3.3.4. </w:t>
            </w:r>
            <w:r>
              <w:rPr>
                <w:sz w:val="24"/>
              </w:rPr>
              <w:t>Level of Operational &amp;</w:t>
            </w:r>
            <w:r>
              <w:rPr>
                <w:spacing w:val="-2"/>
                <w:sz w:val="24"/>
              </w:rPr>
              <w:t> </w:t>
            </w:r>
            <w:r>
              <w:rPr>
                <w:sz w:val="24"/>
              </w:rPr>
              <w:t>Environmental Benefits – Overall Summary</w:t>
            </w:r>
          </w:p>
          <w:p>
            <w:pPr>
              <w:pStyle w:val="TableParagraph"/>
              <w:spacing w:line="256" w:lineRule="exact"/>
              <w:ind w:left="50"/>
              <w:rPr>
                <w:sz w:val="24"/>
              </w:rPr>
            </w:pPr>
            <w:r>
              <w:rPr>
                <w:b/>
                <w:sz w:val="24"/>
              </w:rPr>
              <w:t>Table</w:t>
            </w:r>
            <w:r>
              <w:rPr>
                <w:b/>
                <w:spacing w:val="-4"/>
                <w:sz w:val="24"/>
              </w:rPr>
              <w:t> </w:t>
            </w:r>
            <w:r>
              <w:rPr>
                <w:b/>
                <w:sz w:val="24"/>
              </w:rPr>
              <w:t>3.4.</w:t>
            </w:r>
            <w:r>
              <w:rPr>
                <w:b/>
                <w:spacing w:val="1"/>
                <w:sz w:val="24"/>
              </w:rPr>
              <w:t> </w:t>
            </w:r>
            <w:r>
              <w:rPr>
                <w:sz w:val="24"/>
              </w:rPr>
              <w:t>Level</w:t>
            </w:r>
            <w:r>
              <w:rPr>
                <w:spacing w:val="-2"/>
                <w:sz w:val="24"/>
              </w:rPr>
              <w:t> </w:t>
            </w:r>
            <w:r>
              <w:rPr>
                <w:sz w:val="24"/>
              </w:rPr>
              <w:t>of</w:t>
            </w:r>
            <w:r>
              <w:rPr>
                <w:spacing w:val="-1"/>
                <w:sz w:val="24"/>
              </w:rPr>
              <w:t> </w:t>
            </w:r>
            <w:r>
              <w:rPr>
                <w:sz w:val="24"/>
              </w:rPr>
              <w:t>Cost-Benefit</w:t>
            </w:r>
            <w:r>
              <w:rPr>
                <w:spacing w:val="-2"/>
                <w:sz w:val="24"/>
              </w:rPr>
              <w:t> </w:t>
            </w:r>
            <w:r>
              <w:rPr>
                <w:sz w:val="24"/>
              </w:rPr>
              <w:t>Between</w:t>
            </w:r>
            <w:r>
              <w:rPr>
                <w:spacing w:val="-1"/>
                <w:sz w:val="24"/>
              </w:rPr>
              <w:t> </w:t>
            </w:r>
            <w:r>
              <w:rPr>
                <w:sz w:val="24"/>
              </w:rPr>
              <w:t>Plastic</w:t>
            </w:r>
            <w:r>
              <w:rPr>
                <w:spacing w:val="-1"/>
                <w:sz w:val="24"/>
              </w:rPr>
              <w:t> </w:t>
            </w:r>
            <w:r>
              <w:rPr>
                <w:sz w:val="24"/>
              </w:rPr>
              <w:t>and</w:t>
            </w:r>
            <w:r>
              <w:rPr>
                <w:spacing w:val="-1"/>
                <w:sz w:val="24"/>
              </w:rPr>
              <w:t> </w:t>
            </w:r>
            <w:r>
              <w:rPr>
                <w:sz w:val="24"/>
              </w:rPr>
              <w:t>Compostable</w:t>
            </w:r>
            <w:r>
              <w:rPr>
                <w:spacing w:val="-2"/>
                <w:sz w:val="24"/>
              </w:rPr>
              <w:t> Packaging</w:t>
            </w:r>
          </w:p>
        </w:tc>
        <w:tc>
          <w:tcPr>
            <w:tcW w:w="877" w:type="dxa"/>
          </w:tcPr>
          <w:p>
            <w:pPr>
              <w:pStyle w:val="TableParagraph"/>
              <w:spacing w:line="266" w:lineRule="exact"/>
              <w:ind w:left="587"/>
              <w:rPr>
                <w:sz w:val="24"/>
              </w:rPr>
            </w:pPr>
            <w:r>
              <w:rPr>
                <w:spacing w:val="-5"/>
                <w:sz w:val="24"/>
              </w:rPr>
              <w:t>11</w:t>
            </w:r>
          </w:p>
          <w:p>
            <w:pPr>
              <w:pStyle w:val="TableParagraph"/>
              <w:spacing w:before="4"/>
              <w:rPr>
                <w:b/>
                <w:sz w:val="24"/>
              </w:rPr>
            </w:pPr>
          </w:p>
          <w:p>
            <w:pPr>
              <w:pStyle w:val="TableParagraph"/>
              <w:spacing w:before="1"/>
              <w:ind w:right="47"/>
              <w:jc w:val="right"/>
              <w:rPr>
                <w:sz w:val="24"/>
              </w:rPr>
            </w:pPr>
            <w:r>
              <w:rPr>
                <w:spacing w:val="-5"/>
                <w:sz w:val="24"/>
              </w:rPr>
              <w:t>12</w:t>
            </w:r>
          </w:p>
          <w:p>
            <w:pPr>
              <w:pStyle w:val="TableParagraph"/>
              <w:spacing w:before="4"/>
              <w:rPr>
                <w:b/>
                <w:sz w:val="24"/>
              </w:rPr>
            </w:pPr>
          </w:p>
          <w:p>
            <w:pPr>
              <w:pStyle w:val="TableParagraph"/>
              <w:ind w:right="47"/>
              <w:jc w:val="right"/>
              <w:rPr>
                <w:sz w:val="24"/>
              </w:rPr>
            </w:pPr>
            <w:r>
              <w:rPr>
                <w:spacing w:val="-5"/>
                <w:sz w:val="24"/>
              </w:rPr>
              <w:t>13</w:t>
            </w:r>
          </w:p>
          <w:p>
            <w:pPr>
              <w:pStyle w:val="TableParagraph"/>
              <w:spacing w:before="5"/>
              <w:rPr>
                <w:b/>
                <w:sz w:val="24"/>
              </w:rPr>
            </w:pPr>
          </w:p>
          <w:p>
            <w:pPr>
              <w:pStyle w:val="TableParagraph"/>
              <w:ind w:right="47"/>
              <w:jc w:val="right"/>
              <w:rPr>
                <w:sz w:val="24"/>
              </w:rPr>
            </w:pPr>
            <w:r>
              <w:rPr>
                <w:spacing w:val="-5"/>
                <w:sz w:val="24"/>
              </w:rPr>
              <w:t>14</w:t>
            </w:r>
          </w:p>
          <w:p>
            <w:pPr>
              <w:pStyle w:val="TableParagraph"/>
              <w:spacing w:before="7"/>
              <w:rPr>
                <w:b/>
                <w:sz w:val="24"/>
              </w:rPr>
            </w:pPr>
          </w:p>
          <w:p>
            <w:pPr>
              <w:pStyle w:val="TableParagraph"/>
              <w:ind w:right="47"/>
              <w:jc w:val="right"/>
              <w:rPr>
                <w:sz w:val="24"/>
              </w:rPr>
            </w:pPr>
            <w:r>
              <w:rPr>
                <w:spacing w:val="-5"/>
                <w:sz w:val="24"/>
              </w:rPr>
              <w:t>14</w:t>
            </w:r>
          </w:p>
          <w:p>
            <w:pPr>
              <w:pStyle w:val="TableParagraph"/>
              <w:spacing w:before="6"/>
              <w:rPr>
                <w:b/>
                <w:sz w:val="24"/>
              </w:rPr>
            </w:pPr>
          </w:p>
          <w:p>
            <w:pPr>
              <w:pStyle w:val="TableParagraph"/>
              <w:ind w:right="47"/>
              <w:jc w:val="right"/>
              <w:rPr>
                <w:sz w:val="24"/>
              </w:rPr>
            </w:pPr>
            <w:r>
              <w:rPr>
                <w:spacing w:val="-5"/>
                <w:sz w:val="24"/>
              </w:rPr>
              <w:t>15</w:t>
            </w:r>
          </w:p>
          <w:p>
            <w:pPr>
              <w:pStyle w:val="TableParagraph"/>
              <w:spacing w:before="5"/>
              <w:rPr>
                <w:b/>
                <w:sz w:val="24"/>
              </w:rPr>
            </w:pPr>
          </w:p>
          <w:p>
            <w:pPr>
              <w:pStyle w:val="TableParagraph"/>
              <w:ind w:right="47"/>
              <w:jc w:val="right"/>
              <w:rPr>
                <w:sz w:val="24"/>
              </w:rPr>
            </w:pPr>
            <w:r>
              <w:rPr>
                <w:spacing w:val="-5"/>
                <w:sz w:val="24"/>
              </w:rPr>
              <w:t>16</w:t>
            </w:r>
          </w:p>
          <w:p>
            <w:pPr>
              <w:pStyle w:val="TableParagraph"/>
              <w:spacing w:before="4"/>
              <w:rPr>
                <w:b/>
                <w:sz w:val="24"/>
              </w:rPr>
            </w:pPr>
          </w:p>
          <w:p>
            <w:pPr>
              <w:pStyle w:val="TableParagraph"/>
              <w:spacing w:before="1"/>
              <w:ind w:right="47"/>
              <w:jc w:val="right"/>
              <w:rPr>
                <w:sz w:val="24"/>
              </w:rPr>
            </w:pPr>
            <w:r>
              <w:rPr>
                <w:spacing w:val="-5"/>
                <w:sz w:val="24"/>
              </w:rPr>
              <w:t>16</w:t>
            </w:r>
          </w:p>
          <w:p>
            <w:pPr>
              <w:pStyle w:val="TableParagraph"/>
              <w:spacing w:before="7"/>
              <w:rPr>
                <w:b/>
                <w:sz w:val="24"/>
              </w:rPr>
            </w:pPr>
          </w:p>
          <w:p>
            <w:pPr>
              <w:pStyle w:val="TableParagraph"/>
              <w:ind w:right="47"/>
              <w:jc w:val="right"/>
              <w:rPr>
                <w:sz w:val="24"/>
              </w:rPr>
            </w:pPr>
            <w:r>
              <w:rPr>
                <w:spacing w:val="-5"/>
                <w:sz w:val="24"/>
              </w:rPr>
              <w:t>17</w:t>
            </w:r>
          </w:p>
          <w:p>
            <w:pPr>
              <w:pStyle w:val="TableParagraph"/>
              <w:spacing w:before="5"/>
              <w:rPr>
                <w:b/>
                <w:sz w:val="24"/>
              </w:rPr>
            </w:pPr>
          </w:p>
          <w:p>
            <w:pPr>
              <w:pStyle w:val="TableParagraph"/>
              <w:ind w:right="47"/>
              <w:jc w:val="right"/>
              <w:rPr>
                <w:sz w:val="24"/>
              </w:rPr>
            </w:pPr>
            <w:r>
              <w:rPr>
                <w:spacing w:val="-5"/>
                <w:sz w:val="24"/>
              </w:rPr>
              <w:t>17</w:t>
            </w:r>
          </w:p>
          <w:p>
            <w:pPr>
              <w:pStyle w:val="TableParagraph"/>
              <w:spacing w:before="4"/>
              <w:rPr>
                <w:b/>
                <w:sz w:val="24"/>
              </w:rPr>
            </w:pPr>
          </w:p>
          <w:p>
            <w:pPr>
              <w:pStyle w:val="TableParagraph"/>
              <w:spacing w:line="256" w:lineRule="exact" w:before="1"/>
              <w:ind w:left="587"/>
              <w:rPr>
                <w:sz w:val="24"/>
              </w:rPr>
            </w:pPr>
            <w:r>
              <w:rPr>
                <w:spacing w:val="-5"/>
                <w:sz w:val="24"/>
              </w:rPr>
              <w:t>18</w:t>
            </w:r>
          </w:p>
        </w:tc>
      </w:tr>
    </w:tbl>
    <w:p>
      <w:pPr>
        <w:pStyle w:val="TableParagraph"/>
        <w:spacing w:after="0" w:line="256" w:lineRule="exact"/>
        <w:rPr>
          <w:sz w:val="24"/>
        </w:rPr>
        <w:sectPr>
          <w:pgSz w:w="12240" w:h="15840"/>
          <w:pgMar w:header="710" w:footer="0" w:top="1340" w:bottom="280" w:left="1800" w:right="360"/>
        </w:sectPr>
      </w:pPr>
    </w:p>
    <w:p>
      <w:pPr>
        <w:spacing w:before="84"/>
        <w:ind w:left="3157" w:right="0" w:firstLine="0"/>
        <w:jc w:val="left"/>
        <w:rPr>
          <w:b/>
          <w:sz w:val="24"/>
        </w:rPr>
      </w:pPr>
      <w:r>
        <w:rPr>
          <w:b/>
          <w:sz w:val="24"/>
        </w:rPr>
        <w:t>LIST OF</w:t>
      </w:r>
      <w:r>
        <w:rPr>
          <w:b/>
          <w:spacing w:val="-3"/>
          <w:sz w:val="24"/>
        </w:rPr>
        <w:t> </w:t>
      </w:r>
      <w:r>
        <w:rPr>
          <w:b/>
          <w:spacing w:val="-2"/>
          <w:sz w:val="24"/>
        </w:rPr>
        <w:t>ABBREVIATIONS</w:t>
      </w:r>
    </w:p>
    <w:p>
      <w:pPr>
        <w:pStyle w:val="BodyText"/>
        <w:rPr>
          <w:b/>
          <w:sz w:val="20"/>
        </w:rPr>
      </w:pPr>
    </w:p>
    <w:p>
      <w:pPr>
        <w:pStyle w:val="BodyText"/>
        <w:spacing w:before="141"/>
        <w:rPr>
          <w:b/>
          <w:sz w:val="20"/>
        </w:rPr>
      </w:pPr>
    </w:p>
    <w:tbl>
      <w:tblPr>
        <w:tblW w:w="0" w:type="auto"/>
        <w:jc w:val="left"/>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41"/>
        <w:gridCol w:w="4337"/>
      </w:tblGrid>
      <w:tr>
        <w:trPr>
          <w:trHeight w:val="408" w:hRule="atLeast"/>
        </w:trPr>
        <w:tc>
          <w:tcPr>
            <w:tcW w:w="1641" w:type="dxa"/>
          </w:tcPr>
          <w:p>
            <w:pPr>
              <w:pStyle w:val="TableParagraph"/>
              <w:spacing w:line="266" w:lineRule="exact"/>
              <w:ind w:left="50"/>
              <w:rPr>
                <w:sz w:val="24"/>
              </w:rPr>
            </w:pPr>
            <w:r>
              <w:rPr>
                <w:spacing w:val="-4"/>
                <w:sz w:val="24"/>
              </w:rPr>
              <w:t>MMCM</w:t>
            </w:r>
          </w:p>
        </w:tc>
        <w:tc>
          <w:tcPr>
            <w:tcW w:w="4337" w:type="dxa"/>
          </w:tcPr>
          <w:p>
            <w:pPr>
              <w:pStyle w:val="TableParagraph"/>
              <w:spacing w:line="266" w:lineRule="exact"/>
              <w:ind w:left="790"/>
              <w:rPr>
                <w:sz w:val="24"/>
              </w:rPr>
            </w:pPr>
            <w:r>
              <w:rPr>
                <w:sz w:val="24"/>
              </w:rPr>
              <w:t>Mapúa</w:t>
            </w:r>
            <w:r>
              <w:rPr>
                <w:spacing w:val="-2"/>
                <w:sz w:val="24"/>
              </w:rPr>
              <w:t> </w:t>
            </w:r>
            <w:r>
              <w:rPr>
                <w:sz w:val="24"/>
              </w:rPr>
              <w:t>Malayan</w:t>
            </w:r>
            <w:r>
              <w:rPr>
                <w:spacing w:val="-1"/>
                <w:sz w:val="24"/>
              </w:rPr>
              <w:t> </w:t>
            </w:r>
            <w:r>
              <w:rPr>
                <w:sz w:val="24"/>
              </w:rPr>
              <w:t>Colleges </w:t>
            </w:r>
            <w:r>
              <w:rPr>
                <w:spacing w:val="-2"/>
                <w:sz w:val="24"/>
              </w:rPr>
              <w:t>Mindanao</w:t>
            </w:r>
          </w:p>
        </w:tc>
      </w:tr>
      <w:tr>
        <w:trPr>
          <w:trHeight w:val="565" w:hRule="atLeast"/>
        </w:trPr>
        <w:tc>
          <w:tcPr>
            <w:tcW w:w="1641" w:type="dxa"/>
          </w:tcPr>
          <w:p>
            <w:pPr>
              <w:pStyle w:val="TableParagraph"/>
              <w:spacing w:before="133"/>
              <w:ind w:left="50"/>
              <w:rPr>
                <w:sz w:val="24"/>
              </w:rPr>
            </w:pPr>
            <w:r>
              <w:rPr>
                <w:spacing w:val="-4"/>
                <w:sz w:val="24"/>
              </w:rPr>
              <w:t>CSFW</w:t>
            </w:r>
          </w:p>
        </w:tc>
        <w:tc>
          <w:tcPr>
            <w:tcW w:w="4337" w:type="dxa"/>
          </w:tcPr>
          <w:p>
            <w:pPr>
              <w:pStyle w:val="TableParagraph"/>
              <w:spacing w:before="133"/>
              <w:ind w:left="790"/>
              <w:rPr>
                <w:sz w:val="24"/>
              </w:rPr>
            </w:pPr>
            <w:r>
              <w:rPr>
                <w:sz w:val="24"/>
              </w:rPr>
              <w:t>Compostable</w:t>
            </w:r>
            <w:r>
              <w:rPr>
                <w:spacing w:val="-4"/>
                <w:sz w:val="24"/>
              </w:rPr>
              <w:t> </w:t>
            </w:r>
            <w:r>
              <w:rPr>
                <w:sz w:val="24"/>
              </w:rPr>
              <w:t>Food</w:t>
            </w:r>
            <w:r>
              <w:rPr>
                <w:spacing w:val="-1"/>
                <w:sz w:val="24"/>
              </w:rPr>
              <w:t> </w:t>
            </w:r>
            <w:r>
              <w:rPr>
                <w:sz w:val="24"/>
              </w:rPr>
              <w:t>Service</w:t>
            </w:r>
            <w:r>
              <w:rPr>
                <w:spacing w:val="-2"/>
                <w:sz w:val="24"/>
              </w:rPr>
              <w:t> </w:t>
            </w:r>
            <w:r>
              <w:rPr>
                <w:spacing w:val="-4"/>
                <w:sz w:val="24"/>
              </w:rPr>
              <w:t>Ware</w:t>
            </w:r>
          </w:p>
        </w:tc>
      </w:tr>
      <w:tr>
        <w:trPr>
          <w:trHeight w:val="577" w:hRule="atLeast"/>
        </w:trPr>
        <w:tc>
          <w:tcPr>
            <w:tcW w:w="1641" w:type="dxa"/>
          </w:tcPr>
          <w:p>
            <w:pPr>
              <w:pStyle w:val="TableParagraph"/>
              <w:spacing w:before="146"/>
              <w:ind w:left="50"/>
              <w:rPr>
                <w:sz w:val="24"/>
              </w:rPr>
            </w:pPr>
            <w:r>
              <w:rPr>
                <w:spacing w:val="-4"/>
                <w:sz w:val="24"/>
              </w:rPr>
              <w:t>NPVs</w:t>
            </w:r>
          </w:p>
        </w:tc>
        <w:tc>
          <w:tcPr>
            <w:tcW w:w="4337" w:type="dxa"/>
          </w:tcPr>
          <w:p>
            <w:pPr>
              <w:pStyle w:val="TableParagraph"/>
              <w:spacing w:before="146"/>
              <w:ind w:left="790"/>
              <w:rPr>
                <w:sz w:val="24"/>
              </w:rPr>
            </w:pPr>
            <w:r>
              <w:rPr>
                <w:sz w:val="24"/>
              </w:rPr>
              <w:t>Net</w:t>
            </w:r>
            <w:r>
              <w:rPr>
                <w:spacing w:val="-2"/>
                <w:sz w:val="24"/>
              </w:rPr>
              <w:t> </w:t>
            </w:r>
            <w:r>
              <w:rPr>
                <w:sz w:val="24"/>
              </w:rPr>
              <w:t>Present</w:t>
            </w:r>
            <w:r>
              <w:rPr>
                <w:spacing w:val="-2"/>
                <w:sz w:val="24"/>
              </w:rPr>
              <w:t> Values</w:t>
            </w:r>
          </w:p>
        </w:tc>
      </w:tr>
      <w:tr>
        <w:trPr>
          <w:trHeight w:val="563" w:hRule="atLeast"/>
        </w:trPr>
        <w:tc>
          <w:tcPr>
            <w:tcW w:w="1641" w:type="dxa"/>
          </w:tcPr>
          <w:p>
            <w:pPr>
              <w:pStyle w:val="TableParagraph"/>
              <w:spacing w:before="145"/>
              <w:ind w:left="50"/>
              <w:rPr>
                <w:sz w:val="24"/>
              </w:rPr>
            </w:pPr>
            <w:r>
              <w:rPr>
                <w:spacing w:val="-5"/>
                <w:sz w:val="24"/>
              </w:rPr>
              <w:t>CBA</w:t>
            </w:r>
          </w:p>
        </w:tc>
        <w:tc>
          <w:tcPr>
            <w:tcW w:w="4337" w:type="dxa"/>
          </w:tcPr>
          <w:p>
            <w:pPr>
              <w:pStyle w:val="TableParagraph"/>
              <w:spacing w:before="145"/>
              <w:ind w:left="790"/>
              <w:rPr>
                <w:sz w:val="24"/>
              </w:rPr>
            </w:pPr>
            <w:r>
              <w:rPr>
                <w:sz w:val="24"/>
              </w:rPr>
              <w:t>Cost-Benefit</w:t>
            </w:r>
            <w:r>
              <w:rPr>
                <w:spacing w:val="-4"/>
                <w:sz w:val="24"/>
              </w:rPr>
              <w:t> </w:t>
            </w:r>
            <w:r>
              <w:rPr>
                <w:sz w:val="24"/>
              </w:rPr>
              <w:t>Analysis</w:t>
            </w:r>
            <w:r>
              <w:rPr>
                <w:spacing w:val="-4"/>
                <w:sz w:val="24"/>
              </w:rPr>
              <w:t> </w:t>
            </w:r>
            <w:r>
              <w:rPr>
                <w:spacing w:val="-2"/>
                <w:sz w:val="24"/>
              </w:rPr>
              <w:t>Theory</w:t>
            </w:r>
          </w:p>
        </w:tc>
      </w:tr>
      <w:tr>
        <w:trPr>
          <w:trHeight w:val="408" w:hRule="atLeast"/>
        </w:trPr>
        <w:tc>
          <w:tcPr>
            <w:tcW w:w="1641" w:type="dxa"/>
          </w:tcPr>
          <w:p>
            <w:pPr>
              <w:pStyle w:val="TableParagraph"/>
              <w:spacing w:line="256" w:lineRule="exact" w:before="133"/>
              <w:ind w:left="50"/>
              <w:rPr>
                <w:sz w:val="24"/>
              </w:rPr>
            </w:pPr>
            <w:r>
              <w:rPr>
                <w:spacing w:val="-5"/>
                <w:sz w:val="24"/>
              </w:rPr>
              <w:t>TPB</w:t>
            </w:r>
          </w:p>
        </w:tc>
        <w:tc>
          <w:tcPr>
            <w:tcW w:w="4337" w:type="dxa"/>
          </w:tcPr>
          <w:p>
            <w:pPr>
              <w:pStyle w:val="TableParagraph"/>
              <w:spacing w:line="256" w:lineRule="exact" w:before="133"/>
              <w:ind w:left="790"/>
              <w:rPr>
                <w:sz w:val="24"/>
              </w:rPr>
            </w:pPr>
            <w:r>
              <w:rPr>
                <w:sz w:val="24"/>
              </w:rPr>
              <w:t>Theory</w:t>
            </w:r>
            <w:r>
              <w:rPr>
                <w:spacing w:val="-6"/>
                <w:sz w:val="24"/>
              </w:rPr>
              <w:t> </w:t>
            </w:r>
            <w:r>
              <w:rPr>
                <w:sz w:val="24"/>
              </w:rPr>
              <w:t>of Planned</w:t>
            </w:r>
            <w:r>
              <w:rPr>
                <w:spacing w:val="2"/>
                <w:sz w:val="24"/>
              </w:rPr>
              <w:t> </w:t>
            </w:r>
            <w:r>
              <w:rPr>
                <w:spacing w:val="-2"/>
                <w:sz w:val="24"/>
              </w:rPr>
              <w:t>Behavior</w:t>
            </w:r>
          </w:p>
        </w:tc>
      </w:tr>
    </w:tbl>
    <w:p>
      <w:pPr>
        <w:pStyle w:val="TableParagraph"/>
        <w:spacing w:after="0" w:line="256" w:lineRule="exact"/>
        <w:rPr>
          <w:sz w:val="24"/>
        </w:rPr>
        <w:sectPr>
          <w:pgSz w:w="12240" w:h="15840"/>
          <w:pgMar w:header="710" w:footer="0" w:top="1340" w:bottom="280" w:left="1800" w:right="360"/>
        </w:sectPr>
      </w:pPr>
    </w:p>
    <w:p>
      <w:pPr>
        <w:pStyle w:val="Heading1"/>
        <w:spacing w:before="84"/>
        <w:ind w:left="0" w:right="754"/>
        <w:jc w:val="center"/>
      </w:pPr>
      <w:r>
        <w:rPr/>
        <w:t>Article</w:t>
      </w:r>
      <w:r>
        <w:rPr>
          <w:spacing w:val="-4"/>
        </w:rPr>
        <w:t> </w:t>
      </w:r>
      <w:r>
        <w:rPr>
          <w:spacing w:val="-10"/>
        </w:rPr>
        <w:t>1</w:t>
      </w:r>
    </w:p>
    <w:p>
      <w:pPr>
        <w:pStyle w:val="BodyText"/>
        <w:rPr>
          <w:b/>
        </w:rPr>
      </w:pPr>
    </w:p>
    <w:p>
      <w:pPr>
        <w:spacing w:line="480" w:lineRule="auto" w:before="0"/>
        <w:ind w:left="326" w:right="1002" w:firstLine="0"/>
        <w:jc w:val="left"/>
        <w:rPr>
          <w:b/>
          <w:sz w:val="24"/>
        </w:rPr>
      </w:pPr>
      <w:r>
        <w:rPr>
          <w:b/>
          <w:sz w:val="24"/>
        </w:rPr>
        <w:t>Cost-Benefit</w:t>
      </w:r>
      <w:r>
        <w:rPr>
          <w:b/>
          <w:spacing w:val="-4"/>
          <w:sz w:val="24"/>
        </w:rPr>
        <w:t> </w:t>
      </w:r>
      <w:r>
        <w:rPr>
          <w:b/>
          <w:sz w:val="24"/>
        </w:rPr>
        <w:t>Analysis</w:t>
      </w:r>
      <w:r>
        <w:rPr>
          <w:b/>
          <w:spacing w:val="-4"/>
          <w:sz w:val="24"/>
        </w:rPr>
        <w:t> </w:t>
      </w:r>
      <w:r>
        <w:rPr>
          <w:b/>
          <w:sz w:val="24"/>
        </w:rPr>
        <w:t>of</w:t>
      </w:r>
      <w:r>
        <w:rPr>
          <w:b/>
          <w:spacing w:val="-1"/>
          <w:sz w:val="24"/>
        </w:rPr>
        <w:t> </w:t>
      </w:r>
      <w:r>
        <w:rPr>
          <w:b/>
          <w:sz w:val="24"/>
        </w:rPr>
        <w:t>Shifting</w:t>
      </w:r>
      <w:r>
        <w:rPr>
          <w:b/>
          <w:spacing w:val="-4"/>
          <w:sz w:val="24"/>
        </w:rPr>
        <w:t> </w:t>
      </w:r>
      <w:r>
        <w:rPr>
          <w:b/>
          <w:sz w:val="24"/>
        </w:rPr>
        <w:t>from</w:t>
      </w:r>
      <w:r>
        <w:rPr>
          <w:b/>
          <w:spacing w:val="-8"/>
          <w:sz w:val="24"/>
        </w:rPr>
        <w:t> </w:t>
      </w:r>
      <w:r>
        <w:rPr>
          <w:b/>
          <w:sz w:val="24"/>
        </w:rPr>
        <w:t>Plastic</w:t>
      </w:r>
      <w:r>
        <w:rPr>
          <w:b/>
          <w:spacing w:val="-5"/>
          <w:sz w:val="24"/>
        </w:rPr>
        <w:t> </w:t>
      </w:r>
      <w:r>
        <w:rPr>
          <w:b/>
          <w:sz w:val="24"/>
        </w:rPr>
        <w:t>to</w:t>
      </w:r>
      <w:r>
        <w:rPr>
          <w:b/>
          <w:spacing w:val="-4"/>
          <w:sz w:val="24"/>
        </w:rPr>
        <w:t> </w:t>
      </w:r>
      <w:r>
        <w:rPr>
          <w:b/>
          <w:sz w:val="24"/>
        </w:rPr>
        <w:t>Compostable</w:t>
      </w:r>
      <w:r>
        <w:rPr>
          <w:b/>
          <w:spacing w:val="-5"/>
          <w:sz w:val="24"/>
        </w:rPr>
        <w:t> </w:t>
      </w:r>
      <w:r>
        <w:rPr>
          <w:b/>
          <w:sz w:val="24"/>
        </w:rPr>
        <w:t>Packaging</w:t>
      </w:r>
      <w:r>
        <w:rPr>
          <w:b/>
          <w:spacing w:val="-4"/>
          <w:sz w:val="24"/>
        </w:rPr>
        <w:t> </w:t>
      </w:r>
      <w:r>
        <w:rPr>
          <w:b/>
          <w:sz w:val="24"/>
        </w:rPr>
        <w:t>in</w:t>
      </w:r>
      <w:r>
        <w:rPr>
          <w:b/>
          <w:spacing w:val="-3"/>
          <w:sz w:val="24"/>
        </w:rPr>
        <w:t> </w:t>
      </w:r>
      <w:r>
        <w:rPr>
          <w:b/>
          <w:sz w:val="24"/>
        </w:rPr>
        <w:t>the Mapua MCM Canteen.</w:t>
      </w:r>
    </w:p>
    <w:p>
      <w:pPr>
        <w:pStyle w:val="BodyText"/>
        <w:spacing w:line="271" w:lineRule="exact"/>
        <w:ind w:left="326"/>
      </w:pPr>
      <w:r>
        <w:rPr/>
        <w:t>Farouq</w:t>
      </w:r>
      <w:r>
        <w:rPr>
          <w:spacing w:val="-1"/>
        </w:rPr>
        <w:t> </w:t>
      </w:r>
      <w:r>
        <w:rPr/>
        <w:t>Hesham</w:t>
      </w:r>
      <w:r>
        <w:rPr>
          <w:spacing w:val="-1"/>
        </w:rPr>
        <w:t> </w:t>
      </w:r>
      <w:r>
        <w:rPr/>
        <w:t>M.</w:t>
      </w:r>
      <w:r>
        <w:rPr>
          <w:spacing w:val="-1"/>
        </w:rPr>
        <w:t> </w:t>
      </w:r>
      <w:r>
        <w:rPr/>
        <w:t>Abdulgani,</w:t>
      </w:r>
      <w:r>
        <w:rPr>
          <w:spacing w:val="1"/>
        </w:rPr>
        <w:t> </w:t>
      </w:r>
      <w:r>
        <w:rPr/>
        <w:t>Bien</w:t>
      </w:r>
      <w:r>
        <w:rPr>
          <w:spacing w:val="-1"/>
        </w:rPr>
        <w:t> </w:t>
      </w:r>
      <w:r>
        <w:rPr/>
        <w:t>Antonio</w:t>
      </w:r>
      <w:r>
        <w:rPr>
          <w:spacing w:val="-1"/>
        </w:rPr>
        <w:t> </w:t>
      </w:r>
      <w:r>
        <w:rPr/>
        <w:t>C.</w:t>
      </w:r>
      <w:r>
        <w:rPr>
          <w:spacing w:val="-1"/>
        </w:rPr>
        <w:t> </w:t>
      </w:r>
      <w:r>
        <w:rPr/>
        <w:t>Asegurado,</w:t>
      </w:r>
      <w:r>
        <w:rPr>
          <w:spacing w:val="-1"/>
        </w:rPr>
        <w:t> </w:t>
      </w:r>
      <w:r>
        <w:rPr/>
        <w:t>Jozef</w:t>
      </w:r>
      <w:r>
        <w:rPr>
          <w:spacing w:val="-1"/>
        </w:rPr>
        <w:t> </w:t>
      </w:r>
      <w:r>
        <w:rPr/>
        <w:t>James</w:t>
      </w:r>
      <w:r>
        <w:rPr>
          <w:spacing w:val="-1"/>
        </w:rPr>
        <w:t> </w:t>
      </w:r>
      <w:r>
        <w:rPr/>
        <w:t>G.</w:t>
      </w:r>
      <w:r>
        <w:rPr>
          <w:spacing w:val="-1"/>
        </w:rPr>
        <w:t> </w:t>
      </w:r>
      <w:r>
        <w:rPr>
          <w:spacing w:val="-2"/>
        </w:rPr>
        <w:t>Elises,</w:t>
      </w:r>
    </w:p>
    <w:p>
      <w:pPr>
        <w:pStyle w:val="BodyText"/>
      </w:pPr>
    </w:p>
    <w:p>
      <w:pPr>
        <w:pStyle w:val="BodyText"/>
        <w:ind w:left="326"/>
      </w:pPr>
      <w:r>
        <w:rPr/>
        <w:t>Patrick</w:t>
      </w:r>
      <w:r>
        <w:rPr>
          <w:spacing w:val="-3"/>
        </w:rPr>
        <w:t> </w:t>
      </w:r>
      <w:r>
        <w:rPr/>
        <w:t>Renz</w:t>
      </w:r>
      <w:r>
        <w:rPr>
          <w:spacing w:val="-1"/>
        </w:rPr>
        <w:t> </w:t>
      </w:r>
      <w:r>
        <w:rPr/>
        <w:t>L.</w:t>
      </w:r>
      <w:r>
        <w:rPr>
          <w:spacing w:val="-2"/>
        </w:rPr>
        <w:t> Suaybaguio*</w:t>
      </w:r>
    </w:p>
    <w:p>
      <w:pPr>
        <w:pStyle w:val="BodyText"/>
      </w:pPr>
    </w:p>
    <w:p>
      <w:pPr>
        <w:spacing w:line="480" w:lineRule="auto" w:before="0"/>
        <w:ind w:left="326" w:right="1002" w:firstLine="0"/>
        <w:jc w:val="left"/>
        <w:rPr>
          <w:sz w:val="24"/>
        </w:rPr>
      </w:pPr>
      <w:r>
        <w:rPr>
          <w:sz w:val="23"/>
          <w:vertAlign w:val="superscript"/>
        </w:rPr>
        <w:t>a</w:t>
      </w:r>
      <w:r>
        <w:rPr>
          <w:spacing w:val="-3"/>
          <w:sz w:val="23"/>
          <w:vertAlign w:val="baseline"/>
        </w:rPr>
        <w:t> </w:t>
      </w:r>
      <w:r>
        <w:rPr>
          <w:sz w:val="23"/>
          <w:vertAlign w:val="baseline"/>
        </w:rPr>
        <w:t>Alfonso</w:t>
      </w:r>
      <w:r>
        <w:rPr>
          <w:spacing w:val="-3"/>
          <w:sz w:val="23"/>
          <w:vertAlign w:val="baseline"/>
        </w:rPr>
        <w:t> </w:t>
      </w:r>
      <w:r>
        <w:rPr>
          <w:sz w:val="23"/>
          <w:vertAlign w:val="baseline"/>
        </w:rPr>
        <w:t>T.</w:t>
      </w:r>
      <w:r>
        <w:rPr>
          <w:spacing w:val="-3"/>
          <w:sz w:val="23"/>
          <w:vertAlign w:val="baseline"/>
        </w:rPr>
        <w:t> </w:t>
      </w:r>
      <w:r>
        <w:rPr>
          <w:sz w:val="23"/>
          <w:vertAlign w:val="baseline"/>
        </w:rPr>
        <w:t>Yuchengco</w:t>
      </w:r>
      <w:r>
        <w:rPr>
          <w:spacing w:val="-3"/>
          <w:sz w:val="23"/>
          <w:vertAlign w:val="baseline"/>
        </w:rPr>
        <w:t> </w:t>
      </w:r>
      <w:r>
        <w:rPr>
          <w:sz w:val="23"/>
          <w:vertAlign w:val="baseline"/>
        </w:rPr>
        <w:t>College</w:t>
      </w:r>
      <w:r>
        <w:rPr>
          <w:spacing w:val="-3"/>
          <w:sz w:val="23"/>
          <w:vertAlign w:val="baseline"/>
        </w:rPr>
        <w:t> </w:t>
      </w:r>
      <w:r>
        <w:rPr>
          <w:sz w:val="23"/>
          <w:vertAlign w:val="baseline"/>
        </w:rPr>
        <w:t>of</w:t>
      </w:r>
      <w:r>
        <w:rPr>
          <w:spacing w:val="-6"/>
          <w:sz w:val="23"/>
          <w:vertAlign w:val="baseline"/>
        </w:rPr>
        <w:t> </w:t>
      </w:r>
      <w:r>
        <w:rPr>
          <w:sz w:val="23"/>
          <w:vertAlign w:val="baseline"/>
        </w:rPr>
        <w:t>Business</w:t>
      </w:r>
      <w:r>
        <w:rPr>
          <w:sz w:val="24"/>
          <w:vertAlign w:val="baseline"/>
        </w:rPr>
        <w:t>,</w:t>
      </w:r>
      <w:r>
        <w:rPr>
          <w:spacing w:val="-3"/>
          <w:sz w:val="24"/>
          <w:vertAlign w:val="baseline"/>
        </w:rPr>
        <w:t> </w:t>
      </w:r>
      <w:r>
        <w:rPr>
          <w:sz w:val="24"/>
          <w:vertAlign w:val="baseline"/>
        </w:rPr>
        <w:t>Mapúa</w:t>
      </w:r>
      <w:r>
        <w:rPr>
          <w:spacing w:val="-4"/>
          <w:sz w:val="24"/>
          <w:vertAlign w:val="baseline"/>
        </w:rPr>
        <w:t> </w:t>
      </w:r>
      <w:r>
        <w:rPr>
          <w:sz w:val="24"/>
          <w:vertAlign w:val="baseline"/>
        </w:rPr>
        <w:t>Malayan</w:t>
      </w:r>
      <w:r>
        <w:rPr>
          <w:spacing w:val="-3"/>
          <w:sz w:val="24"/>
          <w:vertAlign w:val="baseline"/>
        </w:rPr>
        <w:t> </w:t>
      </w:r>
      <w:r>
        <w:rPr>
          <w:sz w:val="24"/>
          <w:vertAlign w:val="baseline"/>
        </w:rPr>
        <w:t>Colleges</w:t>
      </w:r>
      <w:r>
        <w:rPr>
          <w:spacing w:val="-3"/>
          <w:sz w:val="24"/>
          <w:vertAlign w:val="baseline"/>
        </w:rPr>
        <w:t> </w:t>
      </w:r>
      <w:r>
        <w:rPr>
          <w:sz w:val="24"/>
          <w:vertAlign w:val="baseline"/>
        </w:rPr>
        <w:t>Mindanao,</w:t>
      </w:r>
      <w:r>
        <w:rPr>
          <w:spacing w:val="-3"/>
          <w:sz w:val="24"/>
          <w:vertAlign w:val="baseline"/>
        </w:rPr>
        <w:t> </w:t>
      </w:r>
      <w:r>
        <w:rPr>
          <w:sz w:val="24"/>
          <w:vertAlign w:val="baseline"/>
        </w:rPr>
        <w:t>Davao City, Philippines 8000</w:t>
      </w:r>
    </w:p>
    <w:p>
      <w:pPr>
        <w:pStyle w:val="BodyText"/>
      </w:pPr>
    </w:p>
    <w:p>
      <w:pPr>
        <w:pStyle w:val="BodyText"/>
        <w:spacing w:before="1"/>
      </w:pPr>
    </w:p>
    <w:p>
      <w:pPr>
        <w:pStyle w:val="BodyText"/>
        <w:spacing w:line="480" w:lineRule="auto"/>
        <w:ind w:left="326" w:right="1002"/>
      </w:pPr>
      <w:r>
        <w:rPr/>
        <w:t>Emails:</w:t>
      </w:r>
      <w:r>
        <w:rPr>
          <w:spacing w:val="-15"/>
        </w:rPr>
        <w:t> </w:t>
      </w:r>
      <w:hyperlink r:id="rId8">
        <w:r>
          <w:rPr/>
          <w:t>fhAbdulgani@mcm.edu.ph,</w:t>
        </w:r>
      </w:hyperlink>
      <w:r>
        <w:rPr>
          <w:spacing w:val="-15"/>
        </w:rPr>
        <w:t> </w:t>
      </w:r>
      <w:hyperlink r:id="rId9">
        <w:r>
          <w:rPr/>
          <w:t>baAsegurado@mcm.edu.ph,</w:t>
        </w:r>
      </w:hyperlink>
      <w:r>
        <w:rPr/>
        <w:t> </w:t>
      </w:r>
      <w:hyperlink r:id="rId10">
        <w:r>
          <w:rPr/>
          <w:t>prSuaybaguio@mcm.edu.ph,</w:t>
        </w:r>
      </w:hyperlink>
      <w:r>
        <w:rPr/>
        <w:t> </w:t>
      </w:r>
      <w:hyperlink r:id="rId11">
        <w:r>
          <w:rPr/>
          <w:t>jjElises@mcm.edu.ph</w:t>
        </w:r>
      </w:hyperlink>
    </w:p>
    <w:p>
      <w:pPr>
        <w:pStyle w:val="BodyText"/>
      </w:pPr>
    </w:p>
    <w:p>
      <w:pPr>
        <w:pStyle w:val="BodyText"/>
      </w:pPr>
    </w:p>
    <w:p>
      <w:pPr>
        <w:pStyle w:val="BodyText"/>
      </w:pPr>
    </w:p>
    <w:p>
      <w:pPr>
        <w:spacing w:line="480" w:lineRule="auto" w:before="0"/>
        <w:ind w:left="326" w:right="5775" w:firstLine="0"/>
        <w:jc w:val="left"/>
        <w:rPr>
          <w:sz w:val="24"/>
        </w:rPr>
      </w:pPr>
      <w:r>
        <w:rPr>
          <w:sz w:val="23"/>
        </w:rPr>
        <w:t>Alfonso</w:t>
      </w:r>
      <w:r>
        <w:rPr>
          <w:spacing w:val="-8"/>
          <w:sz w:val="23"/>
        </w:rPr>
        <w:t> </w:t>
      </w:r>
      <w:r>
        <w:rPr>
          <w:sz w:val="23"/>
        </w:rPr>
        <w:t>T.</w:t>
      </w:r>
      <w:r>
        <w:rPr>
          <w:spacing w:val="-8"/>
          <w:sz w:val="23"/>
        </w:rPr>
        <w:t> </w:t>
      </w:r>
      <w:r>
        <w:rPr>
          <w:sz w:val="23"/>
        </w:rPr>
        <w:t>Yuchengco</w:t>
      </w:r>
      <w:r>
        <w:rPr>
          <w:spacing w:val="-8"/>
          <w:sz w:val="23"/>
        </w:rPr>
        <w:t> </w:t>
      </w:r>
      <w:r>
        <w:rPr>
          <w:sz w:val="23"/>
        </w:rPr>
        <w:t>College</w:t>
      </w:r>
      <w:r>
        <w:rPr>
          <w:spacing w:val="-8"/>
          <w:sz w:val="23"/>
        </w:rPr>
        <w:t> </w:t>
      </w:r>
      <w:r>
        <w:rPr>
          <w:sz w:val="23"/>
        </w:rPr>
        <w:t>of</w:t>
      </w:r>
      <w:r>
        <w:rPr>
          <w:spacing w:val="-10"/>
          <w:sz w:val="23"/>
        </w:rPr>
        <w:t> </w:t>
      </w:r>
      <w:r>
        <w:rPr>
          <w:sz w:val="23"/>
        </w:rPr>
        <w:t>Business </w:t>
      </w:r>
      <w:r>
        <w:rPr>
          <w:sz w:val="24"/>
        </w:rPr>
        <w:t>Mapúa Malayan Colleges Mindanao</w:t>
      </w:r>
      <w:r>
        <w:rPr>
          <w:spacing w:val="40"/>
          <w:sz w:val="24"/>
        </w:rPr>
        <w:t> </w:t>
      </w:r>
      <w:r>
        <w:rPr>
          <w:sz w:val="24"/>
        </w:rPr>
        <w:t>Gen. Douglas MacArthur Hwy, Talomo Davao City, Philippines</w:t>
      </w:r>
    </w:p>
    <w:p>
      <w:pPr>
        <w:pStyle w:val="BodyText"/>
        <w:ind w:left="326"/>
      </w:pPr>
      <w:r>
        <w:rPr/>
        <w:t>Email: </w:t>
      </w:r>
      <w:hyperlink r:id="rId12">
        <w:r>
          <w:rPr>
            <w:spacing w:val="-2"/>
          </w:rPr>
          <w:t>prsuaybaguio@mcm.edu.ph</w:t>
        </w:r>
      </w:hyperlink>
    </w:p>
    <w:p>
      <w:pPr>
        <w:pStyle w:val="BodyText"/>
        <w:spacing w:after="0"/>
        <w:sectPr>
          <w:headerReference w:type="default" r:id="rId7"/>
          <w:pgSz w:w="12240" w:h="15840"/>
          <w:pgMar w:header="763" w:footer="0" w:top="1340" w:bottom="280" w:left="1800" w:right="360"/>
          <w:pgNumType w:start="1"/>
        </w:sectPr>
      </w:pPr>
    </w:p>
    <w:p>
      <w:pPr>
        <w:pStyle w:val="BodyText"/>
        <w:spacing w:before="7"/>
      </w:pPr>
    </w:p>
    <w:p>
      <w:pPr>
        <w:pStyle w:val="Heading1"/>
        <w:spacing w:before="1"/>
        <w:ind w:left="326"/>
        <w:jc w:val="left"/>
      </w:pPr>
      <w:bookmarkStart w:name="Abstract" w:id="1"/>
      <w:bookmarkEnd w:id="1"/>
      <w:r>
        <w:rPr>
          <w:b w:val="0"/>
        </w:rPr>
      </w:r>
      <w:r>
        <w:rPr>
          <w:spacing w:val="-2"/>
        </w:rPr>
        <w:t>Abstract</w:t>
      </w:r>
    </w:p>
    <w:p>
      <w:pPr>
        <w:pStyle w:val="BodyText"/>
        <w:spacing w:before="115"/>
        <w:rPr>
          <w:b/>
        </w:rPr>
      </w:pPr>
    </w:p>
    <w:p>
      <w:pPr>
        <w:pStyle w:val="BodyText"/>
        <w:spacing w:line="480" w:lineRule="auto"/>
        <w:ind w:left="326" w:right="1074"/>
        <w:jc w:val="both"/>
      </w:pPr>
      <w:r>
        <w:rPr/>
        <w:t>This study examined the feasibility of transitioning from plastic to compostable food packaging</w:t>
      </w:r>
      <w:r>
        <w:rPr>
          <w:spacing w:val="-4"/>
        </w:rPr>
        <w:t> </w:t>
      </w:r>
      <w:r>
        <w:rPr/>
        <w:t>in</w:t>
      </w:r>
      <w:r>
        <w:rPr>
          <w:spacing w:val="-1"/>
        </w:rPr>
        <w:t> </w:t>
      </w:r>
      <w:r>
        <w:rPr/>
        <w:t>the</w:t>
      </w:r>
      <w:r>
        <w:rPr>
          <w:spacing w:val="-2"/>
        </w:rPr>
        <w:t> </w:t>
      </w:r>
      <w:r>
        <w:rPr/>
        <w:t>Mapúa Malayan</w:t>
      </w:r>
      <w:r>
        <w:rPr>
          <w:spacing w:val="-1"/>
        </w:rPr>
        <w:t> </w:t>
      </w:r>
      <w:r>
        <w:rPr/>
        <w:t>Colleges</w:t>
      </w:r>
      <w:r>
        <w:rPr>
          <w:spacing w:val="-1"/>
        </w:rPr>
        <w:t> </w:t>
      </w:r>
      <w:r>
        <w:rPr/>
        <w:t>Mindanao</w:t>
      </w:r>
      <w:r>
        <w:rPr>
          <w:spacing w:val="-1"/>
        </w:rPr>
        <w:t> </w:t>
      </w:r>
      <w:r>
        <w:rPr/>
        <w:t>(MMCM)</w:t>
      </w:r>
      <w:r>
        <w:rPr>
          <w:spacing w:val="-2"/>
        </w:rPr>
        <w:t> </w:t>
      </w:r>
      <w:r>
        <w:rPr/>
        <w:t>canteen, focusing</w:t>
      </w:r>
      <w:r>
        <w:rPr>
          <w:spacing w:val="-3"/>
        </w:rPr>
        <w:t> </w:t>
      </w:r>
      <w:r>
        <w:rPr/>
        <w:t>on</w:t>
      </w:r>
      <w:r>
        <w:rPr>
          <w:spacing w:val="-1"/>
        </w:rPr>
        <w:t> </w:t>
      </w:r>
      <w:r>
        <w:rPr/>
        <w:t>cost implications, operational and environmental benefits, and the overall cost-benefit relationship. Using a quantitative descriptive-survey design, data were gathered from 15 canteen staff members directly involved in food preparation, packaging, and waste management. Results showed that while procurement, storage, and waste management presented</w:t>
      </w:r>
      <w:r>
        <w:rPr>
          <w:spacing w:val="-3"/>
        </w:rPr>
        <w:t> </w:t>
      </w:r>
      <w:r>
        <w:rPr/>
        <w:t>high-cost</w:t>
      </w:r>
      <w:r>
        <w:rPr>
          <w:spacing w:val="-3"/>
        </w:rPr>
        <w:t> </w:t>
      </w:r>
      <w:r>
        <w:rPr/>
        <w:t>implications</w:t>
      </w:r>
      <w:r>
        <w:rPr>
          <w:spacing w:val="-3"/>
        </w:rPr>
        <w:t> </w:t>
      </w:r>
      <w:r>
        <w:rPr/>
        <w:t>(overall</w:t>
      </w:r>
      <w:r>
        <w:rPr>
          <w:spacing w:val="-3"/>
        </w:rPr>
        <w:t> </w:t>
      </w:r>
      <w:r>
        <w:rPr/>
        <w:t>mean</w:t>
      </w:r>
      <w:r>
        <w:rPr>
          <w:spacing w:val="-2"/>
        </w:rPr>
        <w:t> </w:t>
      </w:r>
      <w:r>
        <w:rPr/>
        <w:t>=</w:t>
      </w:r>
      <w:r>
        <w:rPr>
          <w:spacing w:val="-4"/>
        </w:rPr>
        <w:t> </w:t>
      </w:r>
      <w:r>
        <w:rPr/>
        <w:t>3.06),</w:t>
      </w:r>
      <w:r>
        <w:rPr>
          <w:spacing w:val="-4"/>
        </w:rPr>
        <w:t> </w:t>
      </w:r>
      <w:r>
        <w:rPr/>
        <w:t>the</w:t>
      </w:r>
      <w:r>
        <w:rPr>
          <w:spacing w:val="-3"/>
        </w:rPr>
        <w:t> </w:t>
      </w:r>
      <w:r>
        <w:rPr/>
        <w:t>operational</w:t>
      </w:r>
      <w:r>
        <w:rPr>
          <w:spacing w:val="-2"/>
        </w:rPr>
        <w:t> </w:t>
      </w:r>
      <w:r>
        <w:rPr/>
        <w:t>and</w:t>
      </w:r>
      <w:r>
        <w:rPr>
          <w:spacing w:val="-2"/>
        </w:rPr>
        <w:t> </w:t>
      </w:r>
      <w:r>
        <w:rPr/>
        <w:t>environmental benefits were also rated high (overall mean = 2.98). Respondents recognized that compostable packaging improved practicality, encouraged proper waste segregation, and enhanced the canteen’s eco-friendly</w:t>
      </w:r>
      <w:r>
        <w:rPr>
          <w:spacing w:val="-4"/>
        </w:rPr>
        <w:t> </w:t>
      </w:r>
      <w:r>
        <w:rPr/>
        <w:t>image. The cost-benefit analysis further revealed that the perceived advantages—such as sustainability, long-term savings, and institutional reputation—outweigh the financial challenges (overall mean = 3.07). These findings indicate that shifting to compostable packaging is both feasible and beneficial, though initial expenses and supply accessibility remain significant concerns. The study underscores the importance of balancing environmental goals with financial and operational realities, suggesting</w:t>
      </w:r>
      <w:r>
        <w:rPr>
          <w:spacing w:val="-3"/>
        </w:rPr>
        <w:t> </w:t>
      </w:r>
      <w:r>
        <w:rPr/>
        <w:t>that strategic planning and institutional support are</w:t>
      </w:r>
      <w:r>
        <w:rPr>
          <w:spacing w:val="-1"/>
        </w:rPr>
        <w:t> </w:t>
      </w:r>
      <w:r>
        <w:rPr/>
        <w:t>key</w:t>
      </w:r>
      <w:r>
        <w:rPr>
          <w:spacing w:val="-5"/>
        </w:rPr>
        <w:t> </w:t>
      </w:r>
      <w:r>
        <w:rPr/>
        <w:t>to ensuring a successful transition toward sustainable packaging.</w:t>
      </w:r>
    </w:p>
    <w:p>
      <w:pPr>
        <w:pStyle w:val="BodyText"/>
        <w:spacing w:line="480" w:lineRule="auto" w:before="163"/>
        <w:ind w:left="326" w:right="1081"/>
        <w:jc w:val="both"/>
      </w:pPr>
      <w:r>
        <w:rPr>
          <w:b/>
        </w:rPr>
        <w:t>Keywords: </w:t>
      </w:r>
      <w:r>
        <w:rPr/>
        <w:t>Compostable packaging, sustainability, cost-benefit analysis, environmental management, canteen operations</w:t>
      </w:r>
    </w:p>
    <w:p>
      <w:pPr>
        <w:pStyle w:val="BodyText"/>
        <w:spacing w:after="0" w:line="480" w:lineRule="auto"/>
        <w:jc w:val="both"/>
        <w:sectPr>
          <w:pgSz w:w="12240" w:h="15840"/>
          <w:pgMar w:header="763" w:footer="0" w:top="1340" w:bottom="280" w:left="1800" w:right="360"/>
        </w:sectPr>
      </w:pPr>
    </w:p>
    <w:p>
      <w:pPr>
        <w:pStyle w:val="Heading1"/>
        <w:numPr>
          <w:ilvl w:val="0"/>
          <w:numId w:val="1"/>
        </w:numPr>
        <w:tabs>
          <w:tab w:pos="566" w:val="left" w:leader="none"/>
        </w:tabs>
        <w:spacing w:line="240" w:lineRule="auto" w:before="84" w:after="0"/>
        <w:ind w:left="566" w:right="0" w:hanging="240"/>
        <w:jc w:val="both"/>
      </w:pPr>
      <w:r>
        <w:rPr>
          <w:spacing w:val="-2"/>
        </w:rPr>
        <w:t>Introduction</w:t>
      </w:r>
    </w:p>
    <w:p>
      <w:pPr>
        <w:pStyle w:val="BodyText"/>
        <w:spacing w:line="480" w:lineRule="auto" w:before="272"/>
        <w:ind w:left="326" w:right="1076" w:firstLine="720"/>
        <w:jc w:val="both"/>
      </w:pPr>
      <w:r>
        <w:rPr/>
        <w:t>The growing environmental concern over plastic pollution has placed significant pressure on institutions to explore more sustainable packaging alternatives. In particular, university canteens face increasing demand to reduce their reliance on single-use plastics, which contribute heavily to waste generation and greenhouse gas emissions (Solsona, 2024). Within the context of Mapúa Malayan Colleges Mindanao, the potential transition from conventional plastic food packaging to compostable food packaging raises critical questions about cost efficiency and long-term sustainability. Shifting to compostable packaging is not a straightforward solution, as it involves balancing financial considerations, infrastructure readiness, and consumer acceptance. While studies have suggested that compostable options can generate long-term cost savings through reduced waste disposal (Kaur &amp; Acid, 2020), institutions may still hesitate due to higher material costs. In the case of the Mapúa MCM canteen, such factors make it necessary to examine whether the long-term benefits can outweigh the immediate financial and operational constraints. Equally important are consumer perceptions and behaviors regarding compostable packaging. Research indicates that while sustainable materials such as biodegradable alternatives promote environmental responsibility (Giordano &amp; Mariani, 2024; Daramola et al., 2025), the actual success of such initiatives depends on student awareness</w:t>
      </w:r>
      <w:r>
        <w:rPr>
          <w:spacing w:val="-4"/>
        </w:rPr>
        <w:t> </w:t>
      </w:r>
      <w:r>
        <w:rPr/>
        <w:t>and</w:t>
      </w:r>
      <w:r>
        <w:rPr>
          <w:spacing w:val="-4"/>
        </w:rPr>
        <w:t> </w:t>
      </w:r>
      <w:r>
        <w:rPr/>
        <w:t>participation.</w:t>
      </w:r>
      <w:r>
        <w:rPr>
          <w:spacing w:val="-4"/>
        </w:rPr>
        <w:t> </w:t>
      </w:r>
      <w:r>
        <w:rPr/>
        <w:t>This</w:t>
      </w:r>
      <w:r>
        <w:rPr>
          <w:spacing w:val="-4"/>
        </w:rPr>
        <w:t> </w:t>
      </w:r>
      <w:r>
        <w:rPr/>
        <w:t>presents</w:t>
      </w:r>
      <w:r>
        <w:rPr>
          <w:spacing w:val="-4"/>
        </w:rPr>
        <w:t> </w:t>
      </w:r>
      <w:r>
        <w:rPr/>
        <w:t>a</w:t>
      </w:r>
      <w:r>
        <w:rPr>
          <w:spacing w:val="-4"/>
        </w:rPr>
        <w:t> </w:t>
      </w:r>
      <w:r>
        <w:rPr/>
        <w:t>challenge</w:t>
      </w:r>
      <w:r>
        <w:rPr>
          <w:spacing w:val="-5"/>
        </w:rPr>
        <w:t> </w:t>
      </w:r>
      <w:r>
        <w:rPr/>
        <w:t>in</w:t>
      </w:r>
      <w:r>
        <w:rPr>
          <w:spacing w:val="-4"/>
        </w:rPr>
        <w:t> </w:t>
      </w:r>
      <w:r>
        <w:rPr/>
        <w:t>aligning</w:t>
      </w:r>
      <w:r>
        <w:rPr>
          <w:spacing w:val="-7"/>
        </w:rPr>
        <w:t> </w:t>
      </w:r>
      <w:r>
        <w:rPr/>
        <w:t>institutional</w:t>
      </w:r>
      <w:r>
        <w:rPr>
          <w:spacing w:val="-4"/>
        </w:rPr>
        <w:t> </w:t>
      </w:r>
      <w:r>
        <w:rPr/>
        <w:t>efforts</w:t>
      </w:r>
      <w:r>
        <w:rPr>
          <w:spacing w:val="-4"/>
        </w:rPr>
        <w:t> </w:t>
      </w:r>
      <w:r>
        <w:rPr/>
        <w:t>with consumer</w:t>
      </w:r>
      <w:r>
        <w:rPr>
          <w:spacing w:val="-15"/>
        </w:rPr>
        <w:t> </w:t>
      </w:r>
      <w:r>
        <w:rPr/>
        <w:t>expectations,</w:t>
      </w:r>
      <w:r>
        <w:rPr>
          <w:spacing w:val="-15"/>
        </w:rPr>
        <w:t> </w:t>
      </w:r>
      <w:r>
        <w:rPr/>
        <w:t>as</w:t>
      </w:r>
      <w:r>
        <w:rPr>
          <w:spacing w:val="-15"/>
        </w:rPr>
        <w:t> </w:t>
      </w:r>
      <w:r>
        <w:rPr/>
        <w:t>gaps</w:t>
      </w:r>
      <w:r>
        <w:rPr>
          <w:spacing w:val="-15"/>
        </w:rPr>
        <w:t> </w:t>
      </w:r>
      <w:r>
        <w:rPr/>
        <w:t>between</w:t>
      </w:r>
      <w:r>
        <w:rPr>
          <w:spacing w:val="-15"/>
        </w:rPr>
        <w:t> </w:t>
      </w:r>
      <w:r>
        <w:rPr/>
        <w:t>intention</w:t>
      </w:r>
      <w:r>
        <w:rPr>
          <w:spacing w:val="-15"/>
        </w:rPr>
        <w:t> </w:t>
      </w:r>
      <w:r>
        <w:rPr/>
        <w:t>and</w:t>
      </w:r>
      <w:r>
        <w:rPr>
          <w:spacing w:val="-15"/>
        </w:rPr>
        <w:t> </w:t>
      </w:r>
      <w:r>
        <w:rPr/>
        <w:t>practice</w:t>
      </w:r>
      <w:r>
        <w:rPr>
          <w:spacing w:val="-15"/>
        </w:rPr>
        <w:t> </w:t>
      </w:r>
      <w:r>
        <w:rPr/>
        <w:t>may</w:t>
      </w:r>
      <w:r>
        <w:rPr>
          <w:spacing w:val="-15"/>
        </w:rPr>
        <w:t> </w:t>
      </w:r>
      <w:r>
        <w:rPr/>
        <w:t>hinder</w:t>
      </w:r>
      <w:r>
        <w:rPr>
          <w:spacing w:val="-15"/>
        </w:rPr>
        <w:t> </w:t>
      </w:r>
      <w:r>
        <w:rPr/>
        <w:t>the</w:t>
      </w:r>
      <w:r>
        <w:rPr>
          <w:spacing w:val="-15"/>
        </w:rPr>
        <w:t> </w:t>
      </w:r>
      <w:r>
        <w:rPr/>
        <w:t>effectiveness of the transition (Solsona, 2024). This study</w:t>
      </w:r>
      <w:r>
        <w:rPr>
          <w:spacing w:val="-5"/>
        </w:rPr>
        <w:t> </w:t>
      </w:r>
      <w:r>
        <w:rPr/>
        <w:t>focuses on conducting</w:t>
      </w:r>
      <w:r>
        <w:rPr>
          <w:spacing w:val="-1"/>
        </w:rPr>
        <w:t> </w:t>
      </w:r>
      <w:r>
        <w:rPr/>
        <w:t>a cost-benefit analysis of shifting from plastic to compostable packaging in the Mapúa MCM canteen, with particular</w:t>
      </w:r>
      <w:r>
        <w:rPr>
          <w:spacing w:val="45"/>
        </w:rPr>
        <w:t> </w:t>
      </w:r>
      <w:r>
        <w:rPr/>
        <w:t>attention</w:t>
      </w:r>
      <w:r>
        <w:rPr>
          <w:spacing w:val="47"/>
        </w:rPr>
        <w:t> </w:t>
      </w:r>
      <w:r>
        <w:rPr/>
        <w:t>to</w:t>
      </w:r>
      <w:r>
        <w:rPr>
          <w:spacing w:val="47"/>
        </w:rPr>
        <w:t> </w:t>
      </w:r>
      <w:r>
        <w:rPr/>
        <w:t>the</w:t>
      </w:r>
      <w:r>
        <w:rPr>
          <w:spacing w:val="46"/>
        </w:rPr>
        <w:t> </w:t>
      </w:r>
      <w:r>
        <w:rPr/>
        <w:t>financial,</w:t>
      </w:r>
      <w:r>
        <w:rPr>
          <w:spacing w:val="46"/>
        </w:rPr>
        <w:t> </w:t>
      </w:r>
      <w:r>
        <w:rPr/>
        <w:t>environmental,</w:t>
      </w:r>
      <w:r>
        <w:rPr>
          <w:spacing w:val="47"/>
        </w:rPr>
        <w:t> </w:t>
      </w:r>
      <w:r>
        <w:rPr/>
        <w:t>and</w:t>
      </w:r>
      <w:r>
        <w:rPr>
          <w:spacing w:val="46"/>
        </w:rPr>
        <w:t> </w:t>
      </w:r>
      <w:r>
        <w:rPr/>
        <w:t>behavioral</w:t>
      </w:r>
      <w:r>
        <w:rPr>
          <w:spacing w:val="50"/>
        </w:rPr>
        <w:t> </w:t>
      </w:r>
      <w:r>
        <w:rPr/>
        <w:t>dimensions</w:t>
      </w:r>
      <w:r>
        <w:rPr>
          <w:spacing w:val="47"/>
        </w:rPr>
        <w:t> </w:t>
      </w:r>
      <w:r>
        <w:rPr/>
        <w:t>of</w:t>
      </w:r>
      <w:r>
        <w:rPr>
          <w:spacing w:val="47"/>
        </w:rPr>
        <w:t> </w:t>
      </w:r>
      <w:r>
        <w:rPr>
          <w:spacing w:val="-4"/>
        </w:rPr>
        <w:t>this</w:t>
      </w:r>
    </w:p>
    <w:p>
      <w:pPr>
        <w:pStyle w:val="BodyText"/>
        <w:spacing w:after="0" w:line="480" w:lineRule="auto"/>
        <w:jc w:val="both"/>
        <w:sectPr>
          <w:pgSz w:w="12240" w:h="15840"/>
          <w:pgMar w:header="763" w:footer="0" w:top="1340" w:bottom="280" w:left="1800" w:right="360"/>
        </w:sectPr>
      </w:pPr>
    </w:p>
    <w:p>
      <w:pPr>
        <w:pStyle w:val="BodyText"/>
        <w:spacing w:line="480" w:lineRule="auto" w:before="80"/>
        <w:ind w:left="326" w:right="1082"/>
        <w:jc w:val="both"/>
      </w:pPr>
      <w:r>
        <w:rPr/>
        <w:t>change.</w:t>
      </w:r>
      <w:r>
        <w:rPr>
          <w:spacing w:val="-15"/>
        </w:rPr>
        <w:t> </w:t>
      </w:r>
      <w:r>
        <w:rPr/>
        <w:t>As</w:t>
      </w:r>
      <w:r>
        <w:rPr>
          <w:spacing w:val="-15"/>
        </w:rPr>
        <w:t> </w:t>
      </w:r>
      <w:r>
        <w:rPr/>
        <w:t>student-researchers,</w:t>
      </w:r>
      <w:r>
        <w:rPr>
          <w:spacing w:val="-15"/>
        </w:rPr>
        <w:t> </w:t>
      </w:r>
      <w:r>
        <w:rPr/>
        <w:t>we</w:t>
      </w:r>
      <w:r>
        <w:rPr>
          <w:spacing w:val="-15"/>
        </w:rPr>
        <w:t> </w:t>
      </w:r>
      <w:r>
        <w:rPr/>
        <w:t>view</w:t>
      </w:r>
      <w:r>
        <w:rPr>
          <w:spacing w:val="-15"/>
        </w:rPr>
        <w:t> </w:t>
      </w:r>
      <w:r>
        <w:rPr/>
        <w:t>this</w:t>
      </w:r>
      <w:r>
        <w:rPr>
          <w:spacing w:val="-14"/>
        </w:rPr>
        <w:t> </w:t>
      </w:r>
      <w:r>
        <w:rPr/>
        <w:t>research</w:t>
      </w:r>
      <w:r>
        <w:rPr>
          <w:spacing w:val="-15"/>
        </w:rPr>
        <w:t> </w:t>
      </w:r>
      <w:r>
        <w:rPr/>
        <w:t>problem</w:t>
      </w:r>
      <w:r>
        <w:rPr>
          <w:spacing w:val="-13"/>
        </w:rPr>
        <w:t> </w:t>
      </w:r>
      <w:r>
        <w:rPr/>
        <w:t>as</w:t>
      </w:r>
      <w:r>
        <w:rPr>
          <w:spacing w:val="-15"/>
        </w:rPr>
        <w:t> </w:t>
      </w:r>
      <w:r>
        <w:rPr/>
        <w:t>both</w:t>
      </w:r>
      <w:r>
        <w:rPr>
          <w:spacing w:val="-13"/>
        </w:rPr>
        <w:t> </w:t>
      </w:r>
      <w:r>
        <w:rPr/>
        <w:t>timely</w:t>
      </w:r>
      <w:r>
        <w:rPr>
          <w:spacing w:val="-15"/>
        </w:rPr>
        <w:t> </w:t>
      </w:r>
      <w:r>
        <w:rPr/>
        <w:t>and</w:t>
      </w:r>
      <w:r>
        <w:rPr>
          <w:spacing w:val="-13"/>
        </w:rPr>
        <w:t> </w:t>
      </w:r>
      <w:r>
        <w:rPr/>
        <w:t>essential, especially in highlighting how academic institutions can lead in adopting sustainable practices while addressing the realities of cost and implementation barriers.</w:t>
      </w:r>
    </w:p>
    <w:p>
      <w:pPr>
        <w:pStyle w:val="BodyText"/>
        <w:spacing w:line="480" w:lineRule="auto"/>
        <w:ind w:left="326" w:right="1075" w:firstLine="720"/>
        <w:jc w:val="both"/>
      </w:pPr>
      <w:r>
        <w:rPr/>
        <w:t>International studies reveal that shifting from plastic to compostable packaging in university</w:t>
      </w:r>
      <w:r>
        <w:rPr>
          <w:spacing w:val="-15"/>
        </w:rPr>
        <w:t> </w:t>
      </w:r>
      <w:r>
        <w:rPr/>
        <w:t>canteens</w:t>
      </w:r>
      <w:r>
        <w:rPr>
          <w:spacing w:val="-15"/>
        </w:rPr>
        <w:t> </w:t>
      </w:r>
      <w:r>
        <w:rPr/>
        <w:t>provides</w:t>
      </w:r>
      <w:r>
        <w:rPr>
          <w:spacing w:val="-15"/>
        </w:rPr>
        <w:t> </w:t>
      </w:r>
      <w:r>
        <w:rPr/>
        <w:t>both</w:t>
      </w:r>
      <w:r>
        <w:rPr>
          <w:spacing w:val="-15"/>
        </w:rPr>
        <w:t> </w:t>
      </w:r>
      <w:r>
        <w:rPr/>
        <w:t>environmental</w:t>
      </w:r>
      <w:r>
        <w:rPr>
          <w:spacing w:val="-14"/>
        </w:rPr>
        <w:t> </w:t>
      </w:r>
      <w:r>
        <w:rPr/>
        <w:t>and</w:t>
      </w:r>
      <w:r>
        <w:rPr>
          <w:spacing w:val="-14"/>
        </w:rPr>
        <w:t> </w:t>
      </w:r>
      <w:r>
        <w:rPr/>
        <w:t>economic</w:t>
      </w:r>
      <w:r>
        <w:rPr>
          <w:spacing w:val="-15"/>
        </w:rPr>
        <w:t> </w:t>
      </w:r>
      <w:r>
        <w:rPr/>
        <w:t>advantages.</w:t>
      </w:r>
      <w:r>
        <w:rPr>
          <w:spacing w:val="-11"/>
        </w:rPr>
        <w:t> </w:t>
      </w:r>
      <w:r>
        <w:rPr/>
        <w:t>Research</w:t>
      </w:r>
      <w:r>
        <w:rPr>
          <w:spacing w:val="-12"/>
        </w:rPr>
        <w:t> </w:t>
      </w:r>
      <w:r>
        <w:rPr/>
        <w:t>at</w:t>
      </w:r>
      <w:r>
        <w:rPr>
          <w:spacing w:val="-14"/>
        </w:rPr>
        <w:t> </w:t>
      </w:r>
      <w:r>
        <w:rPr/>
        <w:t>the Middlebury Institute of International Studies found that compostable food service ware (CSFW) can be beneficial for the institutions, with positive Net Present Values (NPVs), making</w:t>
      </w:r>
      <w:r>
        <w:rPr>
          <w:spacing w:val="-8"/>
        </w:rPr>
        <w:t> </w:t>
      </w:r>
      <w:r>
        <w:rPr/>
        <w:t>it</w:t>
      </w:r>
      <w:r>
        <w:rPr>
          <w:spacing w:val="-5"/>
        </w:rPr>
        <w:t> </w:t>
      </w:r>
      <w:r>
        <w:rPr/>
        <w:t>a</w:t>
      </w:r>
      <w:r>
        <w:rPr>
          <w:spacing w:val="-4"/>
        </w:rPr>
        <w:t> </w:t>
      </w:r>
      <w:r>
        <w:rPr/>
        <w:t>cost-effective</w:t>
      </w:r>
      <w:r>
        <w:rPr>
          <w:spacing w:val="-5"/>
        </w:rPr>
        <w:t> </w:t>
      </w:r>
      <w:r>
        <w:rPr/>
        <w:t>long-term</w:t>
      </w:r>
      <w:r>
        <w:rPr>
          <w:spacing w:val="-6"/>
        </w:rPr>
        <w:t> </w:t>
      </w:r>
      <w:r>
        <w:rPr/>
        <w:t>option</w:t>
      </w:r>
      <w:r>
        <w:rPr>
          <w:spacing w:val="-6"/>
        </w:rPr>
        <w:t> </w:t>
      </w:r>
      <w:r>
        <w:rPr/>
        <w:t>(Kaur</w:t>
      </w:r>
      <w:r>
        <w:rPr>
          <w:spacing w:val="-3"/>
        </w:rPr>
        <w:t> </w:t>
      </w:r>
      <w:r>
        <w:rPr/>
        <w:t>&amp;</w:t>
      </w:r>
      <w:r>
        <w:rPr>
          <w:spacing w:val="-9"/>
        </w:rPr>
        <w:t> </w:t>
      </w:r>
      <w:r>
        <w:rPr/>
        <w:t>Acid,</w:t>
      </w:r>
      <w:r>
        <w:rPr>
          <w:spacing w:val="-5"/>
        </w:rPr>
        <w:t> </w:t>
      </w:r>
      <w:r>
        <w:rPr/>
        <w:t>2020).</w:t>
      </w:r>
      <w:r>
        <w:rPr>
          <w:spacing w:val="-6"/>
        </w:rPr>
        <w:t> </w:t>
      </w:r>
      <w:r>
        <w:rPr/>
        <w:t>However,</w:t>
      </w:r>
      <w:r>
        <w:rPr>
          <w:spacing w:val="-4"/>
        </w:rPr>
        <w:t> </w:t>
      </w:r>
      <w:r>
        <w:rPr/>
        <w:t>evidence</w:t>
      </w:r>
      <w:r>
        <w:rPr>
          <w:spacing w:val="-7"/>
        </w:rPr>
        <w:t> </w:t>
      </w:r>
      <w:r>
        <w:rPr/>
        <w:t>from Canada suggests that reusable packaging, when used multiple times, may be more cost- efficient</w:t>
      </w:r>
      <w:r>
        <w:rPr>
          <w:spacing w:val="-14"/>
        </w:rPr>
        <w:t> </w:t>
      </w:r>
      <w:r>
        <w:rPr/>
        <w:t>and</w:t>
      </w:r>
      <w:r>
        <w:rPr>
          <w:spacing w:val="-14"/>
        </w:rPr>
        <w:t> </w:t>
      </w:r>
      <w:r>
        <w:rPr/>
        <w:t>environmentally</w:t>
      </w:r>
      <w:r>
        <w:rPr>
          <w:spacing w:val="-15"/>
        </w:rPr>
        <w:t> </w:t>
      </w:r>
      <w:r>
        <w:rPr/>
        <w:t>beneficial</w:t>
      </w:r>
      <w:r>
        <w:rPr>
          <w:spacing w:val="-12"/>
        </w:rPr>
        <w:t> </w:t>
      </w:r>
      <w:r>
        <w:rPr/>
        <w:t>compared</w:t>
      </w:r>
      <w:r>
        <w:rPr>
          <w:spacing w:val="-12"/>
        </w:rPr>
        <w:t> </w:t>
      </w:r>
      <w:r>
        <w:rPr/>
        <w:t>to</w:t>
      </w:r>
      <w:r>
        <w:rPr>
          <w:spacing w:val="-14"/>
        </w:rPr>
        <w:t> </w:t>
      </w:r>
      <w:r>
        <w:rPr/>
        <w:t>single-use</w:t>
      </w:r>
      <w:r>
        <w:rPr>
          <w:spacing w:val="-13"/>
        </w:rPr>
        <w:t> </w:t>
      </w:r>
      <w:r>
        <w:rPr/>
        <w:t>compostable,</w:t>
      </w:r>
      <w:r>
        <w:rPr>
          <w:spacing w:val="-14"/>
        </w:rPr>
        <w:t> </w:t>
      </w:r>
      <w:r>
        <w:rPr/>
        <w:t>showing</w:t>
      </w:r>
      <w:r>
        <w:rPr>
          <w:spacing w:val="-14"/>
        </w:rPr>
        <w:t> </w:t>
      </w:r>
      <w:r>
        <w:rPr/>
        <w:t>that frequency</w:t>
      </w:r>
      <w:r>
        <w:rPr>
          <w:spacing w:val="-15"/>
        </w:rPr>
        <w:t> </w:t>
      </w:r>
      <w:r>
        <w:rPr/>
        <w:t>of</w:t>
      </w:r>
      <w:r>
        <w:rPr>
          <w:spacing w:val="-15"/>
        </w:rPr>
        <w:t> </w:t>
      </w:r>
      <w:r>
        <w:rPr/>
        <w:t>use</w:t>
      </w:r>
      <w:r>
        <w:rPr>
          <w:spacing w:val="-15"/>
        </w:rPr>
        <w:t> </w:t>
      </w:r>
      <w:r>
        <w:rPr/>
        <w:t>is</w:t>
      </w:r>
      <w:r>
        <w:rPr>
          <w:spacing w:val="-15"/>
        </w:rPr>
        <w:t> </w:t>
      </w:r>
      <w:r>
        <w:rPr/>
        <w:t>an</w:t>
      </w:r>
      <w:r>
        <w:rPr>
          <w:spacing w:val="-15"/>
        </w:rPr>
        <w:t> </w:t>
      </w:r>
      <w:r>
        <w:rPr/>
        <w:t>important</w:t>
      </w:r>
      <w:r>
        <w:rPr>
          <w:spacing w:val="-15"/>
        </w:rPr>
        <w:t> </w:t>
      </w:r>
      <w:r>
        <w:rPr/>
        <w:t>factor</w:t>
      </w:r>
      <w:r>
        <w:rPr>
          <w:spacing w:val="-15"/>
        </w:rPr>
        <w:t> </w:t>
      </w:r>
      <w:r>
        <w:rPr/>
        <w:t>in</w:t>
      </w:r>
      <w:r>
        <w:rPr>
          <w:spacing w:val="-15"/>
        </w:rPr>
        <w:t> </w:t>
      </w:r>
      <w:r>
        <w:rPr/>
        <w:t>sustainability</w:t>
      </w:r>
      <w:r>
        <w:rPr>
          <w:spacing w:val="-15"/>
        </w:rPr>
        <w:t> </w:t>
      </w:r>
      <w:r>
        <w:rPr/>
        <w:t>assessments</w:t>
      </w:r>
      <w:r>
        <w:rPr>
          <w:spacing w:val="-15"/>
        </w:rPr>
        <w:t> </w:t>
      </w:r>
      <w:r>
        <w:rPr/>
        <w:t>(Snyder</w:t>
      </w:r>
      <w:r>
        <w:rPr>
          <w:spacing w:val="-14"/>
        </w:rPr>
        <w:t> </w:t>
      </w:r>
      <w:r>
        <w:rPr/>
        <w:t>&amp;</w:t>
      </w:r>
      <w:r>
        <w:rPr>
          <w:spacing w:val="-15"/>
        </w:rPr>
        <w:t> </w:t>
      </w:r>
      <w:r>
        <w:rPr/>
        <w:t>Park,</w:t>
      </w:r>
      <w:r>
        <w:rPr>
          <w:spacing w:val="-14"/>
        </w:rPr>
        <w:t> </w:t>
      </w:r>
      <w:r>
        <w:rPr/>
        <w:t>2024). Furthermore, studies highlight that bioplastics and renewable resources support economic practices and the United Nations’ Sustainable Development Goals, though challenges remain in terms of affordability, usability, and infrastructure requirements (Ikechukwu, 2024; Daramola et al., 2025). In the Philippines, the move toward compostable packaging also presents promising outcomes but requires careful evaluation of costs and implementation. Yao et al. (2024) found that biodegradable materials can decompose within a month, significantly reducing plastic waste and pollution. Similarly, innovations like StrawPlast, which combine straw fibers with bioplastics, provide opportunities for promoting a circular economy and minimizing environmental damage (Giordano &amp; Mariani, 2024). Still, studies emphasize that biodegradable packaging materials are often more</w:t>
      </w:r>
      <w:r>
        <w:rPr>
          <w:spacing w:val="-15"/>
        </w:rPr>
        <w:t> </w:t>
      </w:r>
      <w:r>
        <w:rPr/>
        <w:t>expensive</w:t>
      </w:r>
      <w:r>
        <w:rPr>
          <w:spacing w:val="-15"/>
        </w:rPr>
        <w:t> </w:t>
      </w:r>
      <w:r>
        <w:rPr/>
        <w:t>than</w:t>
      </w:r>
      <w:r>
        <w:rPr>
          <w:spacing w:val="-15"/>
        </w:rPr>
        <w:t> </w:t>
      </w:r>
      <w:r>
        <w:rPr/>
        <w:t>plastics</w:t>
      </w:r>
      <w:r>
        <w:rPr>
          <w:spacing w:val="-15"/>
        </w:rPr>
        <w:t> </w:t>
      </w:r>
      <w:r>
        <w:rPr/>
        <w:t>due</w:t>
      </w:r>
      <w:r>
        <w:rPr>
          <w:spacing w:val="-15"/>
        </w:rPr>
        <w:t> </w:t>
      </w:r>
      <w:r>
        <w:rPr/>
        <w:t>to</w:t>
      </w:r>
      <w:r>
        <w:rPr>
          <w:spacing w:val="-14"/>
        </w:rPr>
        <w:t> </w:t>
      </w:r>
      <w:r>
        <w:rPr/>
        <w:t>production</w:t>
      </w:r>
      <w:r>
        <w:rPr>
          <w:spacing w:val="-14"/>
        </w:rPr>
        <w:t> </w:t>
      </w:r>
      <w:r>
        <w:rPr/>
        <w:t>costs</w:t>
      </w:r>
      <w:r>
        <w:rPr>
          <w:spacing w:val="-14"/>
        </w:rPr>
        <w:t> </w:t>
      </w:r>
      <w:r>
        <w:rPr/>
        <w:t>and</w:t>
      </w:r>
      <w:r>
        <w:rPr>
          <w:spacing w:val="-14"/>
        </w:rPr>
        <w:t> </w:t>
      </w:r>
      <w:r>
        <w:rPr/>
        <w:t>the</w:t>
      </w:r>
      <w:r>
        <w:rPr>
          <w:spacing w:val="-15"/>
        </w:rPr>
        <w:t> </w:t>
      </w:r>
      <w:r>
        <w:rPr/>
        <w:t>need</w:t>
      </w:r>
      <w:r>
        <w:rPr>
          <w:spacing w:val="-14"/>
        </w:rPr>
        <w:t> </w:t>
      </w:r>
      <w:r>
        <w:rPr/>
        <w:t>for</w:t>
      </w:r>
      <w:r>
        <w:rPr>
          <w:spacing w:val="-15"/>
        </w:rPr>
        <w:t> </w:t>
      </w:r>
      <w:r>
        <w:rPr/>
        <w:t>updated</w:t>
      </w:r>
      <w:r>
        <w:rPr>
          <w:spacing w:val="-14"/>
        </w:rPr>
        <w:t> </w:t>
      </w:r>
      <w:r>
        <w:rPr/>
        <w:t>technologies, though</w:t>
      </w:r>
      <w:r>
        <w:rPr>
          <w:spacing w:val="62"/>
        </w:rPr>
        <w:t> </w:t>
      </w:r>
      <w:r>
        <w:rPr/>
        <w:t>long-term</w:t>
      </w:r>
      <w:r>
        <w:rPr>
          <w:spacing w:val="65"/>
        </w:rPr>
        <w:t> </w:t>
      </w:r>
      <w:r>
        <w:rPr/>
        <w:t>savings</w:t>
      </w:r>
      <w:r>
        <w:rPr>
          <w:spacing w:val="66"/>
        </w:rPr>
        <w:t> </w:t>
      </w:r>
      <w:r>
        <w:rPr/>
        <w:t>may</w:t>
      </w:r>
      <w:r>
        <w:rPr>
          <w:spacing w:val="61"/>
        </w:rPr>
        <w:t> </w:t>
      </w:r>
      <w:r>
        <w:rPr/>
        <w:t>arise</w:t>
      </w:r>
      <w:r>
        <w:rPr>
          <w:spacing w:val="65"/>
        </w:rPr>
        <w:t> </w:t>
      </w:r>
      <w:r>
        <w:rPr/>
        <w:t>from</w:t>
      </w:r>
      <w:r>
        <w:rPr>
          <w:spacing w:val="66"/>
        </w:rPr>
        <w:t> </w:t>
      </w:r>
      <w:r>
        <w:rPr/>
        <w:t>reduced</w:t>
      </w:r>
      <w:r>
        <w:rPr>
          <w:spacing w:val="65"/>
        </w:rPr>
        <w:t> </w:t>
      </w:r>
      <w:r>
        <w:rPr/>
        <w:t>waste</w:t>
      </w:r>
      <w:r>
        <w:rPr>
          <w:spacing w:val="65"/>
        </w:rPr>
        <w:t> </w:t>
      </w:r>
      <w:r>
        <w:rPr/>
        <w:t>management</w:t>
      </w:r>
      <w:r>
        <w:rPr>
          <w:spacing w:val="66"/>
        </w:rPr>
        <w:t> </w:t>
      </w:r>
      <w:r>
        <w:rPr/>
        <w:t>expenses</w:t>
      </w:r>
      <w:r>
        <w:rPr>
          <w:spacing w:val="66"/>
        </w:rPr>
        <w:t> </w:t>
      </w:r>
      <w:r>
        <w:rPr>
          <w:spacing w:val="-5"/>
        </w:rPr>
        <w:t>and</w:t>
      </w:r>
    </w:p>
    <w:p>
      <w:pPr>
        <w:pStyle w:val="BodyText"/>
        <w:spacing w:after="0" w:line="480" w:lineRule="auto"/>
        <w:jc w:val="both"/>
        <w:sectPr>
          <w:pgSz w:w="12240" w:h="15840"/>
          <w:pgMar w:header="763" w:footer="0" w:top="1340" w:bottom="280" w:left="1800" w:right="360"/>
        </w:sectPr>
      </w:pPr>
    </w:p>
    <w:p>
      <w:pPr>
        <w:pStyle w:val="BodyText"/>
        <w:spacing w:line="480" w:lineRule="auto" w:before="80"/>
        <w:ind w:left="326" w:right="1075"/>
        <w:jc w:val="both"/>
      </w:pPr>
      <w:r>
        <w:rPr/>
        <w:t>alignment with sustainability policies (Yao et al., 2024; Ikechukwu, 2024). At the local level,</w:t>
      </w:r>
      <w:r>
        <w:rPr>
          <w:spacing w:val="-15"/>
        </w:rPr>
        <w:t> </w:t>
      </w:r>
      <w:r>
        <w:rPr/>
        <w:t>studies</w:t>
      </w:r>
      <w:r>
        <w:rPr>
          <w:spacing w:val="-15"/>
        </w:rPr>
        <w:t> </w:t>
      </w:r>
      <w:r>
        <w:rPr/>
        <w:t>in</w:t>
      </w:r>
      <w:r>
        <w:rPr>
          <w:spacing w:val="-15"/>
        </w:rPr>
        <w:t> </w:t>
      </w:r>
      <w:r>
        <w:rPr/>
        <w:t>Zamboanga</w:t>
      </w:r>
      <w:r>
        <w:rPr>
          <w:spacing w:val="-15"/>
        </w:rPr>
        <w:t> </w:t>
      </w:r>
      <w:r>
        <w:rPr/>
        <w:t>City</w:t>
      </w:r>
      <w:r>
        <w:rPr>
          <w:spacing w:val="-15"/>
        </w:rPr>
        <w:t> </w:t>
      </w:r>
      <w:r>
        <w:rPr/>
        <w:t>show</w:t>
      </w:r>
      <w:r>
        <w:rPr>
          <w:spacing w:val="-15"/>
        </w:rPr>
        <w:t> </w:t>
      </w:r>
      <w:r>
        <w:rPr/>
        <w:t>that</w:t>
      </w:r>
      <w:r>
        <w:rPr>
          <w:spacing w:val="-15"/>
        </w:rPr>
        <w:t> </w:t>
      </w:r>
      <w:r>
        <w:rPr/>
        <w:t>adopting</w:t>
      </w:r>
      <w:r>
        <w:rPr>
          <w:spacing w:val="-15"/>
        </w:rPr>
        <w:t> </w:t>
      </w:r>
      <w:r>
        <w:rPr/>
        <w:t>plastic</w:t>
      </w:r>
      <w:r>
        <w:rPr>
          <w:spacing w:val="-15"/>
        </w:rPr>
        <w:t> </w:t>
      </w:r>
      <w:r>
        <w:rPr/>
        <w:t>alternatives</w:t>
      </w:r>
      <w:r>
        <w:rPr>
          <w:spacing w:val="-15"/>
        </w:rPr>
        <w:t> </w:t>
      </w:r>
      <w:r>
        <w:rPr/>
        <w:t>has</w:t>
      </w:r>
      <w:r>
        <w:rPr>
          <w:spacing w:val="-15"/>
        </w:rPr>
        <w:t> </w:t>
      </w:r>
      <w:r>
        <w:rPr/>
        <w:t>reduced</w:t>
      </w:r>
      <w:r>
        <w:rPr>
          <w:spacing w:val="-14"/>
        </w:rPr>
        <w:t> </w:t>
      </w:r>
      <w:r>
        <w:rPr/>
        <w:t>single- use plastic consumption, but challenges persist in recyclability, biodegradability, and consumer</w:t>
      </w:r>
      <w:r>
        <w:rPr>
          <w:spacing w:val="-5"/>
        </w:rPr>
        <w:t> </w:t>
      </w:r>
      <w:r>
        <w:rPr/>
        <w:t>acceptance</w:t>
      </w:r>
      <w:r>
        <w:rPr>
          <w:spacing w:val="-6"/>
        </w:rPr>
        <w:t> </w:t>
      </w:r>
      <w:r>
        <w:rPr/>
        <w:t>(Mohammad,</w:t>
      </w:r>
      <w:r>
        <w:rPr>
          <w:spacing w:val="-5"/>
        </w:rPr>
        <w:t> </w:t>
      </w:r>
      <w:r>
        <w:rPr/>
        <w:t>2024).</w:t>
      </w:r>
      <w:r>
        <w:rPr>
          <w:spacing w:val="-5"/>
        </w:rPr>
        <w:t> </w:t>
      </w:r>
      <w:r>
        <w:rPr/>
        <w:t>Stakeholder</w:t>
      </w:r>
      <w:r>
        <w:rPr>
          <w:spacing w:val="-7"/>
        </w:rPr>
        <w:t> </w:t>
      </w:r>
      <w:r>
        <w:rPr/>
        <w:t>feedback</w:t>
      </w:r>
      <w:r>
        <w:rPr>
          <w:spacing w:val="-5"/>
        </w:rPr>
        <w:t> </w:t>
      </w:r>
      <w:r>
        <w:rPr/>
        <w:t>indicates</w:t>
      </w:r>
      <w:r>
        <w:rPr>
          <w:spacing w:val="-5"/>
        </w:rPr>
        <w:t> </w:t>
      </w:r>
      <w:r>
        <w:rPr/>
        <w:t>that</w:t>
      </w:r>
      <w:r>
        <w:rPr>
          <w:spacing w:val="-5"/>
        </w:rPr>
        <w:t> </w:t>
      </w:r>
      <w:r>
        <w:rPr/>
        <w:t>while</w:t>
      </w:r>
      <w:r>
        <w:rPr>
          <w:spacing w:val="-6"/>
        </w:rPr>
        <w:t> </w:t>
      </w:r>
      <w:r>
        <w:rPr/>
        <w:t>there is</w:t>
      </w:r>
      <w:r>
        <w:rPr>
          <w:spacing w:val="-3"/>
        </w:rPr>
        <w:t> </w:t>
      </w:r>
      <w:r>
        <w:rPr/>
        <w:t>support</w:t>
      </w:r>
      <w:r>
        <w:rPr>
          <w:spacing w:val="-3"/>
        </w:rPr>
        <w:t> </w:t>
      </w:r>
      <w:r>
        <w:rPr/>
        <w:t>for</w:t>
      </w:r>
      <w:r>
        <w:rPr>
          <w:spacing w:val="-4"/>
        </w:rPr>
        <w:t> </w:t>
      </w:r>
      <w:r>
        <w:rPr/>
        <w:t>environmentally</w:t>
      </w:r>
      <w:r>
        <w:rPr>
          <w:spacing w:val="-8"/>
        </w:rPr>
        <w:t> </w:t>
      </w:r>
      <w:r>
        <w:rPr/>
        <w:t>friendly</w:t>
      </w:r>
      <w:r>
        <w:rPr>
          <w:spacing w:val="-6"/>
        </w:rPr>
        <w:t> </w:t>
      </w:r>
      <w:r>
        <w:rPr/>
        <w:t>packaging,</w:t>
      </w:r>
      <w:r>
        <w:rPr>
          <w:spacing w:val="-3"/>
        </w:rPr>
        <w:t> </w:t>
      </w:r>
      <w:r>
        <w:rPr/>
        <w:t>practical</w:t>
      </w:r>
      <w:r>
        <w:rPr>
          <w:spacing w:val="-3"/>
        </w:rPr>
        <w:t> </w:t>
      </w:r>
      <w:r>
        <w:rPr/>
        <w:t>concerns</w:t>
      </w:r>
      <w:r>
        <w:rPr>
          <w:spacing w:val="-3"/>
        </w:rPr>
        <w:t> </w:t>
      </w:r>
      <w:r>
        <w:rPr/>
        <w:t>regarding</w:t>
      </w:r>
      <w:r>
        <w:rPr>
          <w:spacing w:val="-5"/>
        </w:rPr>
        <w:t> </w:t>
      </w:r>
      <w:r>
        <w:rPr/>
        <w:t>durability, usability,</w:t>
      </w:r>
      <w:r>
        <w:rPr>
          <w:spacing w:val="-5"/>
        </w:rPr>
        <w:t> </w:t>
      </w:r>
      <w:r>
        <w:rPr/>
        <w:t>and</w:t>
      </w:r>
      <w:r>
        <w:rPr>
          <w:spacing w:val="-5"/>
        </w:rPr>
        <w:t> </w:t>
      </w:r>
      <w:r>
        <w:rPr/>
        <w:t>cost</w:t>
      </w:r>
      <w:r>
        <w:rPr>
          <w:spacing w:val="-5"/>
        </w:rPr>
        <w:t> </w:t>
      </w:r>
      <w:r>
        <w:rPr/>
        <w:t>remain</w:t>
      </w:r>
      <w:r>
        <w:rPr>
          <w:spacing w:val="-5"/>
        </w:rPr>
        <w:t> </w:t>
      </w:r>
      <w:r>
        <w:rPr/>
        <w:t>significant</w:t>
      </w:r>
      <w:r>
        <w:rPr>
          <w:spacing w:val="-5"/>
        </w:rPr>
        <w:t> </w:t>
      </w:r>
      <w:r>
        <w:rPr/>
        <w:t>barriers.</w:t>
      </w:r>
      <w:r>
        <w:rPr>
          <w:spacing w:val="-5"/>
        </w:rPr>
        <w:t> </w:t>
      </w:r>
      <w:r>
        <w:rPr/>
        <w:t>These</w:t>
      </w:r>
      <w:r>
        <w:rPr>
          <w:spacing w:val="-5"/>
        </w:rPr>
        <w:t> </w:t>
      </w:r>
      <w:r>
        <w:rPr/>
        <w:t>findings</w:t>
      </w:r>
      <w:r>
        <w:rPr>
          <w:spacing w:val="-5"/>
        </w:rPr>
        <w:t> </w:t>
      </w:r>
      <w:r>
        <w:rPr/>
        <w:t>highlight</w:t>
      </w:r>
      <w:r>
        <w:rPr>
          <w:spacing w:val="-5"/>
        </w:rPr>
        <w:t> </w:t>
      </w:r>
      <w:r>
        <w:rPr/>
        <w:t>that</w:t>
      </w:r>
      <w:r>
        <w:rPr>
          <w:spacing w:val="-5"/>
        </w:rPr>
        <w:t> </w:t>
      </w:r>
      <w:r>
        <w:rPr/>
        <w:t>for</w:t>
      </w:r>
      <w:r>
        <w:rPr>
          <w:spacing w:val="-5"/>
        </w:rPr>
        <w:t> </w:t>
      </w:r>
      <w:r>
        <w:rPr/>
        <w:t>institutions such as university canteens, including the Mapúa MCM canteen, the transition to compostable</w:t>
      </w:r>
      <w:r>
        <w:rPr>
          <w:spacing w:val="-9"/>
        </w:rPr>
        <w:t> </w:t>
      </w:r>
      <w:r>
        <w:rPr/>
        <w:t>packaging</w:t>
      </w:r>
      <w:r>
        <w:rPr>
          <w:spacing w:val="-11"/>
        </w:rPr>
        <w:t> </w:t>
      </w:r>
      <w:r>
        <w:rPr/>
        <w:t>requires</w:t>
      </w:r>
      <w:r>
        <w:rPr>
          <w:spacing w:val="-8"/>
        </w:rPr>
        <w:t> </w:t>
      </w:r>
      <w:r>
        <w:rPr/>
        <w:t>balancing</w:t>
      </w:r>
      <w:r>
        <w:rPr>
          <w:spacing w:val="-11"/>
        </w:rPr>
        <w:t> </w:t>
      </w:r>
      <w:r>
        <w:rPr/>
        <w:t>environmental</w:t>
      </w:r>
      <w:r>
        <w:rPr>
          <w:spacing w:val="-8"/>
        </w:rPr>
        <w:t> </w:t>
      </w:r>
      <w:r>
        <w:rPr/>
        <w:t>goals</w:t>
      </w:r>
      <w:r>
        <w:rPr>
          <w:spacing w:val="-8"/>
        </w:rPr>
        <w:t> </w:t>
      </w:r>
      <w:r>
        <w:rPr/>
        <w:t>with</w:t>
      </w:r>
      <w:r>
        <w:rPr>
          <w:spacing w:val="-8"/>
        </w:rPr>
        <w:t> </w:t>
      </w:r>
      <w:r>
        <w:rPr/>
        <w:t>financial</w:t>
      </w:r>
      <w:r>
        <w:rPr>
          <w:spacing w:val="-8"/>
        </w:rPr>
        <w:t> </w:t>
      </w:r>
      <w:r>
        <w:rPr/>
        <w:t>realities</w:t>
      </w:r>
      <w:r>
        <w:rPr>
          <w:spacing w:val="-8"/>
        </w:rPr>
        <w:t> </w:t>
      </w:r>
      <w:r>
        <w:rPr/>
        <w:t>and consumer</w:t>
      </w:r>
      <w:r>
        <w:rPr>
          <w:spacing w:val="-9"/>
        </w:rPr>
        <w:t> </w:t>
      </w:r>
      <w:r>
        <w:rPr/>
        <w:t>behavior.</w:t>
      </w:r>
      <w:r>
        <w:rPr>
          <w:spacing w:val="-9"/>
        </w:rPr>
        <w:t> </w:t>
      </w:r>
      <w:r>
        <w:rPr/>
        <w:t>As</w:t>
      </w:r>
      <w:r>
        <w:rPr>
          <w:spacing w:val="-9"/>
        </w:rPr>
        <w:t> </w:t>
      </w:r>
      <w:r>
        <w:rPr/>
        <w:t>student-researchers,</w:t>
      </w:r>
      <w:r>
        <w:rPr>
          <w:spacing w:val="-6"/>
        </w:rPr>
        <w:t> </w:t>
      </w:r>
      <w:r>
        <w:rPr/>
        <w:t>we</w:t>
      </w:r>
      <w:r>
        <w:rPr>
          <w:spacing w:val="-10"/>
        </w:rPr>
        <w:t> </w:t>
      </w:r>
      <w:r>
        <w:rPr/>
        <w:t>recognize</w:t>
      </w:r>
      <w:r>
        <w:rPr>
          <w:spacing w:val="-9"/>
        </w:rPr>
        <w:t> </w:t>
      </w:r>
      <w:r>
        <w:rPr/>
        <w:t>these</w:t>
      </w:r>
      <w:r>
        <w:rPr>
          <w:spacing w:val="-7"/>
        </w:rPr>
        <w:t> </w:t>
      </w:r>
      <w:r>
        <w:rPr/>
        <w:t>constraints</w:t>
      </w:r>
      <w:r>
        <w:rPr>
          <w:spacing w:val="-6"/>
        </w:rPr>
        <w:t> </w:t>
      </w:r>
      <w:r>
        <w:rPr/>
        <w:t>but</w:t>
      </w:r>
      <w:r>
        <w:rPr>
          <w:spacing w:val="-8"/>
        </w:rPr>
        <w:t> </w:t>
      </w:r>
      <w:r>
        <w:rPr/>
        <w:t>believe</w:t>
      </w:r>
      <w:r>
        <w:rPr>
          <w:spacing w:val="-9"/>
        </w:rPr>
        <w:t> </w:t>
      </w:r>
      <w:r>
        <w:rPr/>
        <w:t>that analyzing both the long-term benefits and short-term challenges is critical in determining whether such a transition is feasible and sustainable within the campus context.</w:t>
      </w:r>
    </w:p>
    <w:p>
      <w:pPr>
        <w:pStyle w:val="BodyText"/>
        <w:spacing w:line="480" w:lineRule="auto" w:before="1"/>
        <w:ind w:left="326" w:right="1074" w:firstLine="720"/>
        <w:jc w:val="both"/>
      </w:pPr>
      <w:r>
        <w:rPr/>
        <w:t>The</w:t>
      </w:r>
      <w:r>
        <w:rPr>
          <w:spacing w:val="-15"/>
        </w:rPr>
        <w:t> </w:t>
      </w:r>
      <w:r>
        <w:rPr/>
        <w:t>transition</w:t>
      </w:r>
      <w:r>
        <w:rPr>
          <w:spacing w:val="-15"/>
        </w:rPr>
        <w:t> </w:t>
      </w:r>
      <w:r>
        <w:rPr/>
        <w:t>from</w:t>
      </w:r>
      <w:r>
        <w:rPr>
          <w:spacing w:val="-15"/>
        </w:rPr>
        <w:t> </w:t>
      </w:r>
      <w:r>
        <w:rPr/>
        <w:t>plastic</w:t>
      </w:r>
      <w:r>
        <w:rPr>
          <w:spacing w:val="-15"/>
        </w:rPr>
        <w:t> </w:t>
      </w:r>
      <w:r>
        <w:rPr/>
        <w:t>to</w:t>
      </w:r>
      <w:r>
        <w:rPr>
          <w:spacing w:val="-15"/>
        </w:rPr>
        <w:t> </w:t>
      </w:r>
      <w:r>
        <w:rPr/>
        <w:t>compostable</w:t>
      </w:r>
      <w:r>
        <w:rPr>
          <w:spacing w:val="-15"/>
        </w:rPr>
        <w:t> </w:t>
      </w:r>
      <w:r>
        <w:rPr/>
        <w:t>packaging</w:t>
      </w:r>
      <w:r>
        <w:rPr>
          <w:spacing w:val="-15"/>
        </w:rPr>
        <w:t> </w:t>
      </w:r>
      <w:r>
        <w:rPr/>
        <w:t>in</w:t>
      </w:r>
      <w:r>
        <w:rPr>
          <w:spacing w:val="-15"/>
        </w:rPr>
        <w:t> </w:t>
      </w:r>
      <w:r>
        <w:rPr/>
        <w:t>the</w:t>
      </w:r>
      <w:r>
        <w:rPr>
          <w:spacing w:val="-15"/>
        </w:rPr>
        <w:t> </w:t>
      </w:r>
      <w:r>
        <w:rPr/>
        <w:t>context</w:t>
      </w:r>
      <w:r>
        <w:rPr>
          <w:spacing w:val="-15"/>
        </w:rPr>
        <w:t> </w:t>
      </w:r>
      <w:r>
        <w:rPr/>
        <w:t>of</w:t>
      </w:r>
      <w:r>
        <w:rPr>
          <w:spacing w:val="-15"/>
        </w:rPr>
        <w:t> </w:t>
      </w:r>
      <w:r>
        <w:rPr/>
        <w:t>Mapua</w:t>
      </w:r>
      <w:r>
        <w:rPr>
          <w:spacing w:val="-15"/>
        </w:rPr>
        <w:t> </w:t>
      </w:r>
      <w:r>
        <w:rPr/>
        <w:t>MCM can be effectively guided with two theoretical lenses; the Cost-Benefit Analysis Theory (CBA) and the Theory of Planned Behavior (TPB).</w:t>
      </w:r>
      <w:r>
        <w:rPr>
          <w:spacing w:val="40"/>
        </w:rPr>
        <w:t> </w:t>
      </w:r>
      <w:r>
        <w:rPr/>
        <w:t>The Cost-Benefit Analysis Theory provides</w:t>
      </w:r>
      <w:r>
        <w:rPr>
          <w:spacing w:val="-6"/>
        </w:rPr>
        <w:t> </w:t>
      </w:r>
      <w:r>
        <w:rPr/>
        <w:t>a</w:t>
      </w:r>
      <w:r>
        <w:rPr>
          <w:spacing w:val="-5"/>
        </w:rPr>
        <w:t> </w:t>
      </w:r>
      <w:r>
        <w:rPr/>
        <w:t>systematic</w:t>
      </w:r>
      <w:r>
        <w:rPr>
          <w:spacing w:val="-6"/>
        </w:rPr>
        <w:t> </w:t>
      </w:r>
      <w:r>
        <w:rPr/>
        <w:t>comparison</w:t>
      </w:r>
      <w:r>
        <w:rPr>
          <w:spacing w:val="-5"/>
        </w:rPr>
        <w:t> </w:t>
      </w:r>
      <w:r>
        <w:rPr/>
        <w:t>on</w:t>
      </w:r>
      <w:r>
        <w:rPr>
          <w:spacing w:val="-6"/>
        </w:rPr>
        <w:t> </w:t>
      </w:r>
      <w:r>
        <w:rPr/>
        <w:t>the</w:t>
      </w:r>
      <w:r>
        <w:rPr>
          <w:spacing w:val="-3"/>
        </w:rPr>
        <w:t> </w:t>
      </w:r>
      <w:r>
        <w:rPr/>
        <w:t>costs</w:t>
      </w:r>
      <w:r>
        <w:rPr>
          <w:spacing w:val="-5"/>
        </w:rPr>
        <w:t> </w:t>
      </w:r>
      <w:r>
        <w:rPr/>
        <w:t>of</w:t>
      </w:r>
      <w:r>
        <w:rPr>
          <w:spacing w:val="-2"/>
        </w:rPr>
        <w:t> </w:t>
      </w:r>
      <w:r>
        <w:rPr/>
        <w:t>compostable</w:t>
      </w:r>
      <w:r>
        <w:rPr>
          <w:spacing w:val="-7"/>
        </w:rPr>
        <w:t> </w:t>
      </w:r>
      <w:r>
        <w:rPr/>
        <w:t>packaging</w:t>
      </w:r>
      <w:r>
        <w:rPr>
          <w:spacing w:val="-6"/>
        </w:rPr>
        <w:t> </w:t>
      </w:r>
      <w:r>
        <w:rPr/>
        <w:t>with</w:t>
      </w:r>
      <w:r>
        <w:rPr>
          <w:spacing w:val="-5"/>
        </w:rPr>
        <w:t> </w:t>
      </w:r>
      <w:r>
        <w:rPr/>
        <w:t>its</w:t>
      </w:r>
      <w:r>
        <w:rPr>
          <w:spacing w:val="-6"/>
        </w:rPr>
        <w:t> </w:t>
      </w:r>
      <w:r>
        <w:rPr/>
        <w:t>potential benefits, such as reduced waste disposal expenses, environmental gains, and enhanced institutional reputation. (Mishan &amp; Quah, 2020). In the context of the Mapúa MCM canteen, this framework enables an evaluation of whether the transition can generate positive</w:t>
      </w:r>
      <w:r>
        <w:rPr>
          <w:spacing w:val="-4"/>
        </w:rPr>
        <w:t> </w:t>
      </w:r>
      <w:r>
        <w:rPr/>
        <w:t>net</w:t>
      </w:r>
      <w:r>
        <w:rPr>
          <w:spacing w:val="-3"/>
        </w:rPr>
        <w:t> </w:t>
      </w:r>
      <w:r>
        <w:rPr/>
        <w:t>value</w:t>
      </w:r>
      <w:r>
        <w:rPr>
          <w:spacing w:val="-4"/>
        </w:rPr>
        <w:t> </w:t>
      </w:r>
      <w:r>
        <w:rPr/>
        <w:t>in</w:t>
      </w:r>
      <w:r>
        <w:rPr>
          <w:spacing w:val="-3"/>
        </w:rPr>
        <w:t> </w:t>
      </w:r>
      <w:r>
        <w:rPr/>
        <w:t>the</w:t>
      </w:r>
      <w:r>
        <w:rPr>
          <w:spacing w:val="-4"/>
        </w:rPr>
        <w:t> </w:t>
      </w:r>
      <w:r>
        <w:rPr/>
        <w:t>long</w:t>
      </w:r>
      <w:r>
        <w:rPr>
          <w:spacing w:val="-6"/>
        </w:rPr>
        <w:t> </w:t>
      </w:r>
      <w:r>
        <w:rPr/>
        <w:t>term,</w:t>
      </w:r>
      <w:r>
        <w:rPr>
          <w:spacing w:val="-3"/>
        </w:rPr>
        <w:t> </w:t>
      </w:r>
      <w:r>
        <w:rPr/>
        <w:t>despite</w:t>
      </w:r>
      <w:r>
        <w:rPr>
          <w:spacing w:val="-4"/>
        </w:rPr>
        <w:t> </w:t>
      </w:r>
      <w:r>
        <w:rPr/>
        <w:t>challenges</w:t>
      </w:r>
      <w:r>
        <w:rPr>
          <w:spacing w:val="-3"/>
        </w:rPr>
        <w:t> </w:t>
      </w:r>
      <w:r>
        <w:rPr/>
        <w:t>such</w:t>
      </w:r>
      <w:r>
        <w:rPr>
          <w:spacing w:val="-3"/>
        </w:rPr>
        <w:t> </w:t>
      </w:r>
      <w:r>
        <w:rPr/>
        <w:t>as</w:t>
      </w:r>
      <w:r>
        <w:rPr>
          <w:spacing w:val="-3"/>
        </w:rPr>
        <w:t> </w:t>
      </w:r>
      <w:r>
        <w:rPr/>
        <w:t>higher</w:t>
      </w:r>
      <w:r>
        <w:rPr>
          <w:spacing w:val="-3"/>
        </w:rPr>
        <w:t> </w:t>
      </w:r>
      <w:r>
        <w:rPr/>
        <w:t>material</w:t>
      </w:r>
      <w:r>
        <w:rPr>
          <w:spacing w:val="-3"/>
        </w:rPr>
        <w:t> </w:t>
      </w:r>
      <w:r>
        <w:rPr/>
        <w:t>costs.</w:t>
      </w:r>
      <w:r>
        <w:rPr>
          <w:spacing w:val="-3"/>
        </w:rPr>
        <w:t> </w:t>
      </w:r>
      <w:r>
        <w:rPr/>
        <w:t>At</w:t>
      </w:r>
      <w:r>
        <w:rPr>
          <w:spacing w:val="-3"/>
        </w:rPr>
        <w:t> </w:t>
      </w:r>
      <w:r>
        <w:rPr/>
        <w:t>the same</w:t>
      </w:r>
      <w:r>
        <w:rPr>
          <w:spacing w:val="-2"/>
        </w:rPr>
        <w:t> </w:t>
      </w:r>
      <w:r>
        <w:rPr/>
        <w:t>time,</w:t>
      </w:r>
      <w:r>
        <w:rPr>
          <w:spacing w:val="-2"/>
        </w:rPr>
        <w:t> </w:t>
      </w:r>
      <w:r>
        <w:rPr/>
        <w:t>the</w:t>
      </w:r>
      <w:r>
        <w:rPr>
          <w:spacing w:val="-1"/>
        </w:rPr>
        <w:t> </w:t>
      </w:r>
      <w:r>
        <w:rPr/>
        <w:t>Theory</w:t>
      </w:r>
      <w:r>
        <w:rPr>
          <w:spacing w:val="-7"/>
        </w:rPr>
        <w:t> </w:t>
      </w:r>
      <w:r>
        <w:rPr/>
        <w:t>of</w:t>
      </w:r>
      <w:r>
        <w:rPr>
          <w:spacing w:val="-1"/>
        </w:rPr>
        <w:t> </w:t>
      </w:r>
      <w:r>
        <w:rPr/>
        <w:t>Planned Behavior</w:t>
      </w:r>
      <w:r>
        <w:rPr>
          <w:spacing w:val="-2"/>
        </w:rPr>
        <w:t> </w:t>
      </w:r>
      <w:r>
        <w:rPr/>
        <w:t>(TPB),</w:t>
      </w:r>
      <w:r>
        <w:rPr>
          <w:spacing w:val="-2"/>
        </w:rPr>
        <w:t> </w:t>
      </w:r>
      <w:r>
        <w:rPr/>
        <w:t>formulated</w:t>
      </w:r>
      <w:r>
        <w:rPr>
          <w:spacing w:val="-1"/>
        </w:rPr>
        <w:t> </w:t>
      </w:r>
      <w:r>
        <w:rPr/>
        <w:t>by</w:t>
      </w:r>
      <w:r>
        <w:rPr>
          <w:spacing w:val="-7"/>
        </w:rPr>
        <w:t> </w:t>
      </w:r>
      <w:r>
        <w:rPr/>
        <w:t>Ajzen (1991,</w:t>
      </w:r>
      <w:r>
        <w:rPr>
          <w:spacing w:val="-2"/>
        </w:rPr>
        <w:t> </w:t>
      </w:r>
      <w:r>
        <w:rPr/>
        <w:t>as cited</w:t>
      </w:r>
      <w:r>
        <w:rPr>
          <w:spacing w:val="-2"/>
        </w:rPr>
        <w:t> </w:t>
      </w:r>
      <w:r>
        <w:rPr/>
        <w:t>in Sarmah</w:t>
      </w:r>
      <w:r>
        <w:rPr>
          <w:spacing w:val="-3"/>
        </w:rPr>
        <w:t> </w:t>
      </w:r>
      <w:r>
        <w:rPr/>
        <w:t>&amp;</w:t>
      </w:r>
      <w:r>
        <w:rPr>
          <w:spacing w:val="-4"/>
        </w:rPr>
        <w:t> </w:t>
      </w:r>
      <w:r>
        <w:rPr/>
        <w:t>Singh,</w:t>
      </w:r>
      <w:r>
        <w:rPr>
          <w:spacing w:val="-3"/>
        </w:rPr>
        <w:t> </w:t>
      </w:r>
      <w:r>
        <w:rPr/>
        <w:t>2024)</w:t>
      </w:r>
      <w:r>
        <w:rPr>
          <w:spacing w:val="-4"/>
        </w:rPr>
        <w:t> </w:t>
      </w:r>
      <w:r>
        <w:rPr/>
        <w:t>stated</w:t>
      </w:r>
      <w:r>
        <w:rPr>
          <w:spacing w:val="-3"/>
        </w:rPr>
        <w:t> </w:t>
      </w:r>
      <w:r>
        <w:rPr/>
        <w:t>that</w:t>
      </w:r>
      <w:r>
        <w:rPr>
          <w:spacing w:val="-3"/>
        </w:rPr>
        <w:t> </w:t>
      </w:r>
      <w:r>
        <w:rPr/>
        <w:t>the</w:t>
      </w:r>
      <w:r>
        <w:rPr>
          <w:spacing w:val="-3"/>
        </w:rPr>
        <w:t> </w:t>
      </w:r>
      <w:r>
        <w:rPr/>
        <w:t>TPB</w:t>
      </w:r>
      <w:r>
        <w:rPr>
          <w:spacing w:val="-4"/>
        </w:rPr>
        <w:t> </w:t>
      </w:r>
      <w:r>
        <w:rPr/>
        <w:t>“posits</w:t>
      </w:r>
      <w:r>
        <w:rPr>
          <w:spacing w:val="-4"/>
        </w:rPr>
        <w:t> </w:t>
      </w:r>
      <w:r>
        <w:rPr/>
        <w:t>that</w:t>
      </w:r>
      <w:r>
        <w:rPr>
          <w:spacing w:val="-3"/>
        </w:rPr>
        <w:t> </w:t>
      </w:r>
      <w:r>
        <w:rPr/>
        <w:t>an</w:t>
      </w:r>
      <w:r>
        <w:rPr>
          <w:spacing w:val="-3"/>
        </w:rPr>
        <w:t> </w:t>
      </w:r>
      <w:r>
        <w:rPr/>
        <w:t>individual's</w:t>
      </w:r>
      <w:r>
        <w:rPr>
          <w:spacing w:val="-4"/>
        </w:rPr>
        <w:t> </w:t>
      </w:r>
      <w:r>
        <w:rPr/>
        <w:t>intention</w:t>
      </w:r>
      <w:r>
        <w:rPr>
          <w:spacing w:val="-3"/>
        </w:rPr>
        <w:t> </w:t>
      </w:r>
      <w:r>
        <w:rPr/>
        <w:t>to</w:t>
      </w:r>
      <w:r>
        <w:rPr>
          <w:spacing w:val="-3"/>
        </w:rPr>
        <w:t> </w:t>
      </w:r>
      <w:r>
        <w:rPr/>
        <w:t>engage in a particular behavior is determined by their attitudes, subjective norms, and perceived behavioral</w:t>
      </w:r>
      <w:r>
        <w:rPr>
          <w:spacing w:val="-17"/>
        </w:rPr>
        <w:t> </w:t>
      </w:r>
      <w:r>
        <w:rPr/>
        <w:t>control”</w:t>
      </w:r>
      <w:r>
        <w:rPr>
          <w:spacing w:val="-15"/>
        </w:rPr>
        <w:t> </w:t>
      </w:r>
      <w:r>
        <w:rPr/>
        <w:t>(p.</w:t>
      </w:r>
      <w:r>
        <w:rPr>
          <w:spacing w:val="-14"/>
        </w:rPr>
        <w:t> </w:t>
      </w:r>
      <w:r>
        <w:rPr/>
        <w:t>03).</w:t>
      </w:r>
      <w:r>
        <w:rPr>
          <w:spacing w:val="-15"/>
        </w:rPr>
        <w:t> </w:t>
      </w:r>
      <w:r>
        <w:rPr/>
        <w:t>The</w:t>
      </w:r>
      <w:r>
        <w:rPr>
          <w:spacing w:val="-15"/>
        </w:rPr>
        <w:t> </w:t>
      </w:r>
      <w:r>
        <w:rPr/>
        <w:t>TPB</w:t>
      </w:r>
      <w:r>
        <w:rPr>
          <w:spacing w:val="-15"/>
        </w:rPr>
        <w:t> </w:t>
      </w:r>
      <w:r>
        <w:rPr/>
        <w:t>explains</w:t>
      </w:r>
      <w:r>
        <w:rPr>
          <w:spacing w:val="-14"/>
        </w:rPr>
        <w:t> </w:t>
      </w:r>
      <w:r>
        <w:rPr/>
        <w:t>that</w:t>
      </w:r>
      <w:r>
        <w:rPr>
          <w:spacing w:val="-15"/>
        </w:rPr>
        <w:t> </w:t>
      </w:r>
      <w:r>
        <w:rPr/>
        <w:t>attitudes</w:t>
      </w:r>
      <w:r>
        <w:rPr>
          <w:spacing w:val="-13"/>
        </w:rPr>
        <w:t> </w:t>
      </w:r>
      <w:r>
        <w:rPr/>
        <w:t>toward</w:t>
      </w:r>
      <w:r>
        <w:rPr>
          <w:spacing w:val="-15"/>
        </w:rPr>
        <w:t> </w:t>
      </w:r>
      <w:r>
        <w:rPr/>
        <w:t>compostable</w:t>
      </w:r>
      <w:r>
        <w:rPr>
          <w:spacing w:val="-14"/>
        </w:rPr>
        <w:t> </w:t>
      </w:r>
      <w:r>
        <w:rPr>
          <w:spacing w:val="-2"/>
        </w:rPr>
        <w:t>packaging,</w:t>
      </w:r>
    </w:p>
    <w:p>
      <w:pPr>
        <w:pStyle w:val="BodyText"/>
        <w:spacing w:after="0" w:line="480" w:lineRule="auto"/>
        <w:jc w:val="both"/>
        <w:sectPr>
          <w:pgSz w:w="12240" w:h="15840"/>
          <w:pgMar w:header="763" w:footer="0" w:top="1340" w:bottom="280" w:left="1800" w:right="360"/>
        </w:sectPr>
      </w:pPr>
    </w:p>
    <w:p>
      <w:pPr>
        <w:pStyle w:val="BodyText"/>
        <w:spacing w:line="480" w:lineRule="auto" w:before="80"/>
        <w:ind w:left="326" w:right="1081"/>
        <w:jc w:val="both"/>
      </w:pPr>
      <w:r>
        <w:rPr/>
        <w:t>perceived social expectations, and the ease of adopting such changes influence students’ and</w:t>
      </w:r>
      <w:r>
        <w:rPr>
          <w:spacing w:val="-1"/>
        </w:rPr>
        <w:t> </w:t>
      </w:r>
      <w:r>
        <w:rPr/>
        <w:t>consumers’</w:t>
      </w:r>
      <w:r>
        <w:rPr>
          <w:spacing w:val="-2"/>
        </w:rPr>
        <w:t> </w:t>
      </w:r>
      <w:r>
        <w:rPr/>
        <w:t>willingness to</w:t>
      </w:r>
      <w:r>
        <w:rPr>
          <w:spacing w:val="-1"/>
        </w:rPr>
        <w:t> </w:t>
      </w:r>
      <w:r>
        <w:rPr/>
        <w:t>participate in</w:t>
      </w:r>
      <w:r>
        <w:rPr>
          <w:spacing w:val="-1"/>
        </w:rPr>
        <w:t> </w:t>
      </w:r>
      <w:r>
        <w:rPr/>
        <w:t>and</w:t>
      </w:r>
      <w:r>
        <w:rPr>
          <w:spacing w:val="-1"/>
        </w:rPr>
        <w:t> </w:t>
      </w:r>
      <w:r>
        <w:rPr/>
        <w:t>support</w:t>
      </w:r>
      <w:r>
        <w:rPr>
          <w:spacing w:val="-1"/>
        </w:rPr>
        <w:t> </w:t>
      </w:r>
      <w:r>
        <w:rPr/>
        <w:t>the</w:t>
      </w:r>
      <w:r>
        <w:rPr>
          <w:spacing w:val="-2"/>
        </w:rPr>
        <w:t> </w:t>
      </w:r>
      <w:r>
        <w:rPr/>
        <w:t>transition.</w:t>
      </w:r>
      <w:r>
        <w:rPr>
          <w:spacing w:val="-1"/>
        </w:rPr>
        <w:t> </w:t>
      </w:r>
      <w:r>
        <w:rPr/>
        <w:t>For example,</w:t>
      </w:r>
      <w:r>
        <w:rPr>
          <w:spacing w:val="-1"/>
        </w:rPr>
        <w:t> </w:t>
      </w:r>
      <w:r>
        <w:rPr/>
        <w:t>even if compostable packaging is economically justifiable, resistance from consumers due to perceived inconvenience or indifference toward environmental issues may hinder its success. Together, these theories provide a holistic framework that integrates economic evaluation with behavioral insights. The combination ensures that the study does not only address the financial feasibility</w:t>
      </w:r>
      <w:r>
        <w:rPr>
          <w:spacing w:val="-4"/>
        </w:rPr>
        <w:t> </w:t>
      </w:r>
      <w:r>
        <w:rPr/>
        <w:t>of adopting compostable packaging but also considers the social dynamics that determine whether the transition will be sustainable and effective in practice in the Mapua MCM community.</w:t>
      </w:r>
    </w:p>
    <w:p>
      <w:pPr>
        <w:pStyle w:val="BodyText"/>
        <w:spacing w:line="480" w:lineRule="auto" w:before="1"/>
        <w:ind w:left="326" w:right="1077" w:firstLine="720"/>
        <w:jc w:val="both"/>
      </w:pPr>
      <w:r>
        <w:rPr/>
        <w:t>Sustainable packaging has received increasing attention in recent years; however, several gaps remain in the existing research, specifically within the context of Philippine educational institutions. Many studies are based on international models, which may not accurately reflect the economic conditions, infrastructure limitations, and behavioral dynamics present in local university settings such as Mapúa MCM. For example, there is limited investigation into whether campuses have the necessary systems to support compostable packaging, including waste segregation and composting facilities. Additionally,</w:t>
      </w:r>
      <w:r>
        <w:rPr>
          <w:spacing w:val="-15"/>
        </w:rPr>
        <w:t> </w:t>
      </w:r>
      <w:r>
        <w:rPr/>
        <w:t>while</w:t>
      </w:r>
      <w:r>
        <w:rPr>
          <w:spacing w:val="-15"/>
        </w:rPr>
        <w:t> </w:t>
      </w:r>
      <w:r>
        <w:rPr/>
        <w:t>behavioral</w:t>
      </w:r>
      <w:r>
        <w:rPr>
          <w:spacing w:val="-15"/>
        </w:rPr>
        <w:t> </w:t>
      </w:r>
      <w:r>
        <w:rPr/>
        <w:t>theories,</w:t>
      </w:r>
      <w:r>
        <w:rPr>
          <w:spacing w:val="-14"/>
        </w:rPr>
        <w:t> </w:t>
      </w:r>
      <w:r>
        <w:rPr/>
        <w:t>such</w:t>
      </w:r>
      <w:r>
        <w:rPr>
          <w:spacing w:val="-13"/>
        </w:rPr>
        <w:t> </w:t>
      </w:r>
      <w:r>
        <w:rPr/>
        <w:t>as</w:t>
      </w:r>
      <w:r>
        <w:rPr>
          <w:spacing w:val="-15"/>
        </w:rPr>
        <w:t> </w:t>
      </w:r>
      <w:r>
        <w:rPr/>
        <w:t>the</w:t>
      </w:r>
      <w:r>
        <w:rPr>
          <w:spacing w:val="-13"/>
        </w:rPr>
        <w:t> </w:t>
      </w:r>
      <w:r>
        <w:rPr/>
        <w:t>Theory</w:t>
      </w:r>
      <w:r>
        <w:rPr>
          <w:spacing w:val="-15"/>
        </w:rPr>
        <w:t> </w:t>
      </w:r>
      <w:r>
        <w:rPr/>
        <w:t>of</w:t>
      </w:r>
      <w:r>
        <w:rPr>
          <w:spacing w:val="-14"/>
        </w:rPr>
        <w:t> </w:t>
      </w:r>
      <w:r>
        <w:rPr/>
        <w:t>Planned</w:t>
      </w:r>
      <w:r>
        <w:rPr>
          <w:spacing w:val="-13"/>
        </w:rPr>
        <w:t> </w:t>
      </w:r>
      <w:r>
        <w:rPr/>
        <w:t>Behavior,</w:t>
      </w:r>
      <w:r>
        <w:rPr>
          <w:spacing w:val="-15"/>
        </w:rPr>
        <w:t> </w:t>
      </w:r>
      <w:r>
        <w:rPr/>
        <w:t>have</w:t>
      </w:r>
      <w:r>
        <w:rPr>
          <w:spacing w:val="-15"/>
        </w:rPr>
        <w:t> </w:t>
      </w:r>
      <w:r>
        <w:rPr/>
        <w:t>been widely</w:t>
      </w:r>
      <w:r>
        <w:rPr>
          <w:spacing w:val="-8"/>
        </w:rPr>
        <w:t> </w:t>
      </w:r>
      <w:r>
        <w:rPr/>
        <w:t>applied,</w:t>
      </w:r>
      <w:r>
        <w:rPr>
          <w:spacing w:val="-4"/>
        </w:rPr>
        <w:t> </w:t>
      </w:r>
      <w:r>
        <w:rPr/>
        <w:t>few</w:t>
      </w:r>
      <w:r>
        <w:rPr>
          <w:spacing w:val="-4"/>
        </w:rPr>
        <w:t> </w:t>
      </w:r>
      <w:r>
        <w:rPr/>
        <w:t>studies</w:t>
      </w:r>
      <w:r>
        <w:rPr>
          <w:spacing w:val="-4"/>
        </w:rPr>
        <w:t> </w:t>
      </w:r>
      <w:r>
        <w:rPr/>
        <w:t>have</w:t>
      </w:r>
      <w:r>
        <w:rPr>
          <w:spacing w:val="-5"/>
        </w:rPr>
        <w:t> </w:t>
      </w:r>
      <w:r>
        <w:rPr/>
        <w:t>examined</w:t>
      </w:r>
      <w:r>
        <w:rPr>
          <w:spacing w:val="-4"/>
        </w:rPr>
        <w:t> </w:t>
      </w:r>
      <w:r>
        <w:rPr/>
        <w:t>how</w:t>
      </w:r>
      <w:r>
        <w:rPr>
          <w:spacing w:val="-4"/>
        </w:rPr>
        <w:t> </w:t>
      </w:r>
      <w:r>
        <w:rPr/>
        <w:t>Filipino</w:t>
      </w:r>
      <w:r>
        <w:rPr>
          <w:spacing w:val="-4"/>
        </w:rPr>
        <w:t> </w:t>
      </w:r>
      <w:r>
        <w:rPr/>
        <w:t>students</w:t>
      </w:r>
      <w:r>
        <w:rPr>
          <w:spacing w:val="-5"/>
        </w:rPr>
        <w:t> </w:t>
      </w:r>
      <w:r>
        <w:rPr/>
        <w:t>and</w:t>
      </w:r>
      <w:r>
        <w:rPr>
          <w:spacing w:val="-4"/>
        </w:rPr>
        <w:t> </w:t>
      </w:r>
      <w:r>
        <w:rPr/>
        <w:t>faculty</w:t>
      </w:r>
      <w:r>
        <w:rPr>
          <w:spacing w:val="-6"/>
        </w:rPr>
        <w:t> </w:t>
      </w:r>
      <w:r>
        <w:rPr/>
        <w:t>perceive</w:t>
      </w:r>
      <w:r>
        <w:rPr>
          <w:spacing w:val="-4"/>
        </w:rPr>
        <w:t> </w:t>
      </w:r>
      <w:r>
        <w:rPr/>
        <w:t>and respond to sustainable packaging initiatives. The role of canteen vendors is sometimes overlooked, despite their involvement in implementation and their concerns about cost, durability, and supply. Reusable packaging is also often discussed as a viable alternative, yet</w:t>
      </w:r>
      <w:r>
        <w:rPr>
          <w:spacing w:val="30"/>
        </w:rPr>
        <w:t>  </w:t>
      </w:r>
      <w:r>
        <w:rPr/>
        <w:t>studies</w:t>
      </w:r>
      <w:r>
        <w:rPr>
          <w:spacing w:val="32"/>
        </w:rPr>
        <w:t>  </w:t>
      </w:r>
      <w:r>
        <w:rPr/>
        <w:t>evaluating</w:t>
      </w:r>
      <w:r>
        <w:rPr>
          <w:spacing w:val="31"/>
        </w:rPr>
        <w:t>  </w:t>
      </w:r>
      <w:r>
        <w:rPr/>
        <w:t>its</w:t>
      </w:r>
      <w:r>
        <w:rPr>
          <w:spacing w:val="30"/>
        </w:rPr>
        <w:t>  </w:t>
      </w:r>
      <w:r>
        <w:rPr/>
        <w:t>practicality</w:t>
      </w:r>
      <w:r>
        <w:rPr>
          <w:spacing w:val="29"/>
        </w:rPr>
        <w:t>  </w:t>
      </w:r>
      <w:r>
        <w:rPr/>
        <w:t>alongside</w:t>
      </w:r>
      <w:r>
        <w:rPr>
          <w:spacing w:val="31"/>
        </w:rPr>
        <w:t>  </w:t>
      </w:r>
      <w:r>
        <w:rPr/>
        <w:t>compostable</w:t>
      </w:r>
      <w:r>
        <w:rPr>
          <w:spacing w:val="30"/>
        </w:rPr>
        <w:t>  </w:t>
      </w:r>
      <w:r>
        <w:rPr/>
        <w:t>options</w:t>
      </w:r>
      <w:r>
        <w:rPr>
          <w:spacing w:val="30"/>
        </w:rPr>
        <w:t>  </w:t>
      </w:r>
      <w:r>
        <w:rPr/>
        <w:t>in</w:t>
      </w:r>
      <w:r>
        <w:rPr>
          <w:spacing w:val="31"/>
        </w:rPr>
        <w:t>  </w:t>
      </w:r>
      <w:r>
        <w:rPr>
          <w:spacing w:val="-2"/>
        </w:rPr>
        <w:t>campus</w:t>
      </w:r>
    </w:p>
    <w:p>
      <w:pPr>
        <w:pStyle w:val="BodyText"/>
        <w:spacing w:after="0" w:line="480" w:lineRule="auto"/>
        <w:jc w:val="both"/>
        <w:sectPr>
          <w:pgSz w:w="12240" w:h="15840"/>
          <w:pgMar w:header="763" w:footer="0" w:top="1340" w:bottom="280" w:left="1800" w:right="360"/>
        </w:sectPr>
      </w:pPr>
    </w:p>
    <w:p>
      <w:pPr>
        <w:pStyle w:val="BodyText"/>
        <w:spacing w:line="480" w:lineRule="auto" w:before="80"/>
        <w:ind w:left="326" w:right="1083"/>
        <w:jc w:val="both"/>
      </w:pPr>
      <w:r>
        <w:rPr/>
        <w:t>environments are scarce. There is also a need to examine how institutional policies and local regulations either support or hinder these transitions.</w:t>
      </w:r>
    </w:p>
    <w:p>
      <w:pPr>
        <w:pStyle w:val="BodyText"/>
        <w:spacing w:line="480" w:lineRule="auto"/>
        <w:ind w:left="326" w:right="1079" w:firstLine="720"/>
        <w:jc w:val="both"/>
      </w:pPr>
      <w:r>
        <w:rPr/>
        <w:t>This study aims to determine the feasibility of transitioning from plastic to compostable</w:t>
      </w:r>
      <w:r>
        <w:rPr>
          <w:spacing w:val="-7"/>
        </w:rPr>
        <w:t> </w:t>
      </w:r>
      <w:r>
        <w:rPr/>
        <w:t>packaging</w:t>
      </w:r>
      <w:r>
        <w:rPr>
          <w:spacing w:val="-8"/>
        </w:rPr>
        <w:t> </w:t>
      </w:r>
      <w:r>
        <w:rPr/>
        <w:t>by</w:t>
      </w:r>
      <w:r>
        <w:rPr>
          <w:spacing w:val="-8"/>
        </w:rPr>
        <w:t> </w:t>
      </w:r>
      <w:r>
        <w:rPr/>
        <w:t>assessing</w:t>
      </w:r>
      <w:r>
        <w:rPr>
          <w:spacing w:val="-8"/>
        </w:rPr>
        <w:t> </w:t>
      </w:r>
      <w:r>
        <w:rPr/>
        <w:t>the</w:t>
      </w:r>
      <w:r>
        <w:rPr>
          <w:spacing w:val="-6"/>
        </w:rPr>
        <w:t> </w:t>
      </w:r>
      <w:r>
        <w:rPr/>
        <w:t>long-term</w:t>
      </w:r>
      <w:r>
        <w:rPr>
          <w:spacing w:val="-6"/>
        </w:rPr>
        <w:t> </w:t>
      </w:r>
      <w:r>
        <w:rPr/>
        <w:t>viability</w:t>
      </w:r>
      <w:r>
        <w:rPr>
          <w:spacing w:val="-13"/>
        </w:rPr>
        <w:t> </w:t>
      </w:r>
      <w:r>
        <w:rPr/>
        <w:t>for</w:t>
      </w:r>
      <w:r>
        <w:rPr>
          <w:spacing w:val="-7"/>
        </w:rPr>
        <w:t> </w:t>
      </w:r>
      <w:r>
        <w:rPr/>
        <w:t>vendors</w:t>
      </w:r>
      <w:r>
        <w:rPr>
          <w:spacing w:val="-6"/>
        </w:rPr>
        <w:t> </w:t>
      </w:r>
      <w:r>
        <w:rPr/>
        <w:t>and</w:t>
      </w:r>
      <w:r>
        <w:rPr>
          <w:spacing w:val="-4"/>
        </w:rPr>
        <w:t> </w:t>
      </w:r>
      <w:r>
        <w:rPr/>
        <w:t>evaluating</w:t>
      </w:r>
      <w:r>
        <w:rPr>
          <w:spacing w:val="-8"/>
        </w:rPr>
        <w:t> </w:t>
      </w:r>
      <w:r>
        <w:rPr/>
        <w:t>the attitudes, perceived social pressures, and perceived behavioral control of the students and professors in adopting the sustainable practice in the Mapúa MCM canteen. This study seeks to understand how the</w:t>
      </w:r>
      <w:r>
        <w:rPr>
          <w:spacing w:val="-1"/>
        </w:rPr>
        <w:t> </w:t>
      </w:r>
      <w:r>
        <w:rPr/>
        <w:t>transition can be</w:t>
      </w:r>
      <w:r>
        <w:rPr>
          <w:spacing w:val="-1"/>
        </w:rPr>
        <w:t> </w:t>
      </w:r>
      <w:r>
        <w:rPr/>
        <w:t>effectively</w:t>
      </w:r>
      <w:r>
        <w:rPr>
          <w:spacing w:val="-5"/>
        </w:rPr>
        <w:t> </w:t>
      </w:r>
      <w:r>
        <w:rPr/>
        <w:t>implemented</w:t>
      </w:r>
      <w:r>
        <w:rPr>
          <w:spacing w:val="-1"/>
        </w:rPr>
        <w:t> </w:t>
      </w:r>
      <w:r>
        <w:rPr/>
        <w:t>within the</w:t>
      </w:r>
      <w:r>
        <w:rPr>
          <w:spacing w:val="-1"/>
        </w:rPr>
        <w:t> </w:t>
      </w:r>
      <w:r>
        <w:rPr/>
        <w:t>campus, considering not just the social acceptance but also the economic implications for the canteen</w:t>
      </w:r>
      <w:r>
        <w:rPr>
          <w:spacing w:val="-5"/>
        </w:rPr>
        <w:t> </w:t>
      </w:r>
      <w:r>
        <w:rPr/>
        <w:t>vendors.</w:t>
      </w:r>
      <w:r>
        <w:rPr>
          <w:spacing w:val="-8"/>
        </w:rPr>
        <w:t> </w:t>
      </w:r>
      <w:r>
        <w:rPr/>
        <w:t>The</w:t>
      </w:r>
      <w:r>
        <w:rPr>
          <w:spacing w:val="-4"/>
        </w:rPr>
        <w:t> </w:t>
      </w:r>
      <w:r>
        <w:rPr/>
        <w:t>goal</w:t>
      </w:r>
      <w:r>
        <w:rPr>
          <w:spacing w:val="-7"/>
        </w:rPr>
        <w:t> </w:t>
      </w:r>
      <w:r>
        <w:rPr/>
        <w:t>of</w:t>
      </w:r>
      <w:r>
        <w:rPr>
          <w:spacing w:val="-8"/>
        </w:rPr>
        <w:t> </w:t>
      </w:r>
      <w:r>
        <w:rPr/>
        <w:t>this</w:t>
      </w:r>
      <w:r>
        <w:rPr>
          <w:spacing w:val="-7"/>
        </w:rPr>
        <w:t> </w:t>
      </w:r>
      <w:r>
        <w:rPr/>
        <w:t>study</w:t>
      </w:r>
      <w:r>
        <w:rPr>
          <w:spacing w:val="-12"/>
        </w:rPr>
        <w:t> </w:t>
      </w:r>
      <w:r>
        <w:rPr/>
        <w:t>is</w:t>
      </w:r>
      <w:r>
        <w:rPr>
          <w:spacing w:val="-7"/>
        </w:rPr>
        <w:t> </w:t>
      </w:r>
      <w:r>
        <w:rPr/>
        <w:t>to</w:t>
      </w:r>
      <w:r>
        <w:rPr>
          <w:spacing w:val="-5"/>
        </w:rPr>
        <w:t> </w:t>
      </w:r>
      <w:r>
        <w:rPr/>
        <w:t>provide</w:t>
      </w:r>
      <w:r>
        <w:rPr>
          <w:spacing w:val="-8"/>
        </w:rPr>
        <w:t> </w:t>
      </w:r>
      <w:r>
        <w:rPr/>
        <w:t>a</w:t>
      </w:r>
      <w:r>
        <w:rPr>
          <w:spacing w:val="-6"/>
        </w:rPr>
        <w:t> </w:t>
      </w:r>
      <w:r>
        <w:rPr/>
        <w:t>better</w:t>
      </w:r>
      <w:r>
        <w:rPr>
          <w:spacing w:val="-6"/>
        </w:rPr>
        <w:t> </w:t>
      </w:r>
      <w:r>
        <w:rPr/>
        <w:t>understanding</w:t>
      </w:r>
      <w:r>
        <w:rPr>
          <w:spacing w:val="-7"/>
        </w:rPr>
        <w:t> </w:t>
      </w:r>
      <w:r>
        <w:rPr/>
        <w:t>that</w:t>
      </w:r>
      <w:r>
        <w:rPr>
          <w:spacing w:val="-4"/>
        </w:rPr>
        <w:t> </w:t>
      </w:r>
      <w:r>
        <w:rPr/>
        <w:t>guarantees the shift is financially viable and fully supported by the whole campus community to contribute in regulating the use of single-use products.</w:t>
      </w:r>
    </w:p>
    <w:p>
      <w:pPr>
        <w:pStyle w:val="Heading1"/>
        <w:numPr>
          <w:ilvl w:val="1"/>
          <w:numId w:val="1"/>
        </w:numPr>
        <w:tabs>
          <w:tab w:pos="686" w:val="left" w:leader="none"/>
        </w:tabs>
        <w:spacing w:line="240" w:lineRule="auto" w:before="245" w:after="0"/>
        <w:ind w:left="686" w:right="0" w:hanging="360"/>
        <w:jc w:val="both"/>
      </w:pPr>
      <w:r>
        <w:rPr/>
        <w:t>Research</w:t>
      </w:r>
      <w:r>
        <w:rPr>
          <w:spacing w:val="-3"/>
        </w:rPr>
        <w:t> </w:t>
      </w:r>
      <w:r>
        <w:rPr>
          <w:spacing w:val="-2"/>
        </w:rPr>
        <w:t>Objectives</w:t>
      </w:r>
    </w:p>
    <w:p>
      <w:pPr>
        <w:pStyle w:val="ListParagraph"/>
        <w:numPr>
          <w:ilvl w:val="2"/>
          <w:numId w:val="1"/>
        </w:numPr>
        <w:tabs>
          <w:tab w:pos="1046" w:val="left" w:leader="none"/>
        </w:tabs>
        <w:spacing w:line="480" w:lineRule="auto" w:before="272" w:after="0"/>
        <w:ind w:left="1046" w:right="1080" w:hanging="360"/>
        <w:jc w:val="both"/>
        <w:rPr>
          <w:sz w:val="24"/>
        </w:rPr>
      </w:pPr>
      <w:r>
        <w:rPr>
          <w:sz w:val="24"/>
        </w:rPr>
        <w:t>To determine the cost implications of shifting from plastic to compostable packaging in terms of:</w:t>
      </w:r>
    </w:p>
    <w:p>
      <w:pPr>
        <w:pStyle w:val="ListParagraph"/>
        <w:numPr>
          <w:ilvl w:val="3"/>
          <w:numId w:val="1"/>
        </w:numPr>
        <w:tabs>
          <w:tab w:pos="1765" w:val="left" w:leader="none"/>
        </w:tabs>
        <w:spacing w:line="240" w:lineRule="auto" w:before="0" w:after="0"/>
        <w:ind w:left="1765" w:right="0" w:hanging="359"/>
        <w:jc w:val="both"/>
        <w:rPr>
          <w:sz w:val="24"/>
        </w:rPr>
      </w:pPr>
      <w:r>
        <w:rPr>
          <w:spacing w:val="-2"/>
          <w:sz w:val="24"/>
        </w:rPr>
        <w:t>Procurement</w:t>
      </w:r>
    </w:p>
    <w:p>
      <w:pPr>
        <w:pStyle w:val="BodyText"/>
      </w:pPr>
    </w:p>
    <w:p>
      <w:pPr>
        <w:pStyle w:val="ListParagraph"/>
        <w:numPr>
          <w:ilvl w:val="3"/>
          <w:numId w:val="1"/>
        </w:numPr>
        <w:tabs>
          <w:tab w:pos="1765" w:val="left" w:leader="none"/>
        </w:tabs>
        <w:spacing w:line="240" w:lineRule="auto" w:before="0" w:after="0"/>
        <w:ind w:left="1765" w:right="0" w:hanging="359"/>
        <w:jc w:val="both"/>
        <w:rPr>
          <w:sz w:val="24"/>
        </w:rPr>
      </w:pPr>
      <w:r>
        <w:rPr>
          <w:sz w:val="24"/>
        </w:rPr>
        <w:t>Storage</w:t>
      </w:r>
      <w:r>
        <w:rPr>
          <w:spacing w:val="-4"/>
          <w:sz w:val="24"/>
        </w:rPr>
        <w:t> </w:t>
      </w:r>
      <w:r>
        <w:rPr>
          <w:sz w:val="24"/>
        </w:rPr>
        <w:t>&amp;</w:t>
      </w:r>
      <w:r>
        <w:rPr>
          <w:spacing w:val="-2"/>
          <w:sz w:val="24"/>
        </w:rPr>
        <w:t> Handling</w:t>
      </w:r>
    </w:p>
    <w:p>
      <w:pPr>
        <w:pStyle w:val="BodyText"/>
      </w:pPr>
    </w:p>
    <w:p>
      <w:pPr>
        <w:pStyle w:val="ListParagraph"/>
        <w:numPr>
          <w:ilvl w:val="3"/>
          <w:numId w:val="1"/>
        </w:numPr>
        <w:tabs>
          <w:tab w:pos="1765" w:val="left" w:leader="none"/>
        </w:tabs>
        <w:spacing w:line="240" w:lineRule="auto" w:before="0" w:after="0"/>
        <w:ind w:left="1765" w:right="0" w:hanging="359"/>
        <w:jc w:val="both"/>
        <w:rPr>
          <w:sz w:val="24"/>
        </w:rPr>
      </w:pPr>
      <w:r>
        <w:rPr>
          <w:sz w:val="24"/>
        </w:rPr>
        <w:t>Waste </w:t>
      </w:r>
      <w:r>
        <w:rPr>
          <w:spacing w:val="-2"/>
          <w:sz w:val="24"/>
        </w:rPr>
        <w:t>Management</w:t>
      </w:r>
    </w:p>
    <w:p>
      <w:pPr>
        <w:pStyle w:val="BodyText"/>
      </w:pPr>
    </w:p>
    <w:p>
      <w:pPr>
        <w:pStyle w:val="ListParagraph"/>
        <w:numPr>
          <w:ilvl w:val="2"/>
          <w:numId w:val="1"/>
        </w:numPr>
        <w:tabs>
          <w:tab w:pos="1046" w:val="left" w:leader="none"/>
        </w:tabs>
        <w:spacing w:line="480" w:lineRule="auto" w:before="0" w:after="0"/>
        <w:ind w:left="1046" w:right="1082" w:hanging="360"/>
        <w:jc w:val="both"/>
        <w:rPr>
          <w:sz w:val="24"/>
        </w:rPr>
      </w:pPr>
      <w:r>
        <w:rPr>
          <w:sz w:val="24"/>
        </w:rPr>
        <w:t>To assess the operational and environmental benefits of adopting compostable packaging in terms of:</w:t>
      </w:r>
    </w:p>
    <w:p>
      <w:pPr>
        <w:pStyle w:val="ListParagraph"/>
        <w:numPr>
          <w:ilvl w:val="3"/>
          <w:numId w:val="1"/>
        </w:numPr>
        <w:tabs>
          <w:tab w:pos="1765" w:val="left" w:leader="none"/>
        </w:tabs>
        <w:spacing w:line="240" w:lineRule="auto" w:before="1" w:after="0"/>
        <w:ind w:left="1765" w:right="0" w:hanging="359"/>
        <w:jc w:val="both"/>
        <w:rPr>
          <w:sz w:val="24"/>
        </w:rPr>
      </w:pPr>
      <w:r>
        <w:rPr>
          <w:spacing w:val="-2"/>
          <w:sz w:val="24"/>
        </w:rPr>
        <w:t>Practicality</w:t>
      </w:r>
    </w:p>
    <w:p>
      <w:pPr>
        <w:pStyle w:val="BodyText"/>
      </w:pPr>
    </w:p>
    <w:p>
      <w:pPr>
        <w:pStyle w:val="ListParagraph"/>
        <w:numPr>
          <w:ilvl w:val="3"/>
          <w:numId w:val="1"/>
        </w:numPr>
        <w:tabs>
          <w:tab w:pos="1765" w:val="left" w:leader="none"/>
        </w:tabs>
        <w:spacing w:line="240" w:lineRule="auto" w:before="0" w:after="0"/>
        <w:ind w:left="1765" w:right="0" w:hanging="359"/>
        <w:jc w:val="both"/>
        <w:rPr>
          <w:sz w:val="24"/>
        </w:rPr>
      </w:pPr>
      <w:r>
        <w:rPr>
          <w:sz w:val="24"/>
        </w:rPr>
        <w:t>Waste </w:t>
      </w:r>
      <w:r>
        <w:rPr>
          <w:spacing w:val="-2"/>
          <w:sz w:val="24"/>
        </w:rPr>
        <w:t>segregation</w:t>
      </w:r>
    </w:p>
    <w:p>
      <w:pPr>
        <w:pStyle w:val="BodyText"/>
      </w:pPr>
    </w:p>
    <w:p>
      <w:pPr>
        <w:pStyle w:val="ListParagraph"/>
        <w:numPr>
          <w:ilvl w:val="3"/>
          <w:numId w:val="1"/>
        </w:numPr>
        <w:tabs>
          <w:tab w:pos="1765" w:val="left" w:leader="none"/>
        </w:tabs>
        <w:spacing w:line="240" w:lineRule="auto" w:before="0" w:after="0"/>
        <w:ind w:left="1765" w:right="0" w:hanging="359"/>
        <w:jc w:val="both"/>
        <w:rPr>
          <w:sz w:val="24"/>
        </w:rPr>
      </w:pPr>
      <w:r>
        <w:rPr>
          <w:spacing w:val="-2"/>
          <w:sz w:val="24"/>
        </w:rPr>
        <w:t>Sustainability</w:t>
      </w:r>
    </w:p>
    <w:p>
      <w:pPr>
        <w:pStyle w:val="ListParagraph"/>
        <w:spacing w:after="0" w:line="240" w:lineRule="auto"/>
        <w:jc w:val="both"/>
        <w:rPr>
          <w:sz w:val="24"/>
        </w:rPr>
        <w:sectPr>
          <w:pgSz w:w="12240" w:h="15840"/>
          <w:pgMar w:header="763" w:footer="0" w:top="1340" w:bottom="280" w:left="1800" w:right="360"/>
        </w:sectPr>
      </w:pPr>
    </w:p>
    <w:p>
      <w:pPr>
        <w:pStyle w:val="ListParagraph"/>
        <w:numPr>
          <w:ilvl w:val="2"/>
          <w:numId w:val="1"/>
        </w:numPr>
        <w:tabs>
          <w:tab w:pos="1046" w:val="left" w:leader="none"/>
        </w:tabs>
        <w:spacing w:line="480" w:lineRule="auto" w:before="80" w:after="0"/>
        <w:ind w:left="1046" w:right="1079" w:hanging="360"/>
        <w:jc w:val="left"/>
        <w:rPr>
          <w:sz w:val="24"/>
        </w:rPr>
      </w:pPr>
      <w:r>
        <w:rPr>
          <w:sz w:val="24"/>
        </w:rPr>
        <w:t>To</w:t>
      </w:r>
      <w:r>
        <w:rPr>
          <w:spacing w:val="-15"/>
          <w:sz w:val="24"/>
        </w:rPr>
        <w:t> </w:t>
      </w:r>
      <w:r>
        <w:rPr>
          <w:sz w:val="24"/>
        </w:rPr>
        <w:t>identify</w:t>
      </w:r>
      <w:r>
        <w:rPr>
          <w:spacing w:val="-15"/>
          <w:sz w:val="24"/>
        </w:rPr>
        <w:t> </w:t>
      </w:r>
      <w:r>
        <w:rPr>
          <w:sz w:val="24"/>
        </w:rPr>
        <w:t>the</w:t>
      </w:r>
      <w:r>
        <w:rPr>
          <w:spacing w:val="-14"/>
          <w:sz w:val="24"/>
        </w:rPr>
        <w:t> </w:t>
      </w:r>
      <w:r>
        <w:rPr>
          <w:sz w:val="24"/>
        </w:rPr>
        <w:t>overall</w:t>
      </w:r>
      <w:r>
        <w:rPr>
          <w:spacing w:val="-12"/>
          <w:sz w:val="24"/>
        </w:rPr>
        <w:t> </w:t>
      </w:r>
      <w:r>
        <w:rPr>
          <w:sz w:val="24"/>
        </w:rPr>
        <w:t>cost-benefit</w:t>
      </w:r>
      <w:r>
        <w:rPr>
          <w:spacing w:val="-13"/>
          <w:sz w:val="24"/>
        </w:rPr>
        <w:t> </w:t>
      </w:r>
      <w:r>
        <w:rPr>
          <w:sz w:val="24"/>
        </w:rPr>
        <w:t>of</w:t>
      </w:r>
      <w:r>
        <w:rPr>
          <w:spacing w:val="-14"/>
          <w:sz w:val="24"/>
        </w:rPr>
        <w:t> </w:t>
      </w:r>
      <w:r>
        <w:rPr>
          <w:sz w:val="24"/>
        </w:rPr>
        <w:t>replacing</w:t>
      </w:r>
      <w:r>
        <w:rPr>
          <w:spacing w:val="-15"/>
          <w:sz w:val="24"/>
        </w:rPr>
        <w:t> </w:t>
      </w:r>
      <w:r>
        <w:rPr>
          <w:sz w:val="24"/>
        </w:rPr>
        <w:t>plastic</w:t>
      </w:r>
      <w:r>
        <w:rPr>
          <w:spacing w:val="-14"/>
          <w:sz w:val="24"/>
        </w:rPr>
        <w:t> </w:t>
      </w:r>
      <w:r>
        <w:rPr>
          <w:sz w:val="24"/>
        </w:rPr>
        <w:t>with</w:t>
      </w:r>
      <w:r>
        <w:rPr>
          <w:spacing w:val="-13"/>
          <w:sz w:val="24"/>
        </w:rPr>
        <w:t> </w:t>
      </w:r>
      <w:r>
        <w:rPr>
          <w:sz w:val="24"/>
        </w:rPr>
        <w:t>compostable</w:t>
      </w:r>
      <w:r>
        <w:rPr>
          <w:spacing w:val="-14"/>
          <w:sz w:val="24"/>
        </w:rPr>
        <w:t> </w:t>
      </w:r>
      <w:r>
        <w:rPr>
          <w:sz w:val="24"/>
        </w:rPr>
        <w:t>packaging vs plastic packaging.</w:t>
      </w:r>
    </w:p>
    <w:p>
      <w:pPr>
        <w:pStyle w:val="Heading1"/>
        <w:numPr>
          <w:ilvl w:val="0"/>
          <w:numId w:val="1"/>
        </w:numPr>
        <w:tabs>
          <w:tab w:pos="566" w:val="left" w:leader="none"/>
        </w:tabs>
        <w:spacing w:line="240" w:lineRule="auto" w:before="244" w:after="0"/>
        <w:ind w:left="566" w:right="0" w:hanging="240"/>
        <w:jc w:val="both"/>
      </w:pPr>
      <w:r>
        <w:rPr>
          <w:spacing w:val="-2"/>
        </w:rPr>
        <w:t>Methods</w:t>
      </w:r>
    </w:p>
    <w:p>
      <w:pPr>
        <w:pStyle w:val="BodyText"/>
        <w:spacing w:before="161"/>
        <w:rPr>
          <w:b/>
        </w:rPr>
      </w:pPr>
    </w:p>
    <w:p>
      <w:pPr>
        <w:pStyle w:val="ListParagraph"/>
        <w:numPr>
          <w:ilvl w:val="1"/>
          <w:numId w:val="1"/>
        </w:numPr>
        <w:tabs>
          <w:tab w:pos="686" w:val="left" w:leader="none"/>
        </w:tabs>
        <w:spacing w:line="240" w:lineRule="auto" w:before="0" w:after="0"/>
        <w:ind w:left="686" w:right="0" w:hanging="360"/>
        <w:jc w:val="both"/>
        <w:rPr>
          <w:b/>
          <w:sz w:val="24"/>
        </w:rPr>
      </w:pPr>
      <w:r>
        <w:rPr>
          <w:b/>
          <w:sz w:val="24"/>
        </w:rPr>
        <w:t>Research</w:t>
      </w:r>
      <w:r>
        <w:rPr>
          <w:b/>
          <w:spacing w:val="-4"/>
          <w:sz w:val="24"/>
        </w:rPr>
        <w:t> </w:t>
      </w:r>
      <w:r>
        <w:rPr>
          <w:b/>
          <w:sz w:val="24"/>
        </w:rPr>
        <w:t>Design</w:t>
      </w:r>
      <w:r>
        <w:rPr>
          <w:b/>
          <w:spacing w:val="-1"/>
          <w:sz w:val="24"/>
        </w:rPr>
        <w:t> </w:t>
      </w:r>
      <w:r>
        <w:rPr>
          <w:b/>
          <w:sz w:val="24"/>
        </w:rPr>
        <w:t>and</w:t>
      </w:r>
      <w:r>
        <w:rPr>
          <w:b/>
          <w:spacing w:val="-1"/>
          <w:sz w:val="24"/>
        </w:rPr>
        <w:t> </w:t>
      </w:r>
      <w:r>
        <w:rPr>
          <w:b/>
          <w:spacing w:val="-2"/>
          <w:sz w:val="24"/>
        </w:rPr>
        <w:t>Rationale</w:t>
      </w:r>
    </w:p>
    <w:p>
      <w:pPr>
        <w:pStyle w:val="BodyText"/>
        <w:spacing w:line="480" w:lineRule="auto" w:before="175"/>
        <w:ind w:left="326" w:right="1080" w:firstLine="720"/>
        <w:jc w:val="both"/>
      </w:pPr>
      <w:r>
        <w:rPr/>
        <w:t>This study will employ a quantitative descriptive-survey research design. According</w:t>
      </w:r>
      <w:r>
        <w:rPr>
          <w:spacing w:val="-1"/>
        </w:rPr>
        <w:t> </w:t>
      </w:r>
      <w:r>
        <w:rPr/>
        <w:t>to Apuke (2021), a descriptive survey</w:t>
      </w:r>
      <w:r>
        <w:rPr>
          <w:spacing w:val="-4"/>
        </w:rPr>
        <w:t> </w:t>
      </w:r>
      <w:r>
        <w:rPr/>
        <w:t>is a systematic method of gathering</w:t>
      </w:r>
      <w:r>
        <w:rPr>
          <w:spacing w:val="-1"/>
        </w:rPr>
        <w:t> </w:t>
      </w:r>
      <w:r>
        <w:rPr/>
        <w:t>data from a defined group of respondents using questionnaires or structured interviews to quantify opinions, behaviours, or perceptions regarding a specific issue. This design is appropriate for this study as it aims to obtain measurable insights into the attitudes, </w:t>
      </w:r>
      <w:r>
        <w:rPr>
          <w:spacing w:val="-2"/>
        </w:rPr>
        <w:t>perceived</w:t>
      </w:r>
      <w:r>
        <w:rPr>
          <w:spacing w:val="-4"/>
        </w:rPr>
        <w:t> </w:t>
      </w:r>
      <w:r>
        <w:rPr>
          <w:spacing w:val="-2"/>
        </w:rPr>
        <w:t>challenges,</w:t>
      </w:r>
      <w:r>
        <w:rPr>
          <w:spacing w:val="-4"/>
        </w:rPr>
        <w:t> </w:t>
      </w:r>
      <w:r>
        <w:rPr>
          <w:spacing w:val="-2"/>
        </w:rPr>
        <w:t>and cost-related</w:t>
      </w:r>
      <w:r>
        <w:rPr>
          <w:spacing w:val="-4"/>
        </w:rPr>
        <w:t> </w:t>
      </w:r>
      <w:r>
        <w:rPr>
          <w:spacing w:val="-2"/>
        </w:rPr>
        <w:t>concerns</w:t>
      </w:r>
      <w:r>
        <w:rPr>
          <w:spacing w:val="-4"/>
        </w:rPr>
        <w:t> </w:t>
      </w:r>
      <w:r>
        <w:rPr>
          <w:spacing w:val="-2"/>
        </w:rPr>
        <w:t>of</w:t>
      </w:r>
      <w:r>
        <w:rPr>
          <w:spacing w:val="-5"/>
        </w:rPr>
        <w:t> </w:t>
      </w:r>
      <w:r>
        <w:rPr>
          <w:spacing w:val="-2"/>
        </w:rPr>
        <w:t>canteen</w:t>
      </w:r>
      <w:r>
        <w:rPr>
          <w:spacing w:val="-4"/>
        </w:rPr>
        <w:t> </w:t>
      </w:r>
      <w:r>
        <w:rPr>
          <w:spacing w:val="-2"/>
        </w:rPr>
        <w:t>staff</w:t>
      </w:r>
      <w:r>
        <w:rPr>
          <w:spacing w:val="-5"/>
        </w:rPr>
        <w:t> </w:t>
      </w:r>
      <w:r>
        <w:rPr>
          <w:spacing w:val="-2"/>
        </w:rPr>
        <w:t>toward</w:t>
      </w:r>
      <w:r>
        <w:rPr>
          <w:spacing w:val="-5"/>
        </w:rPr>
        <w:t> </w:t>
      </w:r>
      <w:r>
        <w:rPr>
          <w:spacing w:val="-2"/>
        </w:rPr>
        <w:t>shifting</w:t>
      </w:r>
      <w:r>
        <w:rPr>
          <w:spacing w:val="-6"/>
        </w:rPr>
        <w:t> </w:t>
      </w:r>
      <w:r>
        <w:rPr>
          <w:spacing w:val="-2"/>
        </w:rPr>
        <w:t>from plastic </w:t>
      </w:r>
      <w:r>
        <w:rPr/>
        <w:t>to compostable packaging.</w:t>
      </w:r>
    </w:p>
    <w:p>
      <w:pPr>
        <w:pStyle w:val="BodyText"/>
        <w:spacing w:line="480" w:lineRule="auto" w:before="162"/>
        <w:ind w:left="326" w:right="1077" w:firstLine="720"/>
        <w:jc w:val="both"/>
      </w:pPr>
      <w:r>
        <w:rPr/>
        <w:t>The</w:t>
      </w:r>
      <w:r>
        <w:rPr>
          <w:spacing w:val="-6"/>
        </w:rPr>
        <w:t> </w:t>
      </w:r>
      <w:r>
        <w:rPr/>
        <w:t>use</w:t>
      </w:r>
      <w:r>
        <w:rPr>
          <w:spacing w:val="-6"/>
        </w:rPr>
        <w:t> </w:t>
      </w:r>
      <w:r>
        <w:rPr/>
        <w:t>of</w:t>
      </w:r>
      <w:r>
        <w:rPr>
          <w:spacing w:val="-6"/>
        </w:rPr>
        <w:t> </w:t>
      </w:r>
      <w:r>
        <w:rPr/>
        <w:t>a</w:t>
      </w:r>
      <w:r>
        <w:rPr>
          <w:spacing w:val="-6"/>
        </w:rPr>
        <w:t> </w:t>
      </w:r>
      <w:r>
        <w:rPr/>
        <w:t>quantitative</w:t>
      </w:r>
      <w:r>
        <w:rPr>
          <w:spacing w:val="-5"/>
        </w:rPr>
        <w:t> </w:t>
      </w:r>
      <w:r>
        <w:rPr/>
        <w:t>approach</w:t>
      </w:r>
      <w:r>
        <w:rPr>
          <w:spacing w:val="-5"/>
        </w:rPr>
        <w:t> </w:t>
      </w:r>
      <w:r>
        <w:rPr/>
        <w:t>is</w:t>
      </w:r>
      <w:r>
        <w:rPr>
          <w:spacing w:val="-4"/>
        </w:rPr>
        <w:t> </w:t>
      </w:r>
      <w:r>
        <w:rPr/>
        <w:t>justified</w:t>
      </w:r>
      <w:r>
        <w:rPr>
          <w:spacing w:val="-5"/>
        </w:rPr>
        <w:t> </w:t>
      </w:r>
      <w:r>
        <w:rPr/>
        <w:t>because</w:t>
      </w:r>
      <w:r>
        <w:rPr>
          <w:spacing w:val="-6"/>
        </w:rPr>
        <w:t> </w:t>
      </w:r>
      <w:r>
        <w:rPr/>
        <w:t>the</w:t>
      </w:r>
      <w:r>
        <w:rPr>
          <w:spacing w:val="-5"/>
        </w:rPr>
        <w:t> </w:t>
      </w:r>
      <w:r>
        <w:rPr/>
        <w:t>study</w:t>
      </w:r>
      <w:r>
        <w:rPr>
          <w:spacing w:val="-10"/>
        </w:rPr>
        <w:t> </w:t>
      </w:r>
      <w:r>
        <w:rPr/>
        <w:t>requires</w:t>
      </w:r>
      <w:r>
        <w:rPr>
          <w:spacing w:val="-5"/>
        </w:rPr>
        <w:t> </w:t>
      </w:r>
      <w:r>
        <w:rPr/>
        <w:t>numerical data that can be statistically analysed to determine patterns and trends in responses (Creswell</w:t>
      </w:r>
      <w:r>
        <w:rPr>
          <w:spacing w:val="-15"/>
        </w:rPr>
        <w:t> </w:t>
      </w:r>
      <w:r>
        <w:rPr/>
        <w:t>&amp;</w:t>
      </w:r>
      <w:r>
        <w:rPr>
          <w:spacing w:val="-15"/>
        </w:rPr>
        <w:t> </w:t>
      </w:r>
      <w:r>
        <w:rPr/>
        <w:t>Creswell,</w:t>
      </w:r>
      <w:r>
        <w:rPr>
          <w:spacing w:val="-14"/>
        </w:rPr>
        <w:t> </w:t>
      </w:r>
      <w:r>
        <w:rPr/>
        <w:t>2018).</w:t>
      </w:r>
      <w:r>
        <w:rPr>
          <w:spacing w:val="-15"/>
        </w:rPr>
        <w:t> </w:t>
      </w:r>
      <w:r>
        <w:rPr/>
        <w:t>By</w:t>
      </w:r>
      <w:r>
        <w:rPr>
          <w:spacing w:val="-15"/>
        </w:rPr>
        <w:t> </w:t>
      </w:r>
      <w:r>
        <w:rPr/>
        <w:t>focusing</w:t>
      </w:r>
      <w:r>
        <w:rPr>
          <w:spacing w:val="-15"/>
        </w:rPr>
        <w:t> </w:t>
      </w:r>
      <w:r>
        <w:rPr/>
        <w:t>on</w:t>
      </w:r>
      <w:r>
        <w:rPr>
          <w:spacing w:val="-15"/>
        </w:rPr>
        <w:t> </w:t>
      </w:r>
      <w:r>
        <w:rPr/>
        <w:t>measurable</w:t>
      </w:r>
      <w:r>
        <w:rPr>
          <w:spacing w:val="-15"/>
        </w:rPr>
        <w:t> </w:t>
      </w:r>
      <w:r>
        <w:rPr/>
        <w:t>indicators</w:t>
      </w:r>
      <w:r>
        <w:rPr>
          <w:spacing w:val="-15"/>
        </w:rPr>
        <w:t> </w:t>
      </w:r>
      <w:r>
        <w:rPr/>
        <w:t>such</w:t>
      </w:r>
      <w:r>
        <w:rPr>
          <w:spacing w:val="-13"/>
        </w:rPr>
        <w:t> </w:t>
      </w:r>
      <w:r>
        <w:rPr/>
        <w:t>as</w:t>
      </w:r>
      <w:r>
        <w:rPr>
          <w:spacing w:val="-11"/>
        </w:rPr>
        <w:t> </w:t>
      </w:r>
      <w:r>
        <w:rPr/>
        <w:t>cost</w:t>
      </w:r>
      <w:r>
        <w:rPr>
          <w:spacing w:val="-15"/>
        </w:rPr>
        <w:t> </w:t>
      </w:r>
      <w:r>
        <w:rPr/>
        <w:t>efficiency, operational</w:t>
      </w:r>
      <w:r>
        <w:rPr>
          <w:spacing w:val="-4"/>
        </w:rPr>
        <w:t> </w:t>
      </w:r>
      <w:r>
        <w:rPr/>
        <w:t>feasibility,</w:t>
      </w:r>
      <w:r>
        <w:rPr>
          <w:spacing w:val="-5"/>
        </w:rPr>
        <w:t> </w:t>
      </w:r>
      <w:r>
        <w:rPr/>
        <w:t>and</w:t>
      </w:r>
      <w:r>
        <w:rPr>
          <w:spacing w:val="-6"/>
        </w:rPr>
        <w:t> </w:t>
      </w:r>
      <w:r>
        <w:rPr/>
        <w:t>perceived</w:t>
      </w:r>
      <w:r>
        <w:rPr>
          <w:spacing w:val="-5"/>
        </w:rPr>
        <w:t> </w:t>
      </w:r>
      <w:r>
        <w:rPr/>
        <w:t>environmental</w:t>
      </w:r>
      <w:r>
        <w:rPr>
          <w:spacing w:val="-6"/>
        </w:rPr>
        <w:t> </w:t>
      </w:r>
      <w:r>
        <w:rPr/>
        <w:t>benefits,</w:t>
      </w:r>
      <w:r>
        <w:rPr>
          <w:spacing w:val="-6"/>
        </w:rPr>
        <w:t> </w:t>
      </w:r>
      <w:r>
        <w:rPr/>
        <w:t>the</w:t>
      </w:r>
      <w:r>
        <w:rPr>
          <w:spacing w:val="-6"/>
        </w:rPr>
        <w:t> </w:t>
      </w:r>
      <w:r>
        <w:rPr/>
        <w:t>study</w:t>
      </w:r>
      <w:r>
        <w:rPr>
          <w:spacing w:val="-8"/>
        </w:rPr>
        <w:t> </w:t>
      </w:r>
      <w:r>
        <w:rPr/>
        <w:t>ensures</w:t>
      </w:r>
      <w:r>
        <w:rPr>
          <w:spacing w:val="-6"/>
        </w:rPr>
        <w:t> </w:t>
      </w:r>
      <w:r>
        <w:rPr/>
        <w:t>objectivity in data collection and analysis. Furthermore, this design is consistent with the goal of conducting a cost-benefit analysis, which requires structured, quantifiable data (Kenton, </w:t>
      </w:r>
      <w:r>
        <w:rPr>
          <w:spacing w:val="-2"/>
        </w:rPr>
        <w:t>2021).</w:t>
      </w:r>
    </w:p>
    <w:p>
      <w:pPr>
        <w:pStyle w:val="BodyText"/>
        <w:spacing w:line="480" w:lineRule="auto" w:before="160"/>
        <w:ind w:left="326" w:right="1073" w:firstLine="720"/>
        <w:jc w:val="both"/>
      </w:pPr>
      <w:r>
        <w:rPr/>
        <w:t>The descriptive-survey design would align with the theoretical foundation of the study,</w:t>
      </w:r>
      <w:r>
        <w:rPr>
          <w:spacing w:val="-10"/>
        </w:rPr>
        <w:t> </w:t>
      </w:r>
      <w:r>
        <w:rPr/>
        <w:t>the</w:t>
      </w:r>
      <w:r>
        <w:rPr>
          <w:spacing w:val="-10"/>
        </w:rPr>
        <w:t> </w:t>
      </w:r>
      <w:r>
        <w:rPr/>
        <w:t>Theory</w:t>
      </w:r>
      <w:r>
        <w:rPr>
          <w:spacing w:val="-14"/>
        </w:rPr>
        <w:t> </w:t>
      </w:r>
      <w:r>
        <w:rPr/>
        <w:t>of</w:t>
      </w:r>
      <w:r>
        <w:rPr>
          <w:spacing w:val="-10"/>
        </w:rPr>
        <w:t> </w:t>
      </w:r>
      <w:r>
        <w:rPr/>
        <w:t>Planned</w:t>
      </w:r>
      <w:r>
        <w:rPr>
          <w:spacing w:val="-10"/>
        </w:rPr>
        <w:t> </w:t>
      </w:r>
      <w:r>
        <w:rPr/>
        <w:t>Behaviour</w:t>
      </w:r>
      <w:r>
        <w:rPr>
          <w:spacing w:val="-10"/>
        </w:rPr>
        <w:t> </w:t>
      </w:r>
      <w:r>
        <w:rPr/>
        <w:t>(TPB)</w:t>
      </w:r>
      <w:r>
        <w:rPr>
          <w:spacing w:val="-10"/>
        </w:rPr>
        <w:t> </w:t>
      </w:r>
      <w:r>
        <w:rPr/>
        <w:t>by</w:t>
      </w:r>
      <w:r>
        <w:rPr>
          <w:spacing w:val="-9"/>
        </w:rPr>
        <w:t> </w:t>
      </w:r>
      <w:r>
        <w:rPr/>
        <w:t>Ajzen</w:t>
      </w:r>
      <w:r>
        <w:rPr>
          <w:spacing w:val="-10"/>
        </w:rPr>
        <w:t> </w:t>
      </w:r>
      <w:r>
        <w:rPr/>
        <w:t>(1991).</w:t>
      </w:r>
      <w:r>
        <w:rPr>
          <w:spacing w:val="-10"/>
        </w:rPr>
        <w:t> </w:t>
      </w:r>
      <w:r>
        <w:rPr/>
        <w:t>The</w:t>
      </w:r>
      <w:r>
        <w:rPr>
          <w:spacing w:val="-11"/>
        </w:rPr>
        <w:t> </w:t>
      </w:r>
      <w:r>
        <w:rPr/>
        <w:t>TPB</w:t>
      </w:r>
      <w:r>
        <w:rPr>
          <w:spacing w:val="-9"/>
        </w:rPr>
        <w:t> </w:t>
      </w:r>
      <w:r>
        <w:rPr/>
        <w:t>emphasizes</w:t>
      </w:r>
      <w:r>
        <w:rPr>
          <w:spacing w:val="-9"/>
        </w:rPr>
        <w:t> </w:t>
      </w:r>
      <w:r>
        <w:rPr/>
        <w:t>how attitudes, subjective norms, and perceived behavioural control influence decision-making and</w:t>
      </w:r>
      <w:r>
        <w:rPr>
          <w:spacing w:val="27"/>
        </w:rPr>
        <w:t> </w:t>
      </w:r>
      <w:r>
        <w:rPr/>
        <w:t>behaviour.</w:t>
      </w:r>
      <w:r>
        <w:rPr>
          <w:spacing w:val="32"/>
        </w:rPr>
        <w:t> </w:t>
      </w:r>
      <w:r>
        <w:rPr/>
        <w:t>Applying</w:t>
      </w:r>
      <w:r>
        <w:rPr>
          <w:spacing w:val="30"/>
        </w:rPr>
        <w:t> </w:t>
      </w:r>
      <w:r>
        <w:rPr/>
        <w:t>this</w:t>
      </w:r>
      <w:r>
        <w:rPr>
          <w:spacing w:val="30"/>
        </w:rPr>
        <w:t> </w:t>
      </w:r>
      <w:r>
        <w:rPr/>
        <w:t>framework</w:t>
      </w:r>
      <w:r>
        <w:rPr>
          <w:spacing w:val="32"/>
        </w:rPr>
        <w:t> </w:t>
      </w:r>
      <w:r>
        <w:rPr/>
        <w:t>allows</w:t>
      </w:r>
      <w:r>
        <w:rPr>
          <w:spacing w:val="29"/>
        </w:rPr>
        <w:t> </w:t>
      </w:r>
      <w:r>
        <w:rPr/>
        <w:t>the</w:t>
      </w:r>
      <w:r>
        <w:rPr>
          <w:spacing w:val="29"/>
        </w:rPr>
        <w:t> </w:t>
      </w:r>
      <w:r>
        <w:rPr/>
        <w:t>study</w:t>
      </w:r>
      <w:r>
        <w:rPr>
          <w:spacing w:val="26"/>
        </w:rPr>
        <w:t> </w:t>
      </w:r>
      <w:r>
        <w:rPr/>
        <w:t>to</w:t>
      </w:r>
      <w:r>
        <w:rPr>
          <w:spacing w:val="30"/>
        </w:rPr>
        <w:t> </w:t>
      </w:r>
      <w:r>
        <w:rPr/>
        <w:t>capture</w:t>
      </w:r>
      <w:r>
        <w:rPr>
          <w:spacing w:val="29"/>
        </w:rPr>
        <w:t> </w:t>
      </w:r>
      <w:r>
        <w:rPr/>
        <w:t>how</w:t>
      </w:r>
      <w:r>
        <w:rPr>
          <w:spacing w:val="29"/>
        </w:rPr>
        <w:t> </w:t>
      </w:r>
      <w:r>
        <w:rPr/>
        <w:t>canteen</w:t>
      </w:r>
      <w:r>
        <w:rPr>
          <w:spacing w:val="30"/>
        </w:rPr>
        <w:t> </w:t>
      </w:r>
      <w:r>
        <w:rPr>
          <w:spacing w:val="-2"/>
        </w:rPr>
        <w:t>staff</w:t>
      </w:r>
    </w:p>
    <w:p>
      <w:pPr>
        <w:pStyle w:val="BodyText"/>
        <w:spacing w:after="0" w:line="480" w:lineRule="auto"/>
        <w:jc w:val="both"/>
        <w:sectPr>
          <w:pgSz w:w="12240" w:h="15840"/>
          <w:pgMar w:header="763" w:footer="0" w:top="1340" w:bottom="280" w:left="1800" w:right="360"/>
        </w:sectPr>
      </w:pPr>
    </w:p>
    <w:p>
      <w:pPr>
        <w:pStyle w:val="BodyText"/>
        <w:spacing w:line="480" w:lineRule="auto" w:before="80"/>
        <w:ind w:left="326" w:right="1081"/>
        <w:jc w:val="both"/>
      </w:pPr>
      <w:r>
        <w:rPr/>
        <w:t>perceive the practicality and challenges of transitioning to compostable packaging, particularly in terms of financial implications and daily operations.</w:t>
      </w:r>
    </w:p>
    <w:p>
      <w:pPr>
        <w:pStyle w:val="BodyText"/>
        <w:spacing w:line="480" w:lineRule="auto" w:before="160"/>
        <w:ind w:left="326" w:right="1076" w:firstLine="720"/>
        <w:jc w:val="both"/>
      </w:pPr>
      <w:r>
        <w:rPr/>
        <w:t>Conducting the study at Mapúa Malayan Colleges Mindanao (Mapúa MCM), provides</w:t>
      </w:r>
      <w:r>
        <w:rPr>
          <w:spacing w:val="-8"/>
        </w:rPr>
        <w:t> </w:t>
      </w:r>
      <w:r>
        <w:rPr/>
        <w:t>contextual</w:t>
      </w:r>
      <w:r>
        <w:rPr>
          <w:spacing w:val="-8"/>
        </w:rPr>
        <w:t> </w:t>
      </w:r>
      <w:r>
        <w:rPr/>
        <w:t>relevance</w:t>
      </w:r>
      <w:r>
        <w:rPr>
          <w:spacing w:val="-9"/>
        </w:rPr>
        <w:t> </w:t>
      </w:r>
      <w:r>
        <w:rPr/>
        <w:t>because</w:t>
      </w:r>
      <w:r>
        <w:rPr>
          <w:spacing w:val="-9"/>
        </w:rPr>
        <w:t> </w:t>
      </w:r>
      <w:r>
        <w:rPr/>
        <w:t>the</w:t>
      </w:r>
      <w:r>
        <w:rPr>
          <w:spacing w:val="-9"/>
        </w:rPr>
        <w:t> </w:t>
      </w:r>
      <w:r>
        <w:rPr/>
        <w:t>canteen</w:t>
      </w:r>
      <w:r>
        <w:rPr>
          <w:spacing w:val="-6"/>
        </w:rPr>
        <w:t> </w:t>
      </w:r>
      <w:r>
        <w:rPr/>
        <w:t>serves</w:t>
      </w:r>
      <w:r>
        <w:rPr>
          <w:spacing w:val="-8"/>
        </w:rPr>
        <w:t> </w:t>
      </w:r>
      <w:r>
        <w:rPr/>
        <w:t>as</w:t>
      </w:r>
      <w:r>
        <w:rPr>
          <w:spacing w:val="-6"/>
        </w:rPr>
        <w:t> </w:t>
      </w:r>
      <w:r>
        <w:rPr/>
        <w:t>a</w:t>
      </w:r>
      <w:r>
        <w:rPr>
          <w:spacing w:val="-9"/>
        </w:rPr>
        <w:t> </w:t>
      </w:r>
      <w:r>
        <w:rPr/>
        <w:t>key</w:t>
      </w:r>
      <w:r>
        <w:rPr>
          <w:spacing w:val="-12"/>
        </w:rPr>
        <w:t> </w:t>
      </w:r>
      <w:r>
        <w:rPr/>
        <w:t>site</w:t>
      </w:r>
      <w:r>
        <w:rPr>
          <w:spacing w:val="-9"/>
        </w:rPr>
        <w:t> </w:t>
      </w:r>
      <w:r>
        <w:rPr/>
        <w:t>for</w:t>
      </w:r>
      <w:r>
        <w:rPr>
          <w:spacing w:val="-7"/>
        </w:rPr>
        <w:t> </w:t>
      </w:r>
      <w:r>
        <w:rPr/>
        <w:t>waste</w:t>
      </w:r>
      <w:r>
        <w:rPr>
          <w:spacing w:val="-9"/>
        </w:rPr>
        <w:t> </w:t>
      </w:r>
      <w:r>
        <w:rPr/>
        <w:t>generation on campus. Understanding the perspectives of canteen staff, who are directly involved in food</w:t>
      </w:r>
      <w:r>
        <w:rPr>
          <w:spacing w:val="-4"/>
        </w:rPr>
        <w:t> </w:t>
      </w:r>
      <w:r>
        <w:rPr/>
        <w:t>preparation,</w:t>
      </w:r>
      <w:r>
        <w:rPr>
          <w:spacing w:val="-3"/>
        </w:rPr>
        <w:t> </w:t>
      </w:r>
      <w:r>
        <w:rPr/>
        <w:t>packaging,</w:t>
      </w:r>
      <w:r>
        <w:rPr>
          <w:spacing w:val="-1"/>
        </w:rPr>
        <w:t> </w:t>
      </w:r>
      <w:r>
        <w:rPr/>
        <w:t>and</w:t>
      </w:r>
      <w:r>
        <w:rPr>
          <w:spacing w:val="-3"/>
        </w:rPr>
        <w:t> </w:t>
      </w:r>
      <w:r>
        <w:rPr/>
        <w:t>service,</w:t>
      </w:r>
      <w:r>
        <w:rPr>
          <w:spacing w:val="-1"/>
        </w:rPr>
        <w:t> </w:t>
      </w:r>
      <w:r>
        <w:rPr/>
        <w:t>ensures</w:t>
      </w:r>
      <w:r>
        <w:rPr>
          <w:spacing w:val="-1"/>
        </w:rPr>
        <w:t> </w:t>
      </w:r>
      <w:r>
        <w:rPr/>
        <w:t>that</w:t>
      </w:r>
      <w:r>
        <w:rPr>
          <w:spacing w:val="-3"/>
        </w:rPr>
        <w:t> </w:t>
      </w:r>
      <w:r>
        <w:rPr/>
        <w:t>the</w:t>
      </w:r>
      <w:r>
        <w:rPr>
          <w:spacing w:val="-3"/>
        </w:rPr>
        <w:t> </w:t>
      </w:r>
      <w:r>
        <w:rPr/>
        <w:t>data</w:t>
      </w:r>
      <w:r>
        <w:rPr>
          <w:spacing w:val="-2"/>
        </w:rPr>
        <w:t> </w:t>
      </w:r>
      <w:r>
        <w:rPr/>
        <w:t>collected</w:t>
      </w:r>
      <w:r>
        <w:rPr>
          <w:spacing w:val="-3"/>
        </w:rPr>
        <w:t> </w:t>
      </w:r>
      <w:r>
        <w:rPr/>
        <w:t>reflects</w:t>
      </w:r>
      <w:r>
        <w:rPr>
          <w:spacing w:val="-3"/>
        </w:rPr>
        <w:t> </w:t>
      </w:r>
      <w:r>
        <w:rPr/>
        <w:t>first-hand knowledge of the costs, workload adjustments, and feasibility issues associated with replacing plastic with compostable packaging.</w:t>
      </w:r>
    </w:p>
    <w:p>
      <w:pPr>
        <w:pStyle w:val="Heading1"/>
        <w:numPr>
          <w:ilvl w:val="1"/>
          <w:numId w:val="1"/>
        </w:numPr>
        <w:tabs>
          <w:tab w:pos="686" w:val="left" w:leader="none"/>
        </w:tabs>
        <w:spacing w:line="240" w:lineRule="auto" w:before="244" w:after="0"/>
        <w:ind w:left="686" w:right="0" w:hanging="360"/>
        <w:jc w:val="both"/>
      </w:pPr>
      <w:r>
        <w:rPr/>
        <w:t>Research</w:t>
      </w:r>
      <w:r>
        <w:rPr>
          <w:spacing w:val="-3"/>
        </w:rPr>
        <w:t> </w:t>
      </w:r>
      <w:r>
        <w:rPr>
          <w:spacing w:val="-2"/>
        </w:rPr>
        <w:t>Respondents</w:t>
      </w:r>
    </w:p>
    <w:p>
      <w:pPr>
        <w:pStyle w:val="BodyText"/>
        <w:spacing w:before="156"/>
        <w:rPr>
          <w:b/>
        </w:rPr>
      </w:pPr>
    </w:p>
    <w:p>
      <w:pPr>
        <w:pStyle w:val="BodyText"/>
        <w:spacing w:line="480" w:lineRule="auto"/>
        <w:ind w:left="326" w:right="1078" w:firstLine="720"/>
        <w:jc w:val="both"/>
      </w:pPr>
      <w:r>
        <w:rPr/>
        <w:t>The</w:t>
      </w:r>
      <w:r>
        <w:rPr>
          <w:spacing w:val="-5"/>
        </w:rPr>
        <w:t> </w:t>
      </w:r>
      <w:r>
        <w:rPr/>
        <w:t>respondents</w:t>
      </w:r>
      <w:r>
        <w:rPr>
          <w:spacing w:val="-3"/>
        </w:rPr>
        <w:t> </w:t>
      </w:r>
      <w:r>
        <w:rPr/>
        <w:t>of</w:t>
      </w:r>
      <w:r>
        <w:rPr>
          <w:spacing w:val="-3"/>
        </w:rPr>
        <w:t> </w:t>
      </w:r>
      <w:r>
        <w:rPr/>
        <w:t>the</w:t>
      </w:r>
      <w:r>
        <w:rPr>
          <w:spacing w:val="-3"/>
        </w:rPr>
        <w:t> </w:t>
      </w:r>
      <w:r>
        <w:rPr/>
        <w:t>study</w:t>
      </w:r>
      <w:r>
        <w:rPr>
          <w:spacing w:val="-8"/>
        </w:rPr>
        <w:t> </w:t>
      </w:r>
      <w:r>
        <w:rPr/>
        <w:t>will</w:t>
      </w:r>
      <w:r>
        <w:rPr>
          <w:spacing w:val="-3"/>
        </w:rPr>
        <w:t> </w:t>
      </w:r>
      <w:r>
        <w:rPr/>
        <w:t>consist</w:t>
      </w:r>
      <w:r>
        <w:rPr>
          <w:spacing w:val="-3"/>
        </w:rPr>
        <w:t> </w:t>
      </w:r>
      <w:r>
        <w:rPr/>
        <w:t>of</w:t>
      </w:r>
      <w:r>
        <w:rPr>
          <w:spacing w:val="-3"/>
        </w:rPr>
        <w:t> </w:t>
      </w:r>
      <w:r>
        <w:rPr/>
        <w:t>15</w:t>
      </w:r>
      <w:r>
        <w:rPr>
          <w:spacing w:val="-3"/>
        </w:rPr>
        <w:t> </w:t>
      </w:r>
      <w:r>
        <w:rPr/>
        <w:t>canteen</w:t>
      </w:r>
      <w:r>
        <w:rPr>
          <w:spacing w:val="-3"/>
        </w:rPr>
        <w:t> </w:t>
      </w:r>
      <w:r>
        <w:rPr/>
        <w:t>staff</w:t>
      </w:r>
      <w:r>
        <w:rPr>
          <w:spacing w:val="-5"/>
        </w:rPr>
        <w:t> </w:t>
      </w:r>
      <w:r>
        <w:rPr/>
        <w:t>members</w:t>
      </w:r>
      <w:r>
        <w:rPr>
          <w:spacing w:val="-3"/>
        </w:rPr>
        <w:t> </w:t>
      </w:r>
      <w:r>
        <w:rPr/>
        <w:t>employed</w:t>
      </w:r>
      <w:r>
        <w:rPr>
          <w:spacing w:val="-1"/>
        </w:rPr>
        <w:t> </w:t>
      </w:r>
      <w:r>
        <w:rPr/>
        <w:t>at Mapúa Malayan Colleges Mindanao in Davao City, during the conduct of the research. This</w:t>
      </w:r>
      <w:r>
        <w:rPr>
          <w:spacing w:val="-4"/>
        </w:rPr>
        <w:t> </w:t>
      </w:r>
      <w:r>
        <w:rPr/>
        <w:t>group</w:t>
      </w:r>
      <w:r>
        <w:rPr>
          <w:spacing w:val="-3"/>
        </w:rPr>
        <w:t> </w:t>
      </w:r>
      <w:r>
        <w:rPr/>
        <w:t>was</w:t>
      </w:r>
      <w:r>
        <w:rPr>
          <w:spacing w:val="-5"/>
        </w:rPr>
        <w:t> </w:t>
      </w:r>
      <w:r>
        <w:rPr/>
        <w:t>purposively</w:t>
      </w:r>
      <w:r>
        <w:rPr>
          <w:spacing w:val="-7"/>
        </w:rPr>
        <w:t> </w:t>
      </w:r>
      <w:r>
        <w:rPr/>
        <w:t>chosen</w:t>
      </w:r>
      <w:r>
        <w:rPr>
          <w:spacing w:val="-5"/>
        </w:rPr>
        <w:t> </w:t>
      </w:r>
      <w:r>
        <w:rPr/>
        <w:t>because</w:t>
      </w:r>
      <w:r>
        <w:rPr>
          <w:spacing w:val="-6"/>
        </w:rPr>
        <w:t> </w:t>
      </w:r>
      <w:r>
        <w:rPr/>
        <w:t>they</w:t>
      </w:r>
      <w:r>
        <w:rPr>
          <w:spacing w:val="-7"/>
        </w:rPr>
        <w:t> </w:t>
      </w:r>
      <w:r>
        <w:rPr/>
        <w:t>are</w:t>
      </w:r>
      <w:r>
        <w:rPr>
          <w:spacing w:val="-7"/>
        </w:rPr>
        <w:t> </w:t>
      </w:r>
      <w:r>
        <w:rPr/>
        <w:t>directly</w:t>
      </w:r>
      <w:r>
        <w:rPr>
          <w:spacing w:val="-10"/>
        </w:rPr>
        <w:t> </w:t>
      </w:r>
      <w:r>
        <w:rPr/>
        <w:t>involved</w:t>
      </w:r>
      <w:r>
        <w:rPr>
          <w:spacing w:val="-5"/>
        </w:rPr>
        <w:t> </w:t>
      </w:r>
      <w:r>
        <w:rPr/>
        <w:t>in</w:t>
      </w:r>
      <w:r>
        <w:rPr>
          <w:spacing w:val="-4"/>
        </w:rPr>
        <w:t> </w:t>
      </w:r>
      <w:r>
        <w:rPr/>
        <w:t>food</w:t>
      </w:r>
      <w:r>
        <w:rPr>
          <w:spacing w:val="-5"/>
        </w:rPr>
        <w:t> </w:t>
      </w:r>
      <w:r>
        <w:rPr/>
        <w:t>preparation, packaging, and service, and thus have the most relevant knowledge regarding the operational</w:t>
      </w:r>
      <w:r>
        <w:rPr>
          <w:spacing w:val="-2"/>
        </w:rPr>
        <w:t> </w:t>
      </w:r>
      <w:r>
        <w:rPr/>
        <w:t>and</w:t>
      </w:r>
      <w:r>
        <w:rPr>
          <w:spacing w:val="-2"/>
        </w:rPr>
        <w:t> </w:t>
      </w:r>
      <w:r>
        <w:rPr/>
        <w:t>cost</w:t>
      </w:r>
      <w:r>
        <w:rPr>
          <w:spacing w:val="-2"/>
        </w:rPr>
        <w:t> </w:t>
      </w:r>
      <w:r>
        <w:rPr/>
        <w:t>implications</w:t>
      </w:r>
      <w:r>
        <w:rPr>
          <w:spacing w:val="-2"/>
        </w:rPr>
        <w:t> </w:t>
      </w:r>
      <w:r>
        <w:rPr/>
        <w:t>of</w:t>
      </w:r>
      <w:r>
        <w:rPr>
          <w:spacing w:val="-3"/>
        </w:rPr>
        <w:t> </w:t>
      </w:r>
      <w:r>
        <w:rPr/>
        <w:t>shifting</w:t>
      </w:r>
      <w:r>
        <w:rPr>
          <w:spacing w:val="-4"/>
        </w:rPr>
        <w:t> </w:t>
      </w:r>
      <w:r>
        <w:rPr/>
        <w:t>from plastic</w:t>
      </w:r>
      <w:r>
        <w:rPr>
          <w:spacing w:val="-3"/>
        </w:rPr>
        <w:t> </w:t>
      </w:r>
      <w:r>
        <w:rPr/>
        <w:t>to</w:t>
      </w:r>
      <w:r>
        <w:rPr>
          <w:spacing w:val="-2"/>
        </w:rPr>
        <w:t> </w:t>
      </w:r>
      <w:r>
        <w:rPr/>
        <w:t>compostable</w:t>
      </w:r>
      <w:r>
        <w:rPr>
          <w:spacing w:val="-3"/>
        </w:rPr>
        <w:t> </w:t>
      </w:r>
      <w:r>
        <w:rPr/>
        <w:t>packaging.</w:t>
      </w:r>
      <w:r>
        <w:rPr>
          <w:spacing w:val="-2"/>
        </w:rPr>
        <w:t> </w:t>
      </w:r>
      <w:r>
        <w:rPr/>
        <w:t>Their daily responsibilities give them direct exposure to issues such as cost efficiency, handling procedures,</w:t>
      </w:r>
      <w:r>
        <w:rPr>
          <w:spacing w:val="-11"/>
        </w:rPr>
        <w:t> </w:t>
      </w:r>
      <w:r>
        <w:rPr/>
        <w:t>storage</w:t>
      </w:r>
      <w:r>
        <w:rPr>
          <w:spacing w:val="-12"/>
        </w:rPr>
        <w:t> </w:t>
      </w:r>
      <w:r>
        <w:rPr/>
        <w:t>requirements,</w:t>
      </w:r>
      <w:r>
        <w:rPr>
          <w:spacing w:val="-11"/>
        </w:rPr>
        <w:t> </w:t>
      </w:r>
      <w:r>
        <w:rPr/>
        <w:t>and</w:t>
      </w:r>
      <w:r>
        <w:rPr>
          <w:spacing w:val="-10"/>
        </w:rPr>
        <w:t> </w:t>
      </w:r>
      <w:r>
        <w:rPr/>
        <w:t>waste</w:t>
      </w:r>
      <w:r>
        <w:rPr>
          <w:spacing w:val="-10"/>
        </w:rPr>
        <w:t> </w:t>
      </w:r>
      <w:r>
        <w:rPr/>
        <w:t>management,</w:t>
      </w:r>
      <w:r>
        <w:rPr>
          <w:spacing w:val="-11"/>
        </w:rPr>
        <w:t> </w:t>
      </w:r>
      <w:r>
        <w:rPr/>
        <w:t>making</w:t>
      </w:r>
      <w:r>
        <w:rPr>
          <w:spacing w:val="-13"/>
        </w:rPr>
        <w:t> </w:t>
      </w:r>
      <w:r>
        <w:rPr/>
        <w:t>their</w:t>
      </w:r>
      <w:r>
        <w:rPr>
          <w:spacing w:val="-10"/>
        </w:rPr>
        <w:t> </w:t>
      </w:r>
      <w:r>
        <w:rPr/>
        <w:t>insights</w:t>
      </w:r>
      <w:r>
        <w:rPr>
          <w:spacing w:val="-11"/>
        </w:rPr>
        <w:t> </w:t>
      </w:r>
      <w:r>
        <w:rPr/>
        <w:t>crucial</w:t>
      </w:r>
      <w:r>
        <w:rPr>
          <w:spacing w:val="-9"/>
        </w:rPr>
        <w:t> </w:t>
      </w:r>
      <w:r>
        <w:rPr/>
        <w:t>for assessing the practicality of the transition.</w:t>
      </w:r>
    </w:p>
    <w:p>
      <w:pPr>
        <w:pStyle w:val="BodyText"/>
        <w:spacing w:line="480" w:lineRule="auto" w:before="162"/>
        <w:ind w:left="326" w:right="1083" w:firstLine="720"/>
        <w:jc w:val="both"/>
      </w:pPr>
      <w:r>
        <w:rPr/>
        <w:t>Because the total population of canteen staff is small, the study will employ a complete enumeration method. This refers to the collection of data from every</w:t>
      </w:r>
      <w:r>
        <w:rPr>
          <w:spacing w:val="-6"/>
        </w:rPr>
        <w:t> </w:t>
      </w:r>
      <w:r>
        <w:rPr/>
        <w:t>member of the population instead of relying on a sample (Lavrakas, 2008). This would eliminate sampling</w:t>
      </w:r>
      <w:r>
        <w:rPr>
          <w:spacing w:val="-8"/>
        </w:rPr>
        <w:t> </w:t>
      </w:r>
      <w:r>
        <w:rPr/>
        <w:t>error</w:t>
      </w:r>
      <w:r>
        <w:rPr>
          <w:spacing w:val="-7"/>
        </w:rPr>
        <w:t> </w:t>
      </w:r>
      <w:r>
        <w:rPr/>
        <w:t>and</w:t>
      </w:r>
      <w:r>
        <w:rPr>
          <w:spacing w:val="-7"/>
        </w:rPr>
        <w:t> </w:t>
      </w:r>
      <w:r>
        <w:rPr/>
        <w:t>ensures</w:t>
      </w:r>
      <w:r>
        <w:rPr>
          <w:spacing w:val="-8"/>
        </w:rPr>
        <w:t> </w:t>
      </w:r>
      <w:r>
        <w:rPr/>
        <w:t>that</w:t>
      </w:r>
      <w:r>
        <w:rPr>
          <w:spacing w:val="-9"/>
        </w:rPr>
        <w:t> </w:t>
      </w:r>
      <w:r>
        <w:rPr/>
        <w:t>the</w:t>
      </w:r>
      <w:r>
        <w:rPr>
          <w:spacing w:val="-7"/>
        </w:rPr>
        <w:t> </w:t>
      </w:r>
      <w:r>
        <w:rPr/>
        <w:t>findings</w:t>
      </w:r>
      <w:r>
        <w:rPr>
          <w:spacing w:val="-6"/>
        </w:rPr>
        <w:t> </w:t>
      </w:r>
      <w:r>
        <w:rPr/>
        <w:t>reflect</w:t>
      </w:r>
      <w:r>
        <w:rPr>
          <w:spacing w:val="-7"/>
        </w:rPr>
        <w:t> </w:t>
      </w:r>
      <w:r>
        <w:rPr/>
        <w:t>the</w:t>
      </w:r>
      <w:r>
        <w:rPr>
          <w:spacing w:val="-9"/>
        </w:rPr>
        <w:t> </w:t>
      </w:r>
      <w:r>
        <w:rPr/>
        <w:t>full</w:t>
      </w:r>
      <w:r>
        <w:rPr>
          <w:spacing w:val="-6"/>
        </w:rPr>
        <w:t> </w:t>
      </w:r>
      <w:r>
        <w:rPr/>
        <w:t>range</w:t>
      </w:r>
      <w:r>
        <w:rPr>
          <w:spacing w:val="-7"/>
        </w:rPr>
        <w:t> </w:t>
      </w:r>
      <w:r>
        <w:rPr/>
        <w:t>of</w:t>
      </w:r>
      <w:r>
        <w:rPr>
          <w:spacing w:val="-7"/>
        </w:rPr>
        <w:t> </w:t>
      </w:r>
      <w:r>
        <w:rPr/>
        <w:t>perspectives</w:t>
      </w:r>
      <w:r>
        <w:rPr>
          <w:spacing w:val="-8"/>
        </w:rPr>
        <w:t> </w:t>
      </w:r>
      <w:r>
        <w:rPr/>
        <w:t>within</w:t>
      </w:r>
      <w:r>
        <w:rPr>
          <w:spacing w:val="-8"/>
        </w:rPr>
        <w:t> </w:t>
      </w:r>
      <w:r>
        <w:rPr>
          <w:spacing w:val="-5"/>
        </w:rPr>
        <w:t>the</w:t>
      </w:r>
    </w:p>
    <w:p>
      <w:pPr>
        <w:pStyle w:val="BodyText"/>
        <w:spacing w:after="0" w:line="480" w:lineRule="auto"/>
        <w:jc w:val="both"/>
        <w:sectPr>
          <w:pgSz w:w="12240" w:h="15840"/>
          <w:pgMar w:header="763" w:footer="0" w:top="1340" w:bottom="280" w:left="1800" w:right="360"/>
        </w:sectPr>
      </w:pPr>
    </w:p>
    <w:p>
      <w:pPr>
        <w:pStyle w:val="BodyText"/>
        <w:spacing w:line="480" w:lineRule="auto" w:before="80"/>
        <w:ind w:left="326" w:right="1083"/>
        <w:jc w:val="both"/>
      </w:pPr>
      <w:r>
        <w:rPr/>
        <w:t>canteen</w:t>
      </w:r>
      <w:r>
        <w:rPr>
          <w:spacing w:val="-11"/>
        </w:rPr>
        <w:t> </w:t>
      </w:r>
      <w:r>
        <w:rPr/>
        <w:t>staff.</w:t>
      </w:r>
      <w:r>
        <w:rPr>
          <w:spacing w:val="-6"/>
        </w:rPr>
        <w:t> </w:t>
      </w:r>
      <w:r>
        <w:rPr/>
        <w:t>It</w:t>
      </w:r>
      <w:r>
        <w:rPr>
          <w:spacing w:val="-10"/>
        </w:rPr>
        <w:t> </w:t>
      </w:r>
      <w:r>
        <w:rPr/>
        <w:t>is</w:t>
      </w:r>
      <w:r>
        <w:rPr>
          <w:spacing w:val="-10"/>
        </w:rPr>
        <w:t> </w:t>
      </w:r>
      <w:r>
        <w:rPr/>
        <w:t>suitable</w:t>
      </w:r>
      <w:r>
        <w:rPr>
          <w:spacing w:val="-12"/>
        </w:rPr>
        <w:t> </w:t>
      </w:r>
      <w:r>
        <w:rPr/>
        <w:t>when</w:t>
      </w:r>
      <w:r>
        <w:rPr>
          <w:spacing w:val="-11"/>
        </w:rPr>
        <w:t> </w:t>
      </w:r>
      <w:r>
        <w:rPr/>
        <w:t>the</w:t>
      </w:r>
      <w:r>
        <w:rPr>
          <w:spacing w:val="-9"/>
        </w:rPr>
        <w:t> </w:t>
      </w:r>
      <w:r>
        <w:rPr/>
        <w:t>population</w:t>
      </w:r>
      <w:r>
        <w:rPr>
          <w:spacing w:val="-10"/>
        </w:rPr>
        <w:t> </w:t>
      </w:r>
      <w:r>
        <w:rPr/>
        <w:t>is</w:t>
      </w:r>
      <w:r>
        <w:rPr>
          <w:spacing w:val="-10"/>
        </w:rPr>
        <w:t> </w:t>
      </w:r>
      <w:r>
        <w:rPr/>
        <w:t>manageable</w:t>
      </w:r>
      <w:r>
        <w:rPr>
          <w:spacing w:val="-12"/>
        </w:rPr>
        <w:t> </w:t>
      </w:r>
      <w:r>
        <w:rPr/>
        <w:t>in</w:t>
      </w:r>
      <w:r>
        <w:rPr>
          <w:spacing w:val="-10"/>
        </w:rPr>
        <w:t> </w:t>
      </w:r>
      <w:r>
        <w:rPr/>
        <w:t>size,</w:t>
      </w:r>
      <w:r>
        <w:rPr>
          <w:spacing w:val="-11"/>
        </w:rPr>
        <w:t> </w:t>
      </w:r>
      <w:r>
        <w:rPr/>
        <w:t>as</w:t>
      </w:r>
      <w:r>
        <w:rPr>
          <w:spacing w:val="-10"/>
        </w:rPr>
        <w:t> </w:t>
      </w:r>
      <w:r>
        <w:rPr/>
        <w:t>in</w:t>
      </w:r>
      <w:r>
        <w:rPr>
          <w:spacing w:val="-10"/>
        </w:rPr>
        <w:t> </w:t>
      </w:r>
      <w:r>
        <w:rPr/>
        <w:t>this</w:t>
      </w:r>
      <w:r>
        <w:rPr>
          <w:spacing w:val="-10"/>
        </w:rPr>
        <w:t> </w:t>
      </w:r>
      <w:r>
        <w:rPr/>
        <w:t>case</w:t>
      </w:r>
      <w:r>
        <w:rPr>
          <w:spacing w:val="-11"/>
        </w:rPr>
        <w:t> </w:t>
      </w:r>
      <w:r>
        <w:rPr/>
        <w:t>(Singh &amp; Masuku, 2014).</w:t>
      </w:r>
    </w:p>
    <w:p>
      <w:pPr>
        <w:pStyle w:val="BodyText"/>
        <w:spacing w:line="480" w:lineRule="auto" w:before="160"/>
        <w:ind w:left="326" w:right="1077" w:firstLine="720"/>
        <w:jc w:val="both"/>
      </w:pPr>
      <w:r>
        <w:rPr/>
        <w:t>All canteen staff members available at the time of data collection will be included regardless of their roles (e.g., kitchen workers, servers, cashiers). Since each role engages with food packaging in different ways, including the entire group allows for a more comprehensive</w:t>
      </w:r>
      <w:r>
        <w:rPr>
          <w:spacing w:val="-15"/>
        </w:rPr>
        <w:t> </w:t>
      </w:r>
      <w:r>
        <w:rPr/>
        <w:t>understanding</w:t>
      </w:r>
      <w:r>
        <w:rPr>
          <w:spacing w:val="-15"/>
        </w:rPr>
        <w:t> </w:t>
      </w:r>
      <w:r>
        <w:rPr/>
        <w:t>of</w:t>
      </w:r>
      <w:r>
        <w:rPr>
          <w:spacing w:val="-14"/>
        </w:rPr>
        <w:t> </w:t>
      </w:r>
      <w:r>
        <w:rPr/>
        <w:t>the</w:t>
      </w:r>
      <w:r>
        <w:rPr>
          <w:spacing w:val="-15"/>
        </w:rPr>
        <w:t> </w:t>
      </w:r>
      <w:r>
        <w:rPr/>
        <w:t>operational</w:t>
      </w:r>
      <w:r>
        <w:rPr>
          <w:spacing w:val="-12"/>
        </w:rPr>
        <w:t> </w:t>
      </w:r>
      <w:r>
        <w:rPr/>
        <w:t>challenges</w:t>
      </w:r>
      <w:r>
        <w:rPr>
          <w:spacing w:val="-12"/>
        </w:rPr>
        <w:t> </w:t>
      </w:r>
      <w:r>
        <w:rPr/>
        <w:t>and</w:t>
      </w:r>
      <w:r>
        <w:rPr>
          <w:spacing w:val="-13"/>
        </w:rPr>
        <w:t> </w:t>
      </w:r>
      <w:r>
        <w:rPr/>
        <w:t>cost-benefit</w:t>
      </w:r>
      <w:r>
        <w:rPr>
          <w:spacing w:val="-12"/>
        </w:rPr>
        <w:t> </w:t>
      </w:r>
      <w:r>
        <w:rPr/>
        <w:t>considerations </w:t>
      </w:r>
      <w:r>
        <w:rPr>
          <w:spacing w:val="-2"/>
        </w:rPr>
        <w:t>involved.</w:t>
      </w:r>
    </w:p>
    <w:p>
      <w:pPr>
        <w:pStyle w:val="Heading1"/>
        <w:numPr>
          <w:ilvl w:val="1"/>
          <w:numId w:val="1"/>
        </w:numPr>
        <w:tabs>
          <w:tab w:pos="686" w:val="left" w:leader="none"/>
        </w:tabs>
        <w:spacing w:line="240" w:lineRule="auto" w:before="244" w:after="0"/>
        <w:ind w:left="686" w:right="0" w:hanging="360"/>
        <w:jc w:val="both"/>
      </w:pPr>
      <w:r>
        <w:rPr/>
        <w:t>Data</w:t>
      </w:r>
      <w:r>
        <w:rPr>
          <w:spacing w:val="-2"/>
        </w:rPr>
        <w:t> Collection</w:t>
      </w:r>
    </w:p>
    <w:p>
      <w:pPr>
        <w:pStyle w:val="BodyText"/>
        <w:spacing w:before="155"/>
        <w:rPr>
          <w:b/>
        </w:rPr>
      </w:pPr>
    </w:p>
    <w:p>
      <w:pPr>
        <w:pStyle w:val="BodyText"/>
        <w:spacing w:line="480" w:lineRule="auto" w:before="1"/>
        <w:ind w:left="326" w:right="1077" w:firstLine="720"/>
        <w:jc w:val="both"/>
      </w:pPr>
      <w:r>
        <w:rPr/>
        <w:t>The process of gathering data for this study was carried out in a straightforward manner. The researchers first sought verbal consent from the canteen management of Mapúa</w:t>
      </w:r>
      <w:r>
        <w:rPr>
          <w:spacing w:val="-7"/>
        </w:rPr>
        <w:t> </w:t>
      </w:r>
      <w:r>
        <w:rPr/>
        <w:t>Malayan</w:t>
      </w:r>
      <w:r>
        <w:rPr>
          <w:spacing w:val="-6"/>
        </w:rPr>
        <w:t> </w:t>
      </w:r>
      <w:r>
        <w:rPr/>
        <w:t>Colleges</w:t>
      </w:r>
      <w:r>
        <w:rPr>
          <w:spacing w:val="-6"/>
        </w:rPr>
        <w:t> </w:t>
      </w:r>
      <w:r>
        <w:rPr/>
        <w:t>Mindanao</w:t>
      </w:r>
      <w:r>
        <w:rPr>
          <w:spacing w:val="-6"/>
        </w:rPr>
        <w:t> </w:t>
      </w:r>
      <w:r>
        <w:rPr/>
        <w:t>(MMCM)</w:t>
      </w:r>
      <w:r>
        <w:rPr>
          <w:spacing w:val="-6"/>
        </w:rPr>
        <w:t> </w:t>
      </w:r>
      <w:r>
        <w:rPr/>
        <w:t>to</w:t>
      </w:r>
      <w:r>
        <w:rPr>
          <w:spacing w:val="-5"/>
        </w:rPr>
        <w:t> </w:t>
      </w:r>
      <w:r>
        <w:rPr/>
        <w:t>allow</w:t>
      </w:r>
      <w:r>
        <w:rPr>
          <w:spacing w:val="-6"/>
        </w:rPr>
        <w:t> </w:t>
      </w:r>
      <w:r>
        <w:rPr/>
        <w:t>the</w:t>
      </w:r>
      <w:r>
        <w:rPr>
          <w:spacing w:val="-6"/>
        </w:rPr>
        <w:t> </w:t>
      </w:r>
      <w:r>
        <w:rPr/>
        <w:t>survey</w:t>
      </w:r>
      <w:r>
        <w:rPr>
          <w:spacing w:val="-11"/>
        </w:rPr>
        <w:t> </w:t>
      </w:r>
      <w:r>
        <w:rPr/>
        <w:t>to</w:t>
      </w:r>
      <w:r>
        <w:rPr>
          <w:spacing w:val="-5"/>
        </w:rPr>
        <w:t> </w:t>
      </w:r>
      <w:r>
        <w:rPr/>
        <w:t>be</w:t>
      </w:r>
      <w:r>
        <w:rPr>
          <w:spacing w:val="-7"/>
        </w:rPr>
        <w:t> </w:t>
      </w:r>
      <w:r>
        <w:rPr/>
        <w:t>conducted</w:t>
      </w:r>
      <w:r>
        <w:rPr>
          <w:spacing w:val="-6"/>
        </w:rPr>
        <w:t> </w:t>
      </w:r>
      <w:r>
        <w:rPr/>
        <w:t>among their</w:t>
      </w:r>
      <w:r>
        <w:rPr>
          <w:spacing w:val="-11"/>
        </w:rPr>
        <w:t> </w:t>
      </w:r>
      <w:r>
        <w:rPr/>
        <w:t>staff.</w:t>
      </w:r>
      <w:r>
        <w:rPr>
          <w:spacing w:val="-11"/>
        </w:rPr>
        <w:t> </w:t>
      </w:r>
      <w:r>
        <w:rPr/>
        <w:t>After</w:t>
      </w:r>
      <w:r>
        <w:rPr>
          <w:spacing w:val="-9"/>
        </w:rPr>
        <w:t> </w:t>
      </w:r>
      <w:r>
        <w:rPr/>
        <w:t>receiving</w:t>
      </w:r>
      <w:r>
        <w:rPr>
          <w:spacing w:val="-13"/>
        </w:rPr>
        <w:t> </w:t>
      </w:r>
      <w:r>
        <w:rPr/>
        <w:t>approval,</w:t>
      </w:r>
      <w:r>
        <w:rPr>
          <w:spacing w:val="-10"/>
        </w:rPr>
        <w:t> </w:t>
      </w:r>
      <w:r>
        <w:rPr/>
        <w:t>a</w:t>
      </w:r>
      <w:r>
        <w:rPr>
          <w:spacing w:val="-9"/>
        </w:rPr>
        <w:t> </w:t>
      </w:r>
      <w:r>
        <w:rPr/>
        <w:t>researcher-prepared</w:t>
      </w:r>
      <w:r>
        <w:rPr>
          <w:spacing w:val="-10"/>
        </w:rPr>
        <w:t> </w:t>
      </w:r>
      <w:r>
        <w:rPr/>
        <w:t>online</w:t>
      </w:r>
      <w:r>
        <w:rPr>
          <w:spacing w:val="-12"/>
        </w:rPr>
        <w:t> </w:t>
      </w:r>
      <w:r>
        <w:rPr/>
        <w:t>survey</w:t>
      </w:r>
      <w:r>
        <w:rPr>
          <w:spacing w:val="-14"/>
        </w:rPr>
        <w:t> </w:t>
      </w:r>
      <w:r>
        <w:rPr/>
        <w:t>questionnaire</w:t>
      </w:r>
      <w:r>
        <w:rPr>
          <w:spacing w:val="-12"/>
        </w:rPr>
        <w:t> </w:t>
      </w:r>
      <w:r>
        <w:rPr/>
        <w:t>was personally</w:t>
      </w:r>
      <w:r>
        <w:rPr>
          <w:spacing w:val="-15"/>
        </w:rPr>
        <w:t> </w:t>
      </w:r>
      <w:r>
        <w:rPr/>
        <w:t>distributed</w:t>
      </w:r>
      <w:r>
        <w:rPr>
          <w:spacing w:val="-13"/>
        </w:rPr>
        <w:t> </w:t>
      </w:r>
      <w:r>
        <w:rPr/>
        <w:t>to</w:t>
      </w:r>
      <w:r>
        <w:rPr>
          <w:spacing w:val="-9"/>
        </w:rPr>
        <w:t> </w:t>
      </w:r>
      <w:r>
        <w:rPr/>
        <w:t>15</w:t>
      </w:r>
      <w:r>
        <w:rPr>
          <w:spacing w:val="-12"/>
        </w:rPr>
        <w:t> </w:t>
      </w:r>
      <w:r>
        <w:rPr/>
        <w:t>staff</w:t>
      </w:r>
      <w:r>
        <w:rPr>
          <w:spacing w:val="-13"/>
        </w:rPr>
        <w:t> </w:t>
      </w:r>
      <w:r>
        <w:rPr/>
        <w:t>members</w:t>
      </w:r>
      <w:r>
        <w:rPr>
          <w:spacing w:val="-13"/>
        </w:rPr>
        <w:t> </w:t>
      </w:r>
      <w:r>
        <w:rPr/>
        <w:t>during</w:t>
      </w:r>
      <w:r>
        <w:rPr>
          <w:spacing w:val="-14"/>
        </w:rPr>
        <w:t> </w:t>
      </w:r>
      <w:r>
        <w:rPr/>
        <w:t>their</w:t>
      </w:r>
      <w:r>
        <w:rPr>
          <w:spacing w:val="-12"/>
        </w:rPr>
        <w:t> </w:t>
      </w:r>
      <w:r>
        <w:rPr/>
        <w:t>break</w:t>
      </w:r>
      <w:r>
        <w:rPr>
          <w:spacing w:val="-12"/>
        </w:rPr>
        <w:t> </w:t>
      </w:r>
      <w:r>
        <w:rPr/>
        <w:t>times</w:t>
      </w:r>
      <w:r>
        <w:rPr>
          <w:spacing w:val="-12"/>
        </w:rPr>
        <w:t> </w:t>
      </w:r>
      <w:r>
        <w:rPr/>
        <w:t>to</w:t>
      </w:r>
      <w:r>
        <w:rPr>
          <w:spacing w:val="-12"/>
        </w:rPr>
        <w:t> </w:t>
      </w:r>
      <w:r>
        <w:rPr/>
        <w:t>avoid</w:t>
      </w:r>
      <w:r>
        <w:rPr>
          <w:spacing w:val="-9"/>
        </w:rPr>
        <w:t> </w:t>
      </w:r>
      <w:r>
        <w:rPr/>
        <w:t>disrupting</w:t>
      </w:r>
      <w:r>
        <w:rPr>
          <w:spacing w:val="-14"/>
        </w:rPr>
        <w:t> </w:t>
      </w:r>
      <w:r>
        <w:rPr/>
        <w:t>their work. Before answering the survey, the respondents were informed about the purpose of the study, which was to examine the cost implications, operational feasibility, and environmental benefits of shifting to compostable packaging. They</w:t>
      </w:r>
      <w:r>
        <w:rPr>
          <w:spacing w:val="-1"/>
        </w:rPr>
        <w:t> </w:t>
      </w:r>
      <w:r>
        <w:rPr/>
        <w:t>were also assured that their</w:t>
      </w:r>
      <w:r>
        <w:rPr>
          <w:spacing w:val="-4"/>
        </w:rPr>
        <w:t> </w:t>
      </w:r>
      <w:r>
        <w:rPr/>
        <w:t>answers</w:t>
      </w:r>
      <w:r>
        <w:rPr>
          <w:spacing w:val="-3"/>
        </w:rPr>
        <w:t> </w:t>
      </w:r>
      <w:r>
        <w:rPr/>
        <w:t>would</w:t>
      </w:r>
      <w:r>
        <w:rPr>
          <w:spacing w:val="-3"/>
        </w:rPr>
        <w:t> </w:t>
      </w:r>
      <w:r>
        <w:rPr/>
        <w:t>remain</w:t>
      </w:r>
      <w:r>
        <w:rPr>
          <w:spacing w:val="-3"/>
        </w:rPr>
        <w:t> </w:t>
      </w:r>
      <w:r>
        <w:rPr/>
        <w:t>anonymous</w:t>
      </w:r>
      <w:r>
        <w:rPr>
          <w:spacing w:val="-2"/>
        </w:rPr>
        <w:t> </w:t>
      </w:r>
      <w:r>
        <w:rPr/>
        <w:t>and</w:t>
      </w:r>
      <w:r>
        <w:rPr>
          <w:spacing w:val="-3"/>
        </w:rPr>
        <w:t> </w:t>
      </w:r>
      <w:r>
        <w:rPr/>
        <w:t>confidential.</w:t>
      </w:r>
      <w:r>
        <w:rPr>
          <w:spacing w:val="-1"/>
        </w:rPr>
        <w:t> </w:t>
      </w:r>
      <w:r>
        <w:rPr/>
        <w:t>The</w:t>
      </w:r>
      <w:r>
        <w:rPr>
          <w:spacing w:val="-5"/>
        </w:rPr>
        <w:t> </w:t>
      </w:r>
      <w:r>
        <w:rPr/>
        <w:t>questionnaire</w:t>
      </w:r>
      <w:r>
        <w:rPr>
          <w:spacing w:val="-4"/>
        </w:rPr>
        <w:t> </w:t>
      </w:r>
      <w:r>
        <w:rPr/>
        <w:t>made</w:t>
      </w:r>
      <w:r>
        <w:rPr>
          <w:spacing w:val="-4"/>
        </w:rPr>
        <w:t> </w:t>
      </w:r>
      <w:r>
        <w:rPr/>
        <w:t>use</w:t>
      </w:r>
      <w:r>
        <w:rPr>
          <w:spacing w:val="-3"/>
        </w:rPr>
        <w:t> </w:t>
      </w:r>
      <w:r>
        <w:rPr/>
        <w:t>of</w:t>
      </w:r>
      <w:r>
        <w:rPr>
          <w:spacing w:val="-3"/>
        </w:rPr>
        <w:t> </w:t>
      </w:r>
      <w:r>
        <w:rPr/>
        <w:t>a four-point likert scale and was organized into sections covering cost, operational challenges, and environmental perceptions. The information collected from the respondents’ answers became the primary basis for the study’s analysis.</w:t>
      </w:r>
    </w:p>
    <w:p>
      <w:pPr>
        <w:pStyle w:val="BodyText"/>
        <w:spacing w:after="0" w:line="480" w:lineRule="auto"/>
        <w:jc w:val="both"/>
        <w:sectPr>
          <w:pgSz w:w="12240" w:h="15840"/>
          <w:pgMar w:header="763" w:footer="0" w:top="1340" w:bottom="280" w:left="1800" w:right="360"/>
        </w:sectPr>
      </w:pPr>
    </w:p>
    <w:p>
      <w:pPr>
        <w:pStyle w:val="BodyText"/>
        <w:spacing w:before="80" w:after="5"/>
        <w:ind w:left="326"/>
      </w:pPr>
      <w:r>
        <w:rPr>
          <w:b/>
        </w:rPr>
        <w:t>Table</w:t>
      </w:r>
      <w:r>
        <w:rPr>
          <w:b/>
          <w:spacing w:val="-1"/>
        </w:rPr>
        <w:t> </w:t>
      </w:r>
      <w:r>
        <w:rPr>
          <w:b/>
        </w:rPr>
        <w:t>2.3</w:t>
      </w:r>
      <w:r>
        <w:rPr>
          <w:b/>
          <w:spacing w:val="1"/>
        </w:rPr>
        <w:t> </w:t>
      </w:r>
      <w:r>
        <w:rPr/>
        <w:t>Likert</w:t>
      </w:r>
      <w:r>
        <w:rPr>
          <w:spacing w:val="-1"/>
        </w:rPr>
        <w:t> </w:t>
      </w:r>
      <w:r>
        <w:rPr/>
        <w:t>Scale</w:t>
      </w:r>
      <w:r>
        <w:rPr>
          <w:spacing w:val="-1"/>
        </w:rPr>
        <w:t> </w:t>
      </w:r>
      <w:r>
        <w:rPr/>
        <w:t>used in</w:t>
      </w:r>
      <w:r>
        <w:rPr>
          <w:spacing w:val="-1"/>
        </w:rPr>
        <w:t> </w:t>
      </w:r>
      <w:r>
        <w:rPr/>
        <w:t>the</w:t>
      </w:r>
      <w:r>
        <w:rPr>
          <w:spacing w:val="-2"/>
        </w:rPr>
        <w:t> </w:t>
      </w:r>
      <w:r>
        <w:rPr/>
        <w:t>survey</w:t>
      </w:r>
      <w:r>
        <w:rPr>
          <w:spacing w:val="-5"/>
        </w:rPr>
        <w:t> </w:t>
      </w:r>
      <w:r>
        <w:rPr>
          <w:spacing w:val="-2"/>
        </w:rPr>
        <w:t>questionnaire</w:t>
      </w:r>
    </w:p>
    <w:tbl>
      <w:tblPr>
        <w:tblW w:w="0" w:type="auto"/>
        <w:jc w:val="left"/>
        <w:tblInd w:w="3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95"/>
        <w:gridCol w:w="1508"/>
        <w:gridCol w:w="1412"/>
        <w:gridCol w:w="1462"/>
        <w:gridCol w:w="3135"/>
      </w:tblGrid>
      <w:tr>
        <w:trPr>
          <w:trHeight w:val="551" w:hRule="atLeast"/>
        </w:trPr>
        <w:tc>
          <w:tcPr>
            <w:tcW w:w="995" w:type="dxa"/>
            <w:tcBorders>
              <w:top w:val="single" w:sz="4" w:space="0" w:color="7E7E7E"/>
              <w:bottom w:val="single" w:sz="4" w:space="0" w:color="7E7E7E"/>
            </w:tcBorders>
          </w:tcPr>
          <w:p>
            <w:pPr>
              <w:pStyle w:val="TableParagraph"/>
              <w:spacing w:line="275" w:lineRule="exact"/>
              <w:ind w:left="2" w:right="71"/>
              <w:jc w:val="center"/>
              <w:rPr>
                <w:b/>
                <w:sz w:val="24"/>
              </w:rPr>
            </w:pPr>
            <w:r>
              <w:rPr>
                <w:b/>
                <w:spacing w:val="-2"/>
                <w:sz w:val="24"/>
              </w:rPr>
              <w:t>Rating</w:t>
            </w:r>
          </w:p>
        </w:tc>
        <w:tc>
          <w:tcPr>
            <w:tcW w:w="1508" w:type="dxa"/>
            <w:tcBorders>
              <w:top w:val="single" w:sz="4" w:space="0" w:color="7E7E7E"/>
              <w:bottom w:val="single" w:sz="4" w:space="0" w:color="7E7E7E"/>
            </w:tcBorders>
          </w:tcPr>
          <w:p>
            <w:pPr>
              <w:pStyle w:val="TableParagraph"/>
              <w:spacing w:line="275" w:lineRule="exact"/>
              <w:ind w:left="6" w:right="17"/>
              <w:jc w:val="center"/>
              <w:rPr>
                <w:b/>
                <w:sz w:val="24"/>
              </w:rPr>
            </w:pPr>
            <w:r>
              <w:rPr>
                <w:b/>
                <w:spacing w:val="-2"/>
                <w:sz w:val="24"/>
              </w:rPr>
              <w:t>Equivalent</w:t>
            </w:r>
          </w:p>
        </w:tc>
        <w:tc>
          <w:tcPr>
            <w:tcW w:w="1412" w:type="dxa"/>
            <w:tcBorders>
              <w:top w:val="single" w:sz="4" w:space="0" w:color="7E7E7E"/>
              <w:bottom w:val="single" w:sz="4" w:space="0" w:color="7E7E7E"/>
            </w:tcBorders>
          </w:tcPr>
          <w:p>
            <w:pPr>
              <w:pStyle w:val="TableParagraph"/>
              <w:spacing w:line="276" w:lineRule="exact"/>
              <w:ind w:left="396" w:right="217" w:hanging="118"/>
              <w:rPr>
                <w:b/>
                <w:sz w:val="24"/>
              </w:rPr>
            </w:pPr>
            <w:r>
              <w:rPr>
                <w:b/>
                <w:sz w:val="24"/>
              </w:rPr>
              <w:t>Range</w:t>
            </w:r>
            <w:r>
              <w:rPr>
                <w:b/>
                <w:spacing w:val="-15"/>
                <w:sz w:val="24"/>
              </w:rPr>
              <w:t> </w:t>
            </w:r>
            <w:r>
              <w:rPr>
                <w:b/>
                <w:sz w:val="24"/>
              </w:rPr>
              <w:t>of </w:t>
            </w:r>
            <w:r>
              <w:rPr>
                <w:b/>
                <w:spacing w:val="-4"/>
                <w:sz w:val="24"/>
              </w:rPr>
              <w:t>Means</w:t>
            </w:r>
          </w:p>
        </w:tc>
        <w:tc>
          <w:tcPr>
            <w:tcW w:w="1462" w:type="dxa"/>
            <w:tcBorders>
              <w:top w:val="single" w:sz="4" w:space="0" w:color="7E7E7E"/>
              <w:bottom w:val="single" w:sz="4" w:space="0" w:color="7E7E7E"/>
            </w:tcBorders>
          </w:tcPr>
          <w:p>
            <w:pPr>
              <w:pStyle w:val="TableParagraph"/>
              <w:spacing w:line="276" w:lineRule="exact"/>
              <w:ind w:left="131" w:right="118" w:firstLine="26"/>
              <w:rPr>
                <w:b/>
                <w:sz w:val="24"/>
              </w:rPr>
            </w:pPr>
            <w:r>
              <w:rPr>
                <w:b/>
                <w:spacing w:val="-2"/>
                <w:sz w:val="24"/>
              </w:rPr>
              <w:t>Descriptive </w:t>
            </w:r>
            <w:r>
              <w:rPr>
                <w:b/>
                <w:sz w:val="24"/>
              </w:rPr>
              <w:t>Mean</w:t>
            </w:r>
            <w:r>
              <w:rPr>
                <w:b/>
                <w:spacing w:val="-4"/>
                <w:sz w:val="24"/>
              </w:rPr>
              <w:t> </w:t>
            </w:r>
            <w:r>
              <w:rPr>
                <w:b/>
                <w:spacing w:val="-2"/>
                <w:sz w:val="24"/>
              </w:rPr>
              <w:t>Level</w:t>
            </w:r>
          </w:p>
        </w:tc>
        <w:tc>
          <w:tcPr>
            <w:tcW w:w="3135" w:type="dxa"/>
            <w:tcBorders>
              <w:top w:val="single" w:sz="4" w:space="0" w:color="7E7E7E"/>
              <w:bottom w:val="single" w:sz="4" w:space="0" w:color="7E7E7E"/>
            </w:tcBorders>
          </w:tcPr>
          <w:p>
            <w:pPr>
              <w:pStyle w:val="TableParagraph"/>
              <w:spacing w:line="275" w:lineRule="exact"/>
              <w:ind w:left="839"/>
              <w:rPr>
                <w:b/>
                <w:sz w:val="24"/>
              </w:rPr>
            </w:pPr>
            <w:r>
              <w:rPr>
                <w:b/>
                <w:spacing w:val="-2"/>
                <w:sz w:val="24"/>
              </w:rPr>
              <w:t>Interpretation</w:t>
            </w:r>
          </w:p>
        </w:tc>
      </w:tr>
      <w:tr>
        <w:trPr>
          <w:trHeight w:val="1379" w:hRule="atLeast"/>
        </w:trPr>
        <w:tc>
          <w:tcPr>
            <w:tcW w:w="995" w:type="dxa"/>
            <w:tcBorders>
              <w:top w:val="single" w:sz="4" w:space="0" w:color="7E7E7E"/>
              <w:bottom w:val="single" w:sz="4" w:space="0" w:color="7E7E7E"/>
            </w:tcBorders>
          </w:tcPr>
          <w:p>
            <w:pPr>
              <w:pStyle w:val="TableParagraph"/>
              <w:spacing w:line="275" w:lineRule="exact"/>
              <w:ind w:right="71"/>
              <w:jc w:val="center"/>
              <w:rPr>
                <w:b/>
                <w:sz w:val="24"/>
              </w:rPr>
            </w:pPr>
            <w:r>
              <w:rPr>
                <w:b/>
                <w:spacing w:val="-10"/>
                <w:sz w:val="24"/>
              </w:rPr>
              <w:t>4</w:t>
            </w:r>
          </w:p>
        </w:tc>
        <w:tc>
          <w:tcPr>
            <w:tcW w:w="1508" w:type="dxa"/>
            <w:tcBorders>
              <w:top w:val="single" w:sz="4" w:space="0" w:color="7E7E7E"/>
              <w:bottom w:val="single" w:sz="4" w:space="0" w:color="7E7E7E"/>
            </w:tcBorders>
          </w:tcPr>
          <w:p>
            <w:pPr>
              <w:pStyle w:val="TableParagraph"/>
              <w:ind w:left="452" w:right="331" w:hanging="120"/>
              <w:rPr>
                <w:sz w:val="24"/>
              </w:rPr>
            </w:pPr>
            <w:r>
              <w:rPr>
                <w:spacing w:val="-2"/>
                <w:sz w:val="24"/>
              </w:rPr>
              <w:t>Strongly Agree</w:t>
            </w:r>
          </w:p>
        </w:tc>
        <w:tc>
          <w:tcPr>
            <w:tcW w:w="1412" w:type="dxa"/>
            <w:tcBorders>
              <w:top w:val="single" w:sz="4" w:space="0" w:color="7E7E7E"/>
              <w:bottom w:val="single" w:sz="4" w:space="0" w:color="7E7E7E"/>
            </w:tcBorders>
          </w:tcPr>
          <w:p>
            <w:pPr>
              <w:pStyle w:val="TableParagraph"/>
              <w:spacing w:line="270" w:lineRule="exact"/>
              <w:ind w:left="197"/>
              <w:rPr>
                <w:sz w:val="24"/>
              </w:rPr>
            </w:pPr>
            <w:r>
              <w:rPr>
                <w:sz w:val="24"/>
              </w:rPr>
              <w:t>3.26 – </w:t>
            </w:r>
            <w:r>
              <w:rPr>
                <w:spacing w:val="-4"/>
                <w:sz w:val="24"/>
              </w:rPr>
              <w:t>4.00</w:t>
            </w:r>
          </w:p>
        </w:tc>
        <w:tc>
          <w:tcPr>
            <w:tcW w:w="1462" w:type="dxa"/>
            <w:tcBorders>
              <w:top w:val="single" w:sz="4" w:space="0" w:color="7E7E7E"/>
              <w:bottom w:val="single" w:sz="4" w:space="0" w:color="7E7E7E"/>
            </w:tcBorders>
          </w:tcPr>
          <w:p>
            <w:pPr>
              <w:pStyle w:val="TableParagraph"/>
              <w:spacing w:line="270" w:lineRule="exact"/>
              <w:ind w:left="10" w:right="4"/>
              <w:jc w:val="center"/>
              <w:rPr>
                <w:sz w:val="24"/>
              </w:rPr>
            </w:pPr>
            <w:r>
              <w:rPr>
                <w:sz w:val="24"/>
              </w:rPr>
              <w:t>Very</w:t>
            </w:r>
            <w:r>
              <w:rPr>
                <w:spacing w:val="-6"/>
                <w:sz w:val="24"/>
              </w:rPr>
              <w:t> </w:t>
            </w:r>
            <w:r>
              <w:rPr>
                <w:spacing w:val="-4"/>
                <w:sz w:val="24"/>
              </w:rPr>
              <w:t>High</w:t>
            </w:r>
          </w:p>
        </w:tc>
        <w:tc>
          <w:tcPr>
            <w:tcW w:w="3135" w:type="dxa"/>
            <w:tcBorders>
              <w:top w:val="single" w:sz="4" w:space="0" w:color="7E7E7E"/>
              <w:bottom w:val="single" w:sz="4" w:space="0" w:color="7E7E7E"/>
            </w:tcBorders>
          </w:tcPr>
          <w:p>
            <w:pPr>
              <w:pStyle w:val="TableParagraph"/>
              <w:tabs>
                <w:tab w:pos="1875" w:val="left" w:leader="none"/>
              </w:tabs>
              <w:ind w:left="122" w:right="107"/>
              <w:jc w:val="both"/>
              <w:rPr>
                <w:sz w:val="24"/>
              </w:rPr>
            </w:pPr>
            <w:r>
              <w:rPr>
                <w:sz w:val="24"/>
              </w:rPr>
              <w:t>The indicator is </w:t>
            </w:r>
            <w:r>
              <w:rPr>
                <w:sz w:val="24"/>
              </w:rPr>
              <w:t>strongly evident and consistently </w:t>
            </w:r>
            <w:r>
              <w:rPr>
                <w:spacing w:val="-2"/>
                <w:sz w:val="24"/>
              </w:rPr>
              <w:t>practiced;</w:t>
            </w:r>
            <w:r>
              <w:rPr>
                <w:sz w:val="24"/>
              </w:rPr>
              <w:tab/>
            </w:r>
            <w:r>
              <w:rPr>
                <w:spacing w:val="-2"/>
                <w:sz w:val="24"/>
              </w:rPr>
              <w:t>respondents </w:t>
            </w:r>
            <w:r>
              <w:rPr>
                <w:sz w:val="24"/>
              </w:rPr>
              <w:t>strongly</w:t>
            </w:r>
            <w:r>
              <w:rPr>
                <w:spacing w:val="53"/>
                <w:w w:val="150"/>
                <w:sz w:val="24"/>
              </w:rPr>
              <w:t>  </w:t>
            </w:r>
            <w:r>
              <w:rPr>
                <w:sz w:val="24"/>
              </w:rPr>
              <w:t>agree</w:t>
            </w:r>
            <w:r>
              <w:rPr>
                <w:spacing w:val="56"/>
                <w:w w:val="150"/>
                <w:sz w:val="24"/>
              </w:rPr>
              <w:t>  </w:t>
            </w:r>
            <w:r>
              <w:rPr>
                <w:sz w:val="24"/>
              </w:rPr>
              <w:t>with</w:t>
            </w:r>
            <w:r>
              <w:rPr>
                <w:spacing w:val="56"/>
                <w:w w:val="150"/>
                <w:sz w:val="24"/>
              </w:rPr>
              <w:t>  </w:t>
            </w:r>
            <w:r>
              <w:rPr>
                <w:spacing w:val="-5"/>
                <w:sz w:val="24"/>
              </w:rPr>
              <w:t>the</w:t>
            </w:r>
          </w:p>
          <w:p>
            <w:pPr>
              <w:pStyle w:val="TableParagraph"/>
              <w:spacing w:line="261" w:lineRule="exact"/>
              <w:ind w:left="122"/>
              <w:rPr>
                <w:sz w:val="24"/>
              </w:rPr>
            </w:pPr>
            <w:r>
              <w:rPr>
                <w:spacing w:val="-2"/>
                <w:sz w:val="24"/>
              </w:rPr>
              <w:t>statement.</w:t>
            </w:r>
          </w:p>
        </w:tc>
      </w:tr>
      <w:tr>
        <w:trPr>
          <w:trHeight w:val="1103" w:hRule="atLeast"/>
        </w:trPr>
        <w:tc>
          <w:tcPr>
            <w:tcW w:w="995" w:type="dxa"/>
            <w:tcBorders>
              <w:top w:val="single" w:sz="4" w:space="0" w:color="7E7E7E"/>
              <w:bottom w:val="single" w:sz="4" w:space="0" w:color="7E7E7E"/>
            </w:tcBorders>
          </w:tcPr>
          <w:p>
            <w:pPr>
              <w:pStyle w:val="TableParagraph"/>
              <w:spacing w:line="275" w:lineRule="exact"/>
              <w:ind w:right="71"/>
              <w:jc w:val="center"/>
              <w:rPr>
                <w:b/>
                <w:sz w:val="24"/>
              </w:rPr>
            </w:pPr>
            <w:r>
              <w:rPr>
                <w:b/>
                <w:spacing w:val="-10"/>
                <w:sz w:val="24"/>
              </w:rPr>
              <w:t>3</w:t>
            </w:r>
          </w:p>
        </w:tc>
        <w:tc>
          <w:tcPr>
            <w:tcW w:w="1508" w:type="dxa"/>
            <w:tcBorders>
              <w:top w:val="single" w:sz="4" w:space="0" w:color="7E7E7E"/>
              <w:bottom w:val="single" w:sz="4" w:space="0" w:color="7E7E7E"/>
            </w:tcBorders>
          </w:tcPr>
          <w:p>
            <w:pPr>
              <w:pStyle w:val="TableParagraph"/>
              <w:spacing w:line="270" w:lineRule="exact"/>
              <w:ind w:right="17"/>
              <w:jc w:val="center"/>
              <w:rPr>
                <w:sz w:val="24"/>
              </w:rPr>
            </w:pPr>
            <w:r>
              <w:rPr>
                <w:spacing w:val="-2"/>
                <w:sz w:val="24"/>
              </w:rPr>
              <w:t>Agree</w:t>
            </w:r>
          </w:p>
        </w:tc>
        <w:tc>
          <w:tcPr>
            <w:tcW w:w="1412" w:type="dxa"/>
            <w:tcBorders>
              <w:top w:val="single" w:sz="4" w:space="0" w:color="7E7E7E"/>
              <w:bottom w:val="single" w:sz="4" w:space="0" w:color="7E7E7E"/>
            </w:tcBorders>
          </w:tcPr>
          <w:p>
            <w:pPr>
              <w:pStyle w:val="TableParagraph"/>
              <w:spacing w:line="270" w:lineRule="exact"/>
              <w:ind w:left="197"/>
              <w:rPr>
                <w:sz w:val="24"/>
              </w:rPr>
            </w:pPr>
            <w:r>
              <w:rPr>
                <w:sz w:val="24"/>
              </w:rPr>
              <w:t>2.51 – </w:t>
            </w:r>
            <w:r>
              <w:rPr>
                <w:spacing w:val="-4"/>
                <w:sz w:val="24"/>
              </w:rPr>
              <w:t>3.25</w:t>
            </w:r>
          </w:p>
        </w:tc>
        <w:tc>
          <w:tcPr>
            <w:tcW w:w="1462" w:type="dxa"/>
            <w:tcBorders>
              <w:top w:val="single" w:sz="4" w:space="0" w:color="7E7E7E"/>
              <w:bottom w:val="single" w:sz="4" w:space="0" w:color="7E7E7E"/>
            </w:tcBorders>
          </w:tcPr>
          <w:p>
            <w:pPr>
              <w:pStyle w:val="TableParagraph"/>
              <w:spacing w:line="270" w:lineRule="exact"/>
              <w:ind w:left="10"/>
              <w:jc w:val="center"/>
              <w:rPr>
                <w:sz w:val="24"/>
              </w:rPr>
            </w:pPr>
            <w:r>
              <w:rPr>
                <w:spacing w:val="-4"/>
                <w:sz w:val="24"/>
              </w:rPr>
              <w:t>High</w:t>
            </w:r>
          </w:p>
        </w:tc>
        <w:tc>
          <w:tcPr>
            <w:tcW w:w="3135" w:type="dxa"/>
            <w:tcBorders>
              <w:top w:val="single" w:sz="4" w:space="0" w:color="7E7E7E"/>
              <w:bottom w:val="single" w:sz="4" w:space="0" w:color="7E7E7E"/>
            </w:tcBorders>
          </w:tcPr>
          <w:p>
            <w:pPr>
              <w:pStyle w:val="TableParagraph"/>
              <w:tabs>
                <w:tab w:pos="2075" w:val="left" w:leader="none"/>
              </w:tabs>
              <w:ind w:left="122" w:right="109"/>
              <w:jc w:val="both"/>
              <w:rPr>
                <w:sz w:val="24"/>
              </w:rPr>
            </w:pPr>
            <w:r>
              <w:rPr>
                <w:sz w:val="24"/>
              </w:rPr>
              <w:t>The indicator is evident </w:t>
            </w:r>
            <w:r>
              <w:rPr>
                <w:sz w:val="24"/>
              </w:rPr>
              <w:t>and </w:t>
            </w:r>
            <w:r>
              <w:rPr>
                <w:spacing w:val="-2"/>
                <w:sz w:val="24"/>
              </w:rPr>
              <w:t>frequently</w:t>
            </w:r>
            <w:r>
              <w:rPr>
                <w:sz w:val="24"/>
              </w:rPr>
              <w:tab/>
            </w:r>
            <w:r>
              <w:rPr>
                <w:spacing w:val="-2"/>
                <w:sz w:val="24"/>
              </w:rPr>
              <w:t>practiced; </w:t>
            </w:r>
            <w:r>
              <w:rPr>
                <w:sz w:val="24"/>
              </w:rPr>
              <w:t>respondents</w:t>
            </w:r>
            <w:r>
              <w:rPr>
                <w:spacing w:val="25"/>
                <w:sz w:val="24"/>
              </w:rPr>
              <w:t>  </w:t>
            </w:r>
            <w:r>
              <w:rPr>
                <w:sz w:val="24"/>
              </w:rPr>
              <w:t>agree</w:t>
            </w:r>
            <w:r>
              <w:rPr>
                <w:spacing w:val="25"/>
                <w:sz w:val="24"/>
              </w:rPr>
              <w:t>  </w:t>
            </w:r>
            <w:r>
              <w:rPr>
                <w:sz w:val="24"/>
              </w:rPr>
              <w:t>with</w:t>
            </w:r>
            <w:r>
              <w:rPr>
                <w:spacing w:val="26"/>
                <w:sz w:val="24"/>
              </w:rPr>
              <w:t>  </w:t>
            </w:r>
            <w:r>
              <w:rPr>
                <w:spacing w:val="-5"/>
                <w:sz w:val="24"/>
              </w:rPr>
              <w:t>the</w:t>
            </w:r>
          </w:p>
          <w:p>
            <w:pPr>
              <w:pStyle w:val="TableParagraph"/>
              <w:spacing w:line="261" w:lineRule="exact"/>
              <w:ind w:left="122"/>
              <w:rPr>
                <w:sz w:val="24"/>
              </w:rPr>
            </w:pPr>
            <w:r>
              <w:rPr>
                <w:spacing w:val="-2"/>
                <w:sz w:val="24"/>
              </w:rPr>
              <w:t>statement.</w:t>
            </w:r>
          </w:p>
        </w:tc>
      </w:tr>
      <w:tr>
        <w:trPr>
          <w:trHeight w:val="1471" w:hRule="atLeast"/>
        </w:trPr>
        <w:tc>
          <w:tcPr>
            <w:tcW w:w="995" w:type="dxa"/>
            <w:tcBorders>
              <w:top w:val="single" w:sz="4" w:space="0" w:color="7E7E7E"/>
              <w:bottom w:val="single" w:sz="4" w:space="0" w:color="7E7E7E"/>
            </w:tcBorders>
          </w:tcPr>
          <w:p>
            <w:pPr>
              <w:pStyle w:val="TableParagraph"/>
              <w:spacing w:before="2"/>
              <w:ind w:right="71"/>
              <w:jc w:val="center"/>
              <w:rPr>
                <w:b/>
                <w:sz w:val="24"/>
              </w:rPr>
            </w:pPr>
            <w:r>
              <w:rPr>
                <w:b/>
                <w:spacing w:val="-10"/>
                <w:sz w:val="24"/>
              </w:rPr>
              <w:t>2</w:t>
            </w:r>
          </w:p>
        </w:tc>
        <w:tc>
          <w:tcPr>
            <w:tcW w:w="1508" w:type="dxa"/>
            <w:tcBorders>
              <w:top w:val="single" w:sz="4" w:space="0" w:color="7E7E7E"/>
              <w:bottom w:val="single" w:sz="4" w:space="0" w:color="7E7E7E"/>
            </w:tcBorders>
          </w:tcPr>
          <w:p>
            <w:pPr>
              <w:pStyle w:val="TableParagraph"/>
              <w:spacing w:line="273" w:lineRule="exact"/>
              <w:ind w:left="2" w:right="17"/>
              <w:jc w:val="center"/>
              <w:rPr>
                <w:sz w:val="24"/>
              </w:rPr>
            </w:pPr>
            <w:r>
              <w:rPr>
                <w:spacing w:val="-2"/>
                <w:sz w:val="24"/>
              </w:rPr>
              <w:t>Disagree</w:t>
            </w:r>
          </w:p>
        </w:tc>
        <w:tc>
          <w:tcPr>
            <w:tcW w:w="1412" w:type="dxa"/>
            <w:tcBorders>
              <w:top w:val="single" w:sz="4" w:space="0" w:color="7E7E7E"/>
              <w:bottom w:val="single" w:sz="4" w:space="0" w:color="7E7E7E"/>
            </w:tcBorders>
          </w:tcPr>
          <w:p>
            <w:pPr>
              <w:pStyle w:val="TableParagraph"/>
              <w:spacing w:line="273" w:lineRule="exact"/>
              <w:ind w:left="197"/>
              <w:rPr>
                <w:sz w:val="24"/>
              </w:rPr>
            </w:pPr>
            <w:r>
              <w:rPr>
                <w:sz w:val="24"/>
              </w:rPr>
              <w:t>1.76 – </w:t>
            </w:r>
            <w:r>
              <w:rPr>
                <w:spacing w:val="-4"/>
                <w:sz w:val="24"/>
              </w:rPr>
              <w:t>2.50</w:t>
            </w:r>
          </w:p>
        </w:tc>
        <w:tc>
          <w:tcPr>
            <w:tcW w:w="1462" w:type="dxa"/>
            <w:tcBorders>
              <w:top w:val="single" w:sz="4" w:space="0" w:color="7E7E7E"/>
              <w:bottom w:val="single" w:sz="4" w:space="0" w:color="7E7E7E"/>
            </w:tcBorders>
          </w:tcPr>
          <w:p>
            <w:pPr>
              <w:pStyle w:val="TableParagraph"/>
              <w:spacing w:line="273" w:lineRule="exact"/>
              <w:ind w:left="10" w:right="2"/>
              <w:jc w:val="center"/>
              <w:rPr>
                <w:sz w:val="24"/>
              </w:rPr>
            </w:pPr>
            <w:r>
              <w:rPr>
                <w:spacing w:val="-5"/>
                <w:sz w:val="24"/>
              </w:rPr>
              <w:t>Low</w:t>
            </w:r>
          </w:p>
        </w:tc>
        <w:tc>
          <w:tcPr>
            <w:tcW w:w="3135" w:type="dxa"/>
            <w:tcBorders>
              <w:top w:val="single" w:sz="4" w:space="0" w:color="7E7E7E"/>
              <w:bottom w:val="single" w:sz="4" w:space="0" w:color="7E7E7E"/>
            </w:tcBorders>
          </w:tcPr>
          <w:p>
            <w:pPr>
              <w:pStyle w:val="TableParagraph"/>
              <w:spacing w:before="71"/>
              <w:rPr>
                <w:sz w:val="24"/>
              </w:rPr>
            </w:pPr>
          </w:p>
          <w:p>
            <w:pPr>
              <w:pStyle w:val="TableParagraph"/>
              <w:tabs>
                <w:tab w:pos="1875" w:val="left" w:leader="none"/>
              </w:tabs>
              <w:spacing w:line="270" w:lineRule="atLeast"/>
              <w:ind w:left="122" w:right="105"/>
              <w:jc w:val="both"/>
              <w:rPr>
                <w:sz w:val="24"/>
              </w:rPr>
            </w:pPr>
            <w:r>
              <w:rPr>
                <w:sz w:val="24"/>
              </w:rPr>
              <w:t>The indicator is </w:t>
            </w:r>
            <w:r>
              <w:rPr>
                <w:sz w:val="24"/>
              </w:rPr>
              <w:t>slightly evident and occasionally </w:t>
            </w:r>
            <w:r>
              <w:rPr>
                <w:spacing w:val="-2"/>
                <w:sz w:val="24"/>
              </w:rPr>
              <w:t>practiced;</w:t>
            </w:r>
            <w:r>
              <w:rPr>
                <w:sz w:val="24"/>
              </w:rPr>
              <w:tab/>
            </w:r>
            <w:r>
              <w:rPr>
                <w:spacing w:val="-2"/>
                <w:sz w:val="24"/>
              </w:rPr>
              <w:t>respondents </w:t>
            </w:r>
            <w:r>
              <w:rPr>
                <w:sz w:val="24"/>
              </w:rPr>
              <w:t>disagree with the statement.</w:t>
            </w:r>
          </w:p>
        </w:tc>
      </w:tr>
      <w:tr>
        <w:trPr>
          <w:trHeight w:val="1103" w:hRule="atLeast"/>
        </w:trPr>
        <w:tc>
          <w:tcPr>
            <w:tcW w:w="995" w:type="dxa"/>
            <w:tcBorders>
              <w:top w:val="single" w:sz="4" w:space="0" w:color="7E7E7E"/>
              <w:bottom w:val="single" w:sz="4" w:space="0" w:color="7E7E7E"/>
            </w:tcBorders>
          </w:tcPr>
          <w:p>
            <w:pPr>
              <w:pStyle w:val="TableParagraph"/>
              <w:spacing w:line="275" w:lineRule="exact"/>
              <w:ind w:right="71"/>
              <w:jc w:val="center"/>
              <w:rPr>
                <w:b/>
                <w:sz w:val="24"/>
              </w:rPr>
            </w:pPr>
            <w:r>
              <w:rPr>
                <w:b/>
                <w:spacing w:val="-10"/>
                <w:sz w:val="24"/>
              </w:rPr>
              <w:t>1</w:t>
            </w:r>
          </w:p>
        </w:tc>
        <w:tc>
          <w:tcPr>
            <w:tcW w:w="1508" w:type="dxa"/>
            <w:tcBorders>
              <w:top w:val="single" w:sz="4" w:space="0" w:color="7E7E7E"/>
              <w:bottom w:val="single" w:sz="4" w:space="0" w:color="7E7E7E"/>
            </w:tcBorders>
          </w:tcPr>
          <w:p>
            <w:pPr>
              <w:pStyle w:val="TableParagraph"/>
              <w:ind w:left="320" w:right="331" w:firstLine="12"/>
              <w:rPr>
                <w:sz w:val="24"/>
              </w:rPr>
            </w:pPr>
            <w:r>
              <w:rPr>
                <w:spacing w:val="-2"/>
                <w:sz w:val="24"/>
              </w:rPr>
              <w:t>Strongly Disagree</w:t>
            </w:r>
          </w:p>
        </w:tc>
        <w:tc>
          <w:tcPr>
            <w:tcW w:w="1412" w:type="dxa"/>
            <w:tcBorders>
              <w:top w:val="single" w:sz="4" w:space="0" w:color="7E7E7E"/>
              <w:bottom w:val="single" w:sz="4" w:space="0" w:color="7E7E7E"/>
            </w:tcBorders>
          </w:tcPr>
          <w:p>
            <w:pPr>
              <w:pStyle w:val="TableParagraph"/>
              <w:spacing w:line="270" w:lineRule="exact"/>
              <w:ind w:left="437"/>
              <w:rPr>
                <w:sz w:val="24"/>
              </w:rPr>
            </w:pPr>
            <w:r>
              <w:rPr>
                <w:sz w:val="24"/>
              </w:rPr>
              <w:t>1.00 </w:t>
            </w:r>
            <w:r>
              <w:rPr>
                <w:spacing w:val="-10"/>
                <w:sz w:val="24"/>
              </w:rPr>
              <w:t>–</w:t>
            </w:r>
          </w:p>
          <w:p>
            <w:pPr>
              <w:pStyle w:val="TableParagraph"/>
              <w:ind w:left="466"/>
              <w:rPr>
                <w:sz w:val="24"/>
              </w:rPr>
            </w:pPr>
            <w:r>
              <w:rPr>
                <w:spacing w:val="-2"/>
                <w:sz w:val="24"/>
              </w:rPr>
              <w:t>1.745</w:t>
            </w:r>
          </w:p>
        </w:tc>
        <w:tc>
          <w:tcPr>
            <w:tcW w:w="1462" w:type="dxa"/>
            <w:tcBorders>
              <w:top w:val="single" w:sz="4" w:space="0" w:color="7E7E7E"/>
              <w:bottom w:val="single" w:sz="4" w:space="0" w:color="7E7E7E"/>
            </w:tcBorders>
          </w:tcPr>
          <w:p>
            <w:pPr>
              <w:pStyle w:val="TableParagraph"/>
              <w:spacing w:line="270" w:lineRule="exact"/>
              <w:ind w:left="10" w:right="1"/>
              <w:jc w:val="center"/>
              <w:rPr>
                <w:sz w:val="24"/>
              </w:rPr>
            </w:pPr>
            <w:r>
              <w:rPr>
                <w:sz w:val="24"/>
              </w:rPr>
              <w:t>Very</w:t>
            </w:r>
            <w:r>
              <w:rPr>
                <w:spacing w:val="-2"/>
                <w:sz w:val="24"/>
              </w:rPr>
              <w:t> </w:t>
            </w:r>
            <w:r>
              <w:rPr>
                <w:spacing w:val="-5"/>
                <w:sz w:val="24"/>
              </w:rPr>
              <w:t>Low</w:t>
            </w:r>
          </w:p>
        </w:tc>
        <w:tc>
          <w:tcPr>
            <w:tcW w:w="3135" w:type="dxa"/>
            <w:tcBorders>
              <w:top w:val="single" w:sz="4" w:space="0" w:color="7E7E7E"/>
              <w:bottom w:val="single" w:sz="4" w:space="0" w:color="7E7E7E"/>
            </w:tcBorders>
          </w:tcPr>
          <w:p>
            <w:pPr>
              <w:pStyle w:val="TableParagraph"/>
              <w:ind w:left="122" w:right="110"/>
              <w:jc w:val="both"/>
              <w:rPr>
                <w:sz w:val="24"/>
              </w:rPr>
            </w:pPr>
            <w:r>
              <w:rPr>
                <w:sz w:val="24"/>
              </w:rPr>
              <w:t>The</w:t>
            </w:r>
            <w:r>
              <w:rPr>
                <w:spacing w:val="-10"/>
                <w:sz w:val="24"/>
              </w:rPr>
              <w:t> </w:t>
            </w:r>
            <w:r>
              <w:rPr>
                <w:sz w:val="24"/>
              </w:rPr>
              <w:t>indicator</w:t>
            </w:r>
            <w:r>
              <w:rPr>
                <w:spacing w:val="-8"/>
                <w:sz w:val="24"/>
              </w:rPr>
              <w:t> </w:t>
            </w:r>
            <w:r>
              <w:rPr>
                <w:sz w:val="24"/>
              </w:rPr>
              <w:t>is</w:t>
            </w:r>
            <w:r>
              <w:rPr>
                <w:spacing w:val="-8"/>
                <w:sz w:val="24"/>
              </w:rPr>
              <w:t> </w:t>
            </w:r>
            <w:r>
              <w:rPr>
                <w:sz w:val="24"/>
              </w:rPr>
              <w:t>not</w:t>
            </w:r>
            <w:r>
              <w:rPr>
                <w:spacing w:val="-6"/>
                <w:sz w:val="24"/>
              </w:rPr>
              <w:t> </w:t>
            </w:r>
            <w:r>
              <w:rPr>
                <w:sz w:val="24"/>
              </w:rPr>
              <w:t>evident</w:t>
            </w:r>
            <w:r>
              <w:rPr>
                <w:spacing w:val="-8"/>
                <w:sz w:val="24"/>
              </w:rPr>
              <w:t> </w:t>
            </w:r>
            <w:r>
              <w:rPr>
                <w:sz w:val="24"/>
              </w:rPr>
              <w:t>or rarely practiced; respondents strongly</w:t>
            </w:r>
            <w:r>
              <w:rPr>
                <w:spacing w:val="37"/>
                <w:sz w:val="24"/>
              </w:rPr>
              <w:t>  </w:t>
            </w:r>
            <w:r>
              <w:rPr>
                <w:sz w:val="24"/>
              </w:rPr>
              <w:t>disagree</w:t>
            </w:r>
            <w:r>
              <w:rPr>
                <w:spacing w:val="39"/>
                <w:sz w:val="24"/>
              </w:rPr>
              <w:t>  </w:t>
            </w:r>
            <w:r>
              <w:rPr>
                <w:sz w:val="24"/>
              </w:rPr>
              <w:t>with</w:t>
            </w:r>
            <w:r>
              <w:rPr>
                <w:spacing w:val="39"/>
                <w:sz w:val="24"/>
              </w:rPr>
              <w:t>  </w:t>
            </w:r>
            <w:r>
              <w:rPr>
                <w:spacing w:val="-5"/>
                <w:sz w:val="24"/>
              </w:rPr>
              <w:t>the</w:t>
            </w:r>
          </w:p>
          <w:p>
            <w:pPr>
              <w:pStyle w:val="TableParagraph"/>
              <w:spacing w:line="261" w:lineRule="exact"/>
              <w:ind w:left="122"/>
              <w:rPr>
                <w:sz w:val="24"/>
              </w:rPr>
            </w:pPr>
            <w:r>
              <w:rPr>
                <w:spacing w:val="-2"/>
                <w:sz w:val="24"/>
              </w:rPr>
              <w:t>statement.</w:t>
            </w:r>
          </w:p>
        </w:tc>
      </w:tr>
    </w:tbl>
    <w:p>
      <w:pPr>
        <w:pStyle w:val="BodyText"/>
        <w:spacing w:before="263"/>
      </w:pPr>
    </w:p>
    <w:p>
      <w:pPr>
        <w:pStyle w:val="Heading1"/>
        <w:numPr>
          <w:ilvl w:val="1"/>
          <w:numId w:val="1"/>
        </w:numPr>
        <w:tabs>
          <w:tab w:pos="686" w:val="left" w:leader="none"/>
        </w:tabs>
        <w:spacing w:line="240" w:lineRule="auto" w:before="0" w:after="0"/>
        <w:ind w:left="686" w:right="0" w:hanging="360"/>
        <w:jc w:val="both"/>
      </w:pPr>
      <w:r>
        <w:rPr/>
        <w:t>Data</w:t>
      </w:r>
      <w:r>
        <w:rPr>
          <w:spacing w:val="-3"/>
        </w:rPr>
        <w:t> </w:t>
      </w:r>
      <w:r>
        <w:rPr/>
        <w:t>Analysis</w:t>
      </w:r>
      <w:r>
        <w:rPr>
          <w:spacing w:val="-1"/>
        </w:rPr>
        <w:t> </w:t>
      </w:r>
      <w:r>
        <w:rPr>
          <w:spacing w:val="-4"/>
        </w:rPr>
        <w:t>Plan</w:t>
      </w:r>
    </w:p>
    <w:p>
      <w:pPr>
        <w:pStyle w:val="BodyText"/>
        <w:spacing w:line="480" w:lineRule="auto" w:before="271"/>
        <w:ind w:left="326" w:right="1077" w:firstLine="720"/>
        <w:jc w:val="both"/>
      </w:pPr>
      <w:r>
        <w:rPr/>
        <w:t>The questionnaires were reviewed to ensure accuracy, and each response was encoded</w:t>
      </w:r>
      <w:r>
        <w:rPr>
          <w:spacing w:val="-15"/>
        </w:rPr>
        <w:t> </w:t>
      </w:r>
      <w:r>
        <w:rPr/>
        <w:t>and</w:t>
      </w:r>
      <w:r>
        <w:rPr>
          <w:spacing w:val="-15"/>
        </w:rPr>
        <w:t> </w:t>
      </w:r>
      <w:r>
        <w:rPr/>
        <w:t>organized</w:t>
      </w:r>
      <w:r>
        <w:rPr>
          <w:spacing w:val="-15"/>
        </w:rPr>
        <w:t> </w:t>
      </w:r>
      <w:r>
        <w:rPr/>
        <w:t>into</w:t>
      </w:r>
      <w:r>
        <w:rPr>
          <w:spacing w:val="-15"/>
        </w:rPr>
        <w:t> </w:t>
      </w:r>
      <w:r>
        <w:rPr/>
        <w:t>tables</w:t>
      </w:r>
      <w:r>
        <w:rPr>
          <w:spacing w:val="-15"/>
        </w:rPr>
        <w:t> </w:t>
      </w:r>
      <w:r>
        <w:rPr/>
        <w:t>for</w:t>
      </w:r>
      <w:r>
        <w:rPr>
          <w:spacing w:val="-15"/>
        </w:rPr>
        <w:t> </w:t>
      </w:r>
      <w:r>
        <w:rPr/>
        <w:t>computation.</w:t>
      </w:r>
      <w:r>
        <w:rPr>
          <w:spacing w:val="-15"/>
        </w:rPr>
        <w:t> </w:t>
      </w:r>
      <w:r>
        <w:rPr/>
        <w:t>Since</w:t>
      </w:r>
      <w:r>
        <w:rPr>
          <w:spacing w:val="-15"/>
        </w:rPr>
        <w:t> </w:t>
      </w:r>
      <w:r>
        <w:rPr/>
        <w:t>the</w:t>
      </w:r>
      <w:r>
        <w:rPr>
          <w:spacing w:val="-15"/>
        </w:rPr>
        <w:t> </w:t>
      </w:r>
      <w:r>
        <w:rPr/>
        <w:t>survey</w:t>
      </w:r>
      <w:r>
        <w:rPr>
          <w:spacing w:val="-15"/>
        </w:rPr>
        <w:t> </w:t>
      </w:r>
      <w:r>
        <w:rPr/>
        <w:t>used</w:t>
      </w:r>
      <w:r>
        <w:rPr>
          <w:spacing w:val="-15"/>
        </w:rPr>
        <w:t> </w:t>
      </w:r>
      <w:r>
        <w:rPr/>
        <w:t>a</w:t>
      </w:r>
      <w:r>
        <w:rPr>
          <w:spacing w:val="-15"/>
        </w:rPr>
        <w:t> </w:t>
      </w:r>
      <w:r>
        <w:rPr/>
        <w:t>four-point</w:t>
      </w:r>
      <w:r>
        <w:rPr>
          <w:spacing w:val="-15"/>
        </w:rPr>
        <w:t> </w:t>
      </w:r>
      <w:r>
        <w:rPr/>
        <w:t>likert scale, the results were</w:t>
      </w:r>
      <w:r>
        <w:rPr>
          <w:spacing w:val="-1"/>
        </w:rPr>
        <w:t> </w:t>
      </w:r>
      <w:r>
        <w:rPr/>
        <w:t>analyzed using</w:t>
      </w:r>
      <w:r>
        <w:rPr>
          <w:spacing w:val="-1"/>
        </w:rPr>
        <w:t> </w:t>
      </w:r>
      <w:r>
        <w:rPr/>
        <w:t>frequency</w:t>
      </w:r>
      <w:r>
        <w:rPr>
          <w:spacing w:val="-4"/>
        </w:rPr>
        <w:t> </w:t>
      </w:r>
      <w:r>
        <w:rPr/>
        <w:t>counts, percentages, means, and standard deviations. These statistical tools helped measure the views of respondents on cost implication, operational and environmental benefits of compostable packaging. The data were</w:t>
      </w:r>
      <w:r>
        <w:rPr>
          <w:spacing w:val="-1"/>
        </w:rPr>
        <w:t> </w:t>
      </w:r>
      <w:r>
        <w:rPr/>
        <w:t>then grouped into three main sections, which included cost implications, operational and environmental benefits, and cost-benefit relationship. Within these sections, the responses were examined to identify patterns and trends. These findings guided the evaluation of how feasible compostable packaging would be for the canteen operations. The statistical results were linked to the study</w:t>
      </w:r>
      <w:r>
        <w:rPr>
          <w:spacing w:val="-3"/>
        </w:rPr>
        <w:t> </w:t>
      </w:r>
      <w:r>
        <w:rPr/>
        <w:t>objectives to provide clear insights into the advantages,</w:t>
      </w:r>
      <w:r>
        <w:rPr>
          <w:spacing w:val="50"/>
          <w:w w:val="150"/>
        </w:rPr>
        <w:t> </w:t>
      </w:r>
      <w:r>
        <w:rPr/>
        <w:t>limitations,</w:t>
      </w:r>
      <w:r>
        <w:rPr>
          <w:spacing w:val="52"/>
          <w:w w:val="150"/>
        </w:rPr>
        <w:t> </w:t>
      </w:r>
      <w:r>
        <w:rPr/>
        <w:t>and</w:t>
      </w:r>
      <w:r>
        <w:rPr>
          <w:spacing w:val="52"/>
          <w:w w:val="150"/>
        </w:rPr>
        <w:t> </w:t>
      </w:r>
      <w:r>
        <w:rPr/>
        <w:t>effects</w:t>
      </w:r>
      <w:r>
        <w:rPr>
          <w:spacing w:val="53"/>
          <w:w w:val="150"/>
        </w:rPr>
        <w:t> </w:t>
      </w:r>
      <w:r>
        <w:rPr/>
        <w:t>of</w:t>
      </w:r>
      <w:r>
        <w:rPr>
          <w:spacing w:val="52"/>
          <w:w w:val="150"/>
        </w:rPr>
        <w:t> </w:t>
      </w:r>
      <w:r>
        <w:rPr/>
        <w:t>the</w:t>
      </w:r>
      <w:r>
        <w:rPr>
          <w:spacing w:val="51"/>
          <w:w w:val="150"/>
        </w:rPr>
        <w:t> </w:t>
      </w:r>
      <w:r>
        <w:rPr/>
        <w:t>shift.</w:t>
      </w:r>
      <w:r>
        <w:rPr>
          <w:spacing w:val="53"/>
          <w:w w:val="150"/>
        </w:rPr>
        <w:t> </w:t>
      </w:r>
      <w:r>
        <w:rPr/>
        <w:t>The</w:t>
      </w:r>
      <w:r>
        <w:rPr>
          <w:spacing w:val="51"/>
          <w:w w:val="150"/>
        </w:rPr>
        <w:t> </w:t>
      </w:r>
      <w:r>
        <w:rPr/>
        <w:t>analysis</w:t>
      </w:r>
      <w:r>
        <w:rPr>
          <w:spacing w:val="53"/>
          <w:w w:val="150"/>
        </w:rPr>
        <w:t> </w:t>
      </w:r>
      <w:r>
        <w:rPr/>
        <w:t>prioritized</w:t>
      </w:r>
      <w:r>
        <w:rPr>
          <w:spacing w:val="52"/>
          <w:w w:val="150"/>
        </w:rPr>
        <w:t> </w:t>
      </w:r>
      <w:r>
        <w:rPr>
          <w:spacing w:val="-2"/>
        </w:rPr>
        <w:t>accuracy,</w:t>
      </w:r>
    </w:p>
    <w:p>
      <w:pPr>
        <w:pStyle w:val="BodyText"/>
        <w:spacing w:after="0" w:line="480" w:lineRule="auto"/>
        <w:jc w:val="both"/>
        <w:sectPr>
          <w:pgSz w:w="12240" w:h="15840"/>
          <w:pgMar w:header="763" w:footer="0" w:top="1340" w:bottom="280" w:left="1800" w:right="360"/>
        </w:sectPr>
      </w:pPr>
    </w:p>
    <w:p>
      <w:pPr>
        <w:pStyle w:val="BodyText"/>
        <w:spacing w:line="480" w:lineRule="auto" w:before="80"/>
        <w:ind w:left="326" w:right="1076"/>
        <w:jc w:val="both"/>
      </w:pPr>
      <w:r>
        <w:rPr/>
        <w:t>reliability, and relevance, and the results became the basis for conclusions and </w:t>
      </w:r>
      <w:r>
        <w:rPr>
          <w:spacing w:val="-2"/>
        </w:rPr>
        <w:t>recommendations.</w:t>
      </w:r>
    </w:p>
    <w:p>
      <w:pPr>
        <w:pStyle w:val="Heading1"/>
        <w:numPr>
          <w:ilvl w:val="0"/>
          <w:numId w:val="1"/>
        </w:numPr>
        <w:tabs>
          <w:tab w:pos="566" w:val="left" w:leader="none"/>
        </w:tabs>
        <w:spacing w:line="240" w:lineRule="auto" w:before="244" w:after="0"/>
        <w:ind w:left="566" w:right="0" w:hanging="240"/>
        <w:jc w:val="both"/>
      </w:pPr>
      <w:r>
        <w:rPr>
          <w:spacing w:val="-2"/>
        </w:rPr>
        <w:t>Results</w:t>
      </w:r>
    </w:p>
    <w:p>
      <w:pPr>
        <w:pStyle w:val="BodyText"/>
        <w:spacing w:line="480" w:lineRule="auto" w:before="272"/>
        <w:ind w:left="326" w:right="1081" w:firstLine="720"/>
        <w:jc w:val="both"/>
      </w:pPr>
      <w:r>
        <w:rPr/>
        <w:t>This chapter presents and interprets the data gathered from the canteen staff respondents</w:t>
      </w:r>
      <w:r>
        <w:rPr>
          <w:spacing w:val="-5"/>
        </w:rPr>
        <w:t> </w:t>
      </w:r>
      <w:r>
        <w:rPr/>
        <w:t>regarding</w:t>
      </w:r>
      <w:r>
        <w:rPr>
          <w:spacing w:val="-8"/>
        </w:rPr>
        <w:t> </w:t>
      </w:r>
      <w:r>
        <w:rPr/>
        <w:t>their</w:t>
      </w:r>
      <w:r>
        <w:rPr>
          <w:spacing w:val="-5"/>
        </w:rPr>
        <w:t> </w:t>
      </w:r>
      <w:r>
        <w:rPr/>
        <w:t>perceptions</w:t>
      </w:r>
      <w:r>
        <w:rPr>
          <w:spacing w:val="-5"/>
        </w:rPr>
        <w:t> </w:t>
      </w:r>
      <w:r>
        <w:rPr/>
        <w:t>of</w:t>
      </w:r>
      <w:r>
        <w:rPr>
          <w:spacing w:val="-5"/>
        </w:rPr>
        <w:t> </w:t>
      </w:r>
      <w:r>
        <w:rPr/>
        <w:t>shifting</w:t>
      </w:r>
      <w:r>
        <w:rPr>
          <w:spacing w:val="-7"/>
        </w:rPr>
        <w:t> </w:t>
      </w:r>
      <w:r>
        <w:rPr/>
        <w:t>from</w:t>
      </w:r>
      <w:r>
        <w:rPr>
          <w:spacing w:val="-5"/>
        </w:rPr>
        <w:t> </w:t>
      </w:r>
      <w:r>
        <w:rPr/>
        <w:t>plastic</w:t>
      </w:r>
      <w:r>
        <w:rPr>
          <w:spacing w:val="-6"/>
        </w:rPr>
        <w:t> </w:t>
      </w:r>
      <w:r>
        <w:rPr/>
        <w:t>to</w:t>
      </w:r>
      <w:r>
        <w:rPr>
          <w:spacing w:val="-5"/>
        </w:rPr>
        <w:t> </w:t>
      </w:r>
      <w:r>
        <w:rPr/>
        <w:t>compostable</w:t>
      </w:r>
      <w:r>
        <w:rPr>
          <w:spacing w:val="-5"/>
        </w:rPr>
        <w:t> </w:t>
      </w:r>
      <w:r>
        <w:rPr/>
        <w:t>packaging. The</w:t>
      </w:r>
      <w:r>
        <w:rPr>
          <w:spacing w:val="-15"/>
        </w:rPr>
        <w:t> </w:t>
      </w:r>
      <w:r>
        <w:rPr/>
        <w:t>discussion</w:t>
      </w:r>
      <w:r>
        <w:rPr>
          <w:spacing w:val="-14"/>
        </w:rPr>
        <w:t> </w:t>
      </w:r>
      <w:r>
        <w:rPr/>
        <w:t>is</w:t>
      </w:r>
      <w:r>
        <w:rPr>
          <w:spacing w:val="-13"/>
        </w:rPr>
        <w:t> </w:t>
      </w:r>
      <w:r>
        <w:rPr/>
        <w:t>organized</w:t>
      </w:r>
      <w:r>
        <w:rPr>
          <w:spacing w:val="-14"/>
        </w:rPr>
        <w:t> </w:t>
      </w:r>
      <w:r>
        <w:rPr/>
        <w:t>in</w:t>
      </w:r>
      <w:r>
        <w:rPr>
          <w:spacing w:val="-14"/>
        </w:rPr>
        <w:t> </w:t>
      </w:r>
      <w:r>
        <w:rPr/>
        <w:t>accordance</w:t>
      </w:r>
      <w:r>
        <w:rPr>
          <w:spacing w:val="-13"/>
        </w:rPr>
        <w:t> </w:t>
      </w:r>
      <w:r>
        <w:rPr/>
        <w:t>with</w:t>
      </w:r>
      <w:r>
        <w:rPr>
          <w:spacing w:val="-11"/>
        </w:rPr>
        <w:t> </w:t>
      </w:r>
      <w:r>
        <w:rPr/>
        <w:t>the</w:t>
      </w:r>
      <w:r>
        <w:rPr>
          <w:spacing w:val="-15"/>
        </w:rPr>
        <w:t> </w:t>
      </w:r>
      <w:r>
        <w:rPr/>
        <w:t>research</w:t>
      </w:r>
      <w:r>
        <w:rPr>
          <w:spacing w:val="-14"/>
        </w:rPr>
        <w:t> </w:t>
      </w:r>
      <w:r>
        <w:rPr/>
        <w:t>objectives</w:t>
      </w:r>
      <w:r>
        <w:rPr>
          <w:spacing w:val="-14"/>
        </w:rPr>
        <w:t> </w:t>
      </w:r>
      <w:r>
        <w:rPr/>
        <w:t>which</w:t>
      </w:r>
      <w:r>
        <w:rPr>
          <w:spacing w:val="-14"/>
        </w:rPr>
        <w:t> </w:t>
      </w:r>
      <w:r>
        <w:rPr/>
        <w:t>are</w:t>
      </w:r>
      <w:r>
        <w:rPr>
          <w:spacing w:val="-15"/>
        </w:rPr>
        <w:t> </w:t>
      </w:r>
      <w:r>
        <w:rPr/>
        <w:t>their</w:t>
      </w:r>
      <w:r>
        <w:rPr>
          <w:spacing w:val="-15"/>
        </w:rPr>
        <w:t> </w:t>
      </w:r>
      <w:r>
        <w:rPr/>
        <w:t>level of cost implications, their level of operational and environmental benefits, and the overall cost–benefit relationship of replacing plastic with compostable packaging alternatives.</w:t>
      </w:r>
    </w:p>
    <w:p>
      <w:pPr>
        <w:pStyle w:val="Heading1"/>
        <w:numPr>
          <w:ilvl w:val="1"/>
          <w:numId w:val="1"/>
        </w:numPr>
        <w:tabs>
          <w:tab w:pos="686" w:val="left" w:leader="none"/>
        </w:tabs>
        <w:spacing w:line="240" w:lineRule="auto" w:before="166" w:after="0"/>
        <w:ind w:left="686" w:right="0" w:hanging="360"/>
        <w:jc w:val="both"/>
      </w:pPr>
      <w:r>
        <w:rPr/>
        <w:t>Distribution</w:t>
      </w:r>
      <w:r>
        <w:rPr>
          <w:spacing w:val="-1"/>
        </w:rPr>
        <w:t> </w:t>
      </w:r>
      <w:r>
        <w:rPr/>
        <w:t>of</w:t>
      </w:r>
      <w:r>
        <w:rPr>
          <w:spacing w:val="1"/>
        </w:rPr>
        <w:t> </w:t>
      </w:r>
      <w:r>
        <w:rPr>
          <w:spacing w:val="-2"/>
        </w:rPr>
        <w:t>Respondents</w:t>
      </w:r>
    </w:p>
    <w:p>
      <w:pPr>
        <w:pStyle w:val="BodyText"/>
        <w:spacing w:before="154"/>
        <w:rPr>
          <w:b/>
        </w:rPr>
      </w:pPr>
    </w:p>
    <w:p>
      <w:pPr>
        <w:spacing w:before="0"/>
        <w:ind w:left="326" w:right="0" w:firstLine="0"/>
        <w:jc w:val="both"/>
        <w:rPr>
          <w:sz w:val="24"/>
        </w:rPr>
      </w:pPr>
      <w:r>
        <w:rPr>
          <w:b/>
          <w:sz w:val="24"/>
        </w:rPr>
        <w:t>Table</w:t>
      </w:r>
      <w:r>
        <w:rPr>
          <w:b/>
          <w:spacing w:val="-1"/>
          <w:sz w:val="24"/>
        </w:rPr>
        <w:t> </w:t>
      </w:r>
      <w:r>
        <w:rPr>
          <w:b/>
          <w:sz w:val="24"/>
        </w:rPr>
        <w:t>3.1.</w:t>
      </w:r>
      <w:r>
        <w:rPr>
          <w:b/>
          <w:spacing w:val="-1"/>
          <w:sz w:val="24"/>
        </w:rPr>
        <w:t> </w:t>
      </w:r>
      <w:r>
        <w:rPr>
          <w:sz w:val="24"/>
        </w:rPr>
        <w:t>Distribution</w:t>
      </w:r>
      <w:r>
        <w:rPr>
          <w:spacing w:val="-1"/>
          <w:sz w:val="24"/>
        </w:rPr>
        <w:t> </w:t>
      </w:r>
      <w:r>
        <w:rPr>
          <w:sz w:val="24"/>
        </w:rPr>
        <w:t>of </w:t>
      </w:r>
      <w:r>
        <w:rPr>
          <w:spacing w:val="-2"/>
          <w:sz w:val="24"/>
        </w:rPr>
        <w:t>Respondents</w:t>
      </w:r>
    </w:p>
    <w:p>
      <w:pPr>
        <w:pStyle w:val="BodyText"/>
        <w:spacing w:before="6" w:after="1"/>
        <w:rPr>
          <w:sz w:val="12"/>
        </w:rPr>
      </w:pPr>
    </w:p>
    <w:tbl>
      <w:tblPr>
        <w:tblW w:w="0" w:type="auto"/>
        <w:jc w:val="left"/>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86"/>
        <w:gridCol w:w="3049"/>
        <w:gridCol w:w="2972"/>
      </w:tblGrid>
      <w:tr>
        <w:trPr>
          <w:trHeight w:val="551" w:hRule="atLeast"/>
        </w:trPr>
        <w:tc>
          <w:tcPr>
            <w:tcW w:w="3286" w:type="dxa"/>
            <w:tcBorders>
              <w:top w:val="single" w:sz="4" w:space="0" w:color="000000"/>
              <w:bottom w:val="single" w:sz="4" w:space="0" w:color="000000"/>
            </w:tcBorders>
          </w:tcPr>
          <w:p>
            <w:pPr>
              <w:pStyle w:val="TableParagraph"/>
              <w:spacing w:line="275" w:lineRule="exact"/>
              <w:ind w:left="115"/>
              <w:rPr>
                <w:b/>
                <w:sz w:val="24"/>
              </w:rPr>
            </w:pPr>
            <w:r>
              <w:rPr>
                <w:b/>
                <w:sz w:val="24"/>
              </w:rPr>
              <w:t>Demographic</w:t>
            </w:r>
            <w:r>
              <w:rPr>
                <w:b/>
                <w:spacing w:val="-4"/>
                <w:sz w:val="24"/>
              </w:rPr>
              <w:t> </w:t>
            </w:r>
            <w:r>
              <w:rPr>
                <w:b/>
                <w:spacing w:val="-2"/>
                <w:sz w:val="24"/>
              </w:rPr>
              <w:t>Profile</w:t>
            </w:r>
          </w:p>
        </w:tc>
        <w:tc>
          <w:tcPr>
            <w:tcW w:w="3049" w:type="dxa"/>
            <w:tcBorders>
              <w:top w:val="single" w:sz="4" w:space="0" w:color="000000"/>
              <w:bottom w:val="single" w:sz="4" w:space="0" w:color="000000"/>
            </w:tcBorders>
          </w:tcPr>
          <w:p>
            <w:pPr>
              <w:pStyle w:val="TableParagraph"/>
              <w:spacing w:line="275" w:lineRule="exact"/>
              <w:ind w:left="110" w:right="4"/>
              <w:jc w:val="center"/>
              <w:rPr>
                <w:b/>
                <w:sz w:val="24"/>
              </w:rPr>
            </w:pPr>
            <w:r>
              <w:rPr>
                <w:b/>
                <w:spacing w:val="-2"/>
                <w:sz w:val="24"/>
              </w:rPr>
              <w:t>Frequency</w:t>
            </w:r>
          </w:p>
        </w:tc>
        <w:tc>
          <w:tcPr>
            <w:tcW w:w="2972" w:type="dxa"/>
            <w:tcBorders>
              <w:top w:val="single" w:sz="4" w:space="0" w:color="000000"/>
              <w:bottom w:val="single" w:sz="4" w:space="0" w:color="000000"/>
            </w:tcBorders>
          </w:tcPr>
          <w:p>
            <w:pPr>
              <w:pStyle w:val="TableParagraph"/>
              <w:spacing w:line="275" w:lineRule="exact"/>
              <w:ind w:left="55" w:right="48"/>
              <w:jc w:val="center"/>
              <w:rPr>
                <w:b/>
                <w:sz w:val="24"/>
              </w:rPr>
            </w:pPr>
            <w:r>
              <w:rPr>
                <w:b/>
                <w:spacing w:val="-2"/>
                <w:sz w:val="24"/>
              </w:rPr>
              <w:t>Percentage</w:t>
            </w:r>
          </w:p>
        </w:tc>
      </w:tr>
      <w:tr>
        <w:trPr>
          <w:trHeight w:val="968" w:hRule="atLeast"/>
        </w:trPr>
        <w:tc>
          <w:tcPr>
            <w:tcW w:w="3286" w:type="dxa"/>
            <w:tcBorders>
              <w:top w:val="single" w:sz="4" w:space="0" w:color="000000"/>
            </w:tcBorders>
          </w:tcPr>
          <w:p>
            <w:pPr>
              <w:pStyle w:val="TableParagraph"/>
              <w:spacing w:line="273" w:lineRule="exact"/>
              <w:ind w:left="115"/>
              <w:rPr>
                <w:b/>
                <w:sz w:val="24"/>
              </w:rPr>
            </w:pPr>
            <w:r>
              <w:rPr>
                <w:b/>
                <w:spacing w:val="-2"/>
                <w:sz w:val="24"/>
              </w:rPr>
              <w:t>Gender</w:t>
            </w:r>
          </w:p>
          <w:p>
            <w:pPr>
              <w:pStyle w:val="TableParagraph"/>
              <w:ind w:left="415" w:right="2156"/>
              <w:rPr>
                <w:sz w:val="24"/>
              </w:rPr>
            </w:pPr>
            <w:r>
              <w:rPr>
                <w:color w:val="333333"/>
                <w:spacing w:val="-4"/>
                <w:sz w:val="24"/>
              </w:rPr>
              <w:t>Male </w:t>
            </w:r>
            <w:r>
              <w:rPr>
                <w:spacing w:val="-2"/>
                <w:sz w:val="24"/>
              </w:rPr>
              <w:t>Female</w:t>
            </w:r>
          </w:p>
        </w:tc>
        <w:tc>
          <w:tcPr>
            <w:tcW w:w="3049" w:type="dxa"/>
            <w:tcBorders>
              <w:top w:val="single" w:sz="4" w:space="0" w:color="000000"/>
            </w:tcBorders>
          </w:tcPr>
          <w:p>
            <w:pPr>
              <w:pStyle w:val="TableParagraph"/>
              <w:spacing w:before="270"/>
              <w:ind w:left="110"/>
              <w:jc w:val="center"/>
              <w:rPr>
                <w:sz w:val="24"/>
              </w:rPr>
            </w:pPr>
            <w:r>
              <w:rPr>
                <w:spacing w:val="-10"/>
                <w:sz w:val="24"/>
              </w:rPr>
              <w:t>4</w:t>
            </w:r>
          </w:p>
          <w:p>
            <w:pPr>
              <w:pStyle w:val="TableParagraph"/>
              <w:ind w:left="110"/>
              <w:jc w:val="center"/>
              <w:rPr>
                <w:sz w:val="24"/>
              </w:rPr>
            </w:pPr>
            <w:r>
              <w:rPr>
                <w:spacing w:val="-5"/>
                <w:sz w:val="24"/>
              </w:rPr>
              <w:t>11</w:t>
            </w:r>
          </w:p>
        </w:tc>
        <w:tc>
          <w:tcPr>
            <w:tcW w:w="2972" w:type="dxa"/>
            <w:tcBorders>
              <w:top w:val="single" w:sz="4" w:space="0" w:color="000000"/>
            </w:tcBorders>
          </w:tcPr>
          <w:p>
            <w:pPr>
              <w:pStyle w:val="TableParagraph"/>
              <w:spacing w:before="270"/>
              <w:ind w:left="7" w:right="52"/>
              <w:jc w:val="center"/>
              <w:rPr>
                <w:sz w:val="24"/>
              </w:rPr>
            </w:pPr>
            <w:r>
              <w:rPr>
                <w:spacing w:val="-2"/>
                <w:sz w:val="24"/>
              </w:rPr>
              <w:t>26.70%</w:t>
            </w:r>
          </w:p>
          <w:p>
            <w:pPr>
              <w:pStyle w:val="TableParagraph"/>
              <w:ind w:left="7" w:right="52"/>
              <w:jc w:val="center"/>
              <w:rPr>
                <w:sz w:val="24"/>
              </w:rPr>
            </w:pPr>
            <w:r>
              <w:rPr>
                <w:spacing w:val="-2"/>
                <w:sz w:val="24"/>
              </w:rPr>
              <w:t>73.33%</w:t>
            </w:r>
          </w:p>
        </w:tc>
      </w:tr>
      <w:tr>
        <w:trPr>
          <w:trHeight w:val="1380" w:hRule="atLeast"/>
        </w:trPr>
        <w:tc>
          <w:tcPr>
            <w:tcW w:w="3286" w:type="dxa"/>
          </w:tcPr>
          <w:p>
            <w:pPr>
              <w:pStyle w:val="TableParagraph"/>
              <w:spacing w:line="274" w:lineRule="exact" w:before="135"/>
              <w:ind w:left="115"/>
              <w:rPr>
                <w:b/>
                <w:sz w:val="24"/>
              </w:rPr>
            </w:pPr>
            <w:r>
              <w:rPr>
                <w:b/>
                <w:spacing w:val="-2"/>
                <w:sz w:val="24"/>
              </w:rPr>
              <w:t>Position</w:t>
            </w:r>
          </w:p>
          <w:p>
            <w:pPr>
              <w:pStyle w:val="TableParagraph"/>
              <w:ind w:left="355" w:right="1608" w:firstLine="31"/>
              <w:rPr>
                <w:sz w:val="24"/>
              </w:rPr>
            </w:pPr>
            <w:r>
              <w:rPr>
                <w:sz w:val="24"/>
              </w:rPr>
              <w:t>Kitchen</w:t>
            </w:r>
            <w:r>
              <w:rPr>
                <w:spacing w:val="-15"/>
                <w:sz w:val="24"/>
              </w:rPr>
              <w:t> </w:t>
            </w:r>
            <w:r>
              <w:rPr>
                <w:sz w:val="24"/>
              </w:rPr>
              <w:t>Staff </w:t>
            </w:r>
            <w:r>
              <w:rPr>
                <w:spacing w:val="-2"/>
                <w:sz w:val="24"/>
              </w:rPr>
              <w:t>Cashier Vendor</w:t>
            </w:r>
          </w:p>
        </w:tc>
        <w:tc>
          <w:tcPr>
            <w:tcW w:w="3049" w:type="dxa"/>
          </w:tcPr>
          <w:p>
            <w:pPr>
              <w:pStyle w:val="TableParagraph"/>
              <w:spacing w:before="130"/>
              <w:rPr>
                <w:sz w:val="24"/>
              </w:rPr>
            </w:pPr>
          </w:p>
          <w:p>
            <w:pPr>
              <w:pStyle w:val="TableParagraph"/>
              <w:ind w:left="110"/>
              <w:jc w:val="center"/>
              <w:rPr>
                <w:sz w:val="24"/>
              </w:rPr>
            </w:pPr>
            <w:r>
              <w:rPr>
                <w:spacing w:val="-10"/>
                <w:sz w:val="24"/>
              </w:rPr>
              <w:t>5</w:t>
            </w:r>
          </w:p>
          <w:p>
            <w:pPr>
              <w:pStyle w:val="TableParagraph"/>
              <w:ind w:left="110"/>
              <w:jc w:val="center"/>
              <w:rPr>
                <w:sz w:val="24"/>
              </w:rPr>
            </w:pPr>
            <w:r>
              <w:rPr>
                <w:spacing w:val="-10"/>
                <w:sz w:val="24"/>
              </w:rPr>
              <w:t>5</w:t>
            </w:r>
          </w:p>
          <w:p>
            <w:pPr>
              <w:pStyle w:val="TableParagraph"/>
              <w:ind w:left="110"/>
              <w:jc w:val="center"/>
              <w:rPr>
                <w:sz w:val="24"/>
              </w:rPr>
            </w:pPr>
            <w:r>
              <w:rPr>
                <w:spacing w:val="-10"/>
                <w:sz w:val="24"/>
              </w:rPr>
              <w:t>5</w:t>
            </w:r>
          </w:p>
        </w:tc>
        <w:tc>
          <w:tcPr>
            <w:tcW w:w="2972" w:type="dxa"/>
          </w:tcPr>
          <w:p>
            <w:pPr>
              <w:pStyle w:val="TableParagraph"/>
              <w:spacing w:before="130"/>
              <w:rPr>
                <w:sz w:val="24"/>
              </w:rPr>
            </w:pPr>
          </w:p>
          <w:p>
            <w:pPr>
              <w:pStyle w:val="TableParagraph"/>
              <w:ind w:left="7" w:right="52"/>
              <w:jc w:val="center"/>
              <w:rPr>
                <w:sz w:val="24"/>
              </w:rPr>
            </w:pPr>
            <w:r>
              <w:rPr>
                <w:spacing w:val="-2"/>
                <w:sz w:val="24"/>
              </w:rPr>
              <w:t>33.33%</w:t>
            </w:r>
          </w:p>
          <w:p>
            <w:pPr>
              <w:pStyle w:val="TableParagraph"/>
              <w:ind w:left="7" w:right="52"/>
              <w:jc w:val="center"/>
              <w:rPr>
                <w:sz w:val="24"/>
              </w:rPr>
            </w:pPr>
            <w:r>
              <w:rPr>
                <w:spacing w:val="-2"/>
                <w:sz w:val="24"/>
              </w:rPr>
              <w:t>33.33%</w:t>
            </w:r>
          </w:p>
          <w:p>
            <w:pPr>
              <w:pStyle w:val="TableParagraph"/>
              <w:ind w:left="7" w:right="52"/>
              <w:jc w:val="center"/>
              <w:rPr>
                <w:sz w:val="24"/>
              </w:rPr>
            </w:pPr>
            <w:r>
              <w:rPr>
                <w:spacing w:val="-2"/>
                <w:sz w:val="24"/>
              </w:rPr>
              <w:t>33.33%</w:t>
            </w:r>
          </w:p>
        </w:tc>
      </w:tr>
      <w:tr>
        <w:trPr>
          <w:trHeight w:val="1239" w:hRule="atLeast"/>
        </w:trPr>
        <w:tc>
          <w:tcPr>
            <w:tcW w:w="3286" w:type="dxa"/>
          </w:tcPr>
          <w:p>
            <w:pPr>
              <w:pStyle w:val="TableParagraph"/>
              <w:spacing w:line="237" w:lineRule="auto" w:before="137"/>
              <w:ind w:left="355" w:right="1011" w:hanging="240"/>
              <w:rPr>
                <w:sz w:val="24"/>
              </w:rPr>
            </w:pPr>
            <w:r>
              <w:rPr>
                <w:b/>
                <w:sz w:val="24"/>
              </w:rPr>
              <w:t>Service Duration </w:t>
            </w:r>
            <w:r>
              <w:rPr>
                <w:sz w:val="24"/>
              </w:rPr>
              <w:t>Less</w:t>
            </w:r>
            <w:r>
              <w:rPr>
                <w:spacing w:val="-13"/>
                <w:sz w:val="24"/>
              </w:rPr>
              <w:t> </w:t>
            </w:r>
            <w:r>
              <w:rPr>
                <w:sz w:val="24"/>
              </w:rPr>
              <w:t>than</w:t>
            </w:r>
            <w:r>
              <w:rPr>
                <w:spacing w:val="-13"/>
                <w:sz w:val="24"/>
              </w:rPr>
              <w:t> </w:t>
            </w:r>
            <w:r>
              <w:rPr>
                <w:sz w:val="24"/>
              </w:rPr>
              <w:t>6</w:t>
            </w:r>
            <w:r>
              <w:rPr>
                <w:spacing w:val="-13"/>
                <w:sz w:val="24"/>
              </w:rPr>
              <w:t> </w:t>
            </w:r>
            <w:r>
              <w:rPr>
                <w:sz w:val="24"/>
              </w:rPr>
              <w:t>months 6–12 months</w:t>
            </w:r>
          </w:p>
          <w:p>
            <w:pPr>
              <w:pStyle w:val="TableParagraph"/>
              <w:spacing w:line="261" w:lineRule="exact" w:before="2"/>
              <w:ind w:left="355"/>
              <w:rPr>
                <w:sz w:val="24"/>
              </w:rPr>
            </w:pPr>
            <w:r>
              <w:rPr>
                <w:sz w:val="24"/>
              </w:rPr>
              <w:t>1–3 </w:t>
            </w:r>
            <w:r>
              <w:rPr>
                <w:spacing w:val="-2"/>
                <w:sz w:val="24"/>
              </w:rPr>
              <w:t>years</w:t>
            </w:r>
          </w:p>
        </w:tc>
        <w:tc>
          <w:tcPr>
            <w:tcW w:w="3049" w:type="dxa"/>
          </w:tcPr>
          <w:p>
            <w:pPr>
              <w:pStyle w:val="TableParagraph"/>
              <w:spacing w:before="130"/>
              <w:rPr>
                <w:sz w:val="24"/>
              </w:rPr>
            </w:pPr>
          </w:p>
          <w:p>
            <w:pPr>
              <w:pStyle w:val="TableParagraph"/>
              <w:ind w:left="110"/>
              <w:jc w:val="center"/>
              <w:rPr>
                <w:sz w:val="24"/>
              </w:rPr>
            </w:pPr>
            <w:r>
              <w:rPr>
                <w:spacing w:val="-10"/>
                <w:sz w:val="24"/>
              </w:rPr>
              <w:t>3</w:t>
            </w:r>
          </w:p>
          <w:p>
            <w:pPr>
              <w:pStyle w:val="TableParagraph"/>
              <w:ind w:left="110"/>
              <w:jc w:val="center"/>
              <w:rPr>
                <w:sz w:val="24"/>
              </w:rPr>
            </w:pPr>
            <w:r>
              <w:rPr>
                <w:spacing w:val="-10"/>
                <w:sz w:val="24"/>
              </w:rPr>
              <w:t>7</w:t>
            </w:r>
          </w:p>
          <w:p>
            <w:pPr>
              <w:pStyle w:val="TableParagraph"/>
              <w:spacing w:line="261" w:lineRule="exact"/>
              <w:ind w:left="110"/>
              <w:jc w:val="center"/>
              <w:rPr>
                <w:sz w:val="24"/>
              </w:rPr>
            </w:pPr>
            <w:r>
              <w:rPr>
                <w:spacing w:val="-10"/>
                <w:sz w:val="24"/>
              </w:rPr>
              <w:t>4</w:t>
            </w:r>
          </w:p>
        </w:tc>
        <w:tc>
          <w:tcPr>
            <w:tcW w:w="2972" w:type="dxa"/>
          </w:tcPr>
          <w:p>
            <w:pPr>
              <w:pStyle w:val="TableParagraph"/>
              <w:spacing w:before="130"/>
              <w:rPr>
                <w:sz w:val="24"/>
              </w:rPr>
            </w:pPr>
          </w:p>
          <w:p>
            <w:pPr>
              <w:pStyle w:val="TableParagraph"/>
              <w:ind w:left="7" w:right="55"/>
              <w:jc w:val="center"/>
              <w:rPr>
                <w:sz w:val="24"/>
              </w:rPr>
            </w:pPr>
            <w:r>
              <w:rPr>
                <w:spacing w:val="-5"/>
                <w:sz w:val="24"/>
              </w:rPr>
              <w:t>20%</w:t>
            </w:r>
          </w:p>
          <w:p>
            <w:pPr>
              <w:pStyle w:val="TableParagraph"/>
              <w:ind w:left="7" w:right="52"/>
              <w:jc w:val="center"/>
              <w:rPr>
                <w:sz w:val="24"/>
              </w:rPr>
            </w:pPr>
            <w:r>
              <w:rPr>
                <w:spacing w:val="-2"/>
                <w:sz w:val="24"/>
              </w:rPr>
              <w:t>46.7%</w:t>
            </w:r>
          </w:p>
          <w:p>
            <w:pPr>
              <w:pStyle w:val="TableParagraph"/>
              <w:spacing w:line="261" w:lineRule="exact"/>
              <w:ind w:left="7" w:right="52"/>
              <w:jc w:val="center"/>
              <w:rPr>
                <w:sz w:val="24"/>
              </w:rPr>
            </w:pPr>
            <w:r>
              <w:rPr>
                <w:spacing w:val="-2"/>
                <w:sz w:val="24"/>
              </w:rPr>
              <w:t>26.7%</w:t>
            </w:r>
          </w:p>
        </w:tc>
      </w:tr>
      <w:tr>
        <w:trPr>
          <w:trHeight w:val="276" w:hRule="atLeast"/>
        </w:trPr>
        <w:tc>
          <w:tcPr>
            <w:tcW w:w="3286" w:type="dxa"/>
            <w:tcBorders>
              <w:bottom w:val="single" w:sz="4" w:space="0" w:color="000000"/>
            </w:tcBorders>
          </w:tcPr>
          <w:p>
            <w:pPr>
              <w:pStyle w:val="TableParagraph"/>
              <w:spacing w:line="257" w:lineRule="exact"/>
              <w:ind w:left="386"/>
              <w:rPr>
                <w:sz w:val="24"/>
              </w:rPr>
            </w:pPr>
            <w:r>
              <w:rPr>
                <w:sz w:val="24"/>
              </w:rPr>
              <w:t>3+</w:t>
            </w:r>
            <w:r>
              <w:rPr>
                <w:spacing w:val="-1"/>
                <w:sz w:val="24"/>
              </w:rPr>
              <w:t> </w:t>
            </w:r>
            <w:r>
              <w:rPr>
                <w:spacing w:val="-2"/>
                <w:sz w:val="24"/>
              </w:rPr>
              <w:t>years</w:t>
            </w:r>
          </w:p>
        </w:tc>
        <w:tc>
          <w:tcPr>
            <w:tcW w:w="3049" w:type="dxa"/>
            <w:tcBorders>
              <w:bottom w:val="single" w:sz="4" w:space="0" w:color="000000"/>
            </w:tcBorders>
          </w:tcPr>
          <w:p>
            <w:pPr>
              <w:pStyle w:val="TableParagraph"/>
              <w:spacing w:line="257" w:lineRule="exact"/>
              <w:ind w:left="110"/>
              <w:jc w:val="center"/>
              <w:rPr>
                <w:sz w:val="24"/>
              </w:rPr>
            </w:pPr>
            <w:r>
              <w:rPr>
                <w:spacing w:val="-10"/>
                <w:sz w:val="24"/>
              </w:rPr>
              <w:t>1</w:t>
            </w:r>
          </w:p>
        </w:tc>
        <w:tc>
          <w:tcPr>
            <w:tcW w:w="2972" w:type="dxa"/>
            <w:tcBorders>
              <w:bottom w:val="single" w:sz="4" w:space="0" w:color="000000"/>
            </w:tcBorders>
          </w:tcPr>
          <w:p>
            <w:pPr>
              <w:pStyle w:val="TableParagraph"/>
              <w:spacing w:line="257" w:lineRule="exact"/>
              <w:ind w:left="7" w:right="52"/>
              <w:jc w:val="center"/>
              <w:rPr>
                <w:sz w:val="24"/>
              </w:rPr>
            </w:pPr>
            <w:r>
              <w:rPr>
                <w:spacing w:val="-4"/>
                <w:sz w:val="24"/>
              </w:rPr>
              <w:t>6.7%</w:t>
            </w:r>
          </w:p>
        </w:tc>
      </w:tr>
    </w:tbl>
    <w:p>
      <w:pPr>
        <w:pStyle w:val="BodyText"/>
        <w:spacing w:line="480" w:lineRule="auto" w:before="236"/>
        <w:ind w:left="326" w:right="1078" w:firstLine="720"/>
        <w:jc w:val="both"/>
      </w:pPr>
      <w:r>
        <w:rPr/>
        <w:t>The</w:t>
      </w:r>
      <w:r>
        <w:rPr>
          <w:spacing w:val="-15"/>
        </w:rPr>
        <w:t> </w:t>
      </w:r>
      <w:r>
        <w:rPr/>
        <w:t>demographic</w:t>
      </w:r>
      <w:r>
        <w:rPr>
          <w:spacing w:val="-15"/>
        </w:rPr>
        <w:t> </w:t>
      </w:r>
      <w:r>
        <w:rPr/>
        <w:t>profile</w:t>
      </w:r>
      <w:r>
        <w:rPr>
          <w:spacing w:val="-13"/>
        </w:rPr>
        <w:t> </w:t>
      </w:r>
      <w:r>
        <w:rPr/>
        <w:t>shows</w:t>
      </w:r>
      <w:r>
        <w:rPr>
          <w:spacing w:val="-14"/>
        </w:rPr>
        <w:t> </w:t>
      </w:r>
      <w:r>
        <w:rPr/>
        <w:t>that</w:t>
      </w:r>
      <w:r>
        <w:rPr>
          <w:spacing w:val="-14"/>
        </w:rPr>
        <w:t> </w:t>
      </w:r>
      <w:r>
        <w:rPr/>
        <w:t>most</w:t>
      </w:r>
      <w:r>
        <w:rPr>
          <w:spacing w:val="-13"/>
        </w:rPr>
        <w:t> </w:t>
      </w:r>
      <w:r>
        <w:rPr/>
        <w:t>respondents</w:t>
      </w:r>
      <w:r>
        <w:rPr>
          <w:spacing w:val="-13"/>
        </w:rPr>
        <w:t> </w:t>
      </w:r>
      <w:r>
        <w:rPr/>
        <w:t>were</w:t>
      </w:r>
      <w:r>
        <w:rPr>
          <w:spacing w:val="-15"/>
        </w:rPr>
        <w:t> </w:t>
      </w:r>
      <w:r>
        <w:rPr/>
        <w:t>female</w:t>
      </w:r>
      <w:r>
        <w:rPr>
          <w:spacing w:val="-15"/>
        </w:rPr>
        <w:t> </w:t>
      </w:r>
      <w:r>
        <w:rPr/>
        <w:t>(73.33%),</w:t>
      </w:r>
      <w:r>
        <w:rPr>
          <w:spacing w:val="-14"/>
        </w:rPr>
        <w:t> </w:t>
      </w:r>
      <w:r>
        <w:rPr/>
        <w:t>while male</w:t>
      </w:r>
      <w:r>
        <w:rPr>
          <w:spacing w:val="-15"/>
        </w:rPr>
        <w:t> </w:t>
      </w:r>
      <w:r>
        <w:rPr/>
        <w:t>staff</w:t>
      </w:r>
      <w:r>
        <w:rPr>
          <w:spacing w:val="-15"/>
        </w:rPr>
        <w:t> </w:t>
      </w:r>
      <w:r>
        <w:rPr/>
        <w:t>accounted</w:t>
      </w:r>
      <w:r>
        <w:rPr>
          <w:spacing w:val="-15"/>
        </w:rPr>
        <w:t> </w:t>
      </w:r>
      <w:r>
        <w:rPr/>
        <w:t>for</w:t>
      </w:r>
      <w:r>
        <w:rPr>
          <w:spacing w:val="-15"/>
        </w:rPr>
        <w:t> </w:t>
      </w:r>
      <w:r>
        <w:rPr/>
        <w:t>26.70%.</w:t>
      </w:r>
      <w:r>
        <w:rPr>
          <w:spacing w:val="-15"/>
        </w:rPr>
        <w:t> </w:t>
      </w:r>
      <w:r>
        <w:rPr/>
        <w:t>This</w:t>
      </w:r>
      <w:r>
        <w:rPr>
          <w:spacing w:val="-15"/>
        </w:rPr>
        <w:t> </w:t>
      </w:r>
      <w:r>
        <w:rPr/>
        <w:t>suggests</w:t>
      </w:r>
      <w:r>
        <w:rPr>
          <w:spacing w:val="-15"/>
        </w:rPr>
        <w:t> </w:t>
      </w:r>
      <w:r>
        <w:rPr/>
        <w:t>that</w:t>
      </w:r>
      <w:r>
        <w:rPr>
          <w:spacing w:val="-15"/>
        </w:rPr>
        <w:t> </w:t>
      </w:r>
      <w:r>
        <w:rPr/>
        <w:t>the</w:t>
      </w:r>
      <w:r>
        <w:rPr>
          <w:spacing w:val="-15"/>
        </w:rPr>
        <w:t> </w:t>
      </w:r>
      <w:r>
        <w:rPr/>
        <w:t>canteen</w:t>
      </w:r>
      <w:r>
        <w:rPr>
          <w:spacing w:val="-15"/>
        </w:rPr>
        <w:t> </w:t>
      </w:r>
      <w:r>
        <w:rPr/>
        <w:t>workforce</w:t>
      </w:r>
      <w:r>
        <w:rPr>
          <w:spacing w:val="-15"/>
        </w:rPr>
        <w:t> </w:t>
      </w:r>
      <w:r>
        <w:rPr/>
        <w:t>is</w:t>
      </w:r>
      <w:r>
        <w:rPr>
          <w:spacing w:val="-15"/>
        </w:rPr>
        <w:t> </w:t>
      </w:r>
      <w:r>
        <w:rPr/>
        <w:t>predominantly female. In terms of position, the distribution was equal among kitchen staff, cashiers, and vendors</w:t>
      </w:r>
      <w:r>
        <w:rPr>
          <w:spacing w:val="-14"/>
        </w:rPr>
        <w:t> </w:t>
      </w:r>
      <w:r>
        <w:rPr/>
        <w:t>(33.33%</w:t>
      </w:r>
      <w:r>
        <w:rPr>
          <w:spacing w:val="-10"/>
        </w:rPr>
        <w:t> </w:t>
      </w:r>
      <w:r>
        <w:rPr/>
        <w:t>each),</w:t>
      </w:r>
      <w:r>
        <w:rPr>
          <w:spacing w:val="-8"/>
        </w:rPr>
        <w:t> </w:t>
      </w:r>
      <w:r>
        <w:rPr/>
        <w:t>ensuring</w:t>
      </w:r>
      <w:r>
        <w:rPr>
          <w:spacing w:val="-13"/>
        </w:rPr>
        <w:t> </w:t>
      </w:r>
      <w:r>
        <w:rPr/>
        <w:t>balanced</w:t>
      </w:r>
      <w:r>
        <w:rPr>
          <w:spacing w:val="-10"/>
        </w:rPr>
        <w:t> </w:t>
      </w:r>
      <w:r>
        <w:rPr/>
        <w:t>perspectives</w:t>
      </w:r>
      <w:r>
        <w:rPr>
          <w:spacing w:val="-11"/>
        </w:rPr>
        <w:t> </w:t>
      </w:r>
      <w:r>
        <w:rPr/>
        <w:t>across</w:t>
      </w:r>
      <w:r>
        <w:rPr>
          <w:spacing w:val="-11"/>
        </w:rPr>
        <w:t> </w:t>
      </w:r>
      <w:r>
        <w:rPr/>
        <w:t>different</w:t>
      </w:r>
      <w:r>
        <w:rPr>
          <w:spacing w:val="-10"/>
        </w:rPr>
        <w:t> </w:t>
      </w:r>
      <w:r>
        <w:rPr/>
        <w:t>roles</w:t>
      </w:r>
      <w:r>
        <w:rPr>
          <w:spacing w:val="-11"/>
        </w:rPr>
        <w:t> </w:t>
      </w:r>
      <w:r>
        <w:rPr/>
        <w:t>in</w:t>
      </w:r>
      <w:r>
        <w:rPr>
          <w:spacing w:val="-10"/>
        </w:rPr>
        <w:t> </w:t>
      </w:r>
      <w:r>
        <w:rPr>
          <w:spacing w:val="-2"/>
        </w:rPr>
        <w:t>operations.</w:t>
      </w:r>
    </w:p>
    <w:p>
      <w:pPr>
        <w:pStyle w:val="BodyText"/>
        <w:spacing w:after="0" w:line="480" w:lineRule="auto"/>
        <w:jc w:val="both"/>
        <w:sectPr>
          <w:pgSz w:w="12240" w:h="15840"/>
          <w:pgMar w:header="763" w:footer="0" w:top="1340" w:bottom="280" w:left="1800" w:right="360"/>
        </w:sectPr>
      </w:pPr>
    </w:p>
    <w:p>
      <w:pPr>
        <w:pStyle w:val="BodyText"/>
        <w:spacing w:line="480" w:lineRule="auto" w:before="80"/>
        <w:ind w:left="326" w:right="1079"/>
        <w:jc w:val="both"/>
      </w:pPr>
      <w:r>
        <w:rPr/>
        <w:t>Regarding service duration, nearly half of the respondents (46.7%) had been employed between</w:t>
      </w:r>
      <w:r>
        <w:rPr>
          <w:spacing w:val="-3"/>
        </w:rPr>
        <w:t> </w:t>
      </w:r>
      <w:r>
        <w:rPr/>
        <w:t>6–12</w:t>
      </w:r>
      <w:r>
        <w:rPr>
          <w:spacing w:val="-3"/>
        </w:rPr>
        <w:t> </w:t>
      </w:r>
      <w:r>
        <w:rPr/>
        <w:t>months,</w:t>
      </w:r>
      <w:r>
        <w:rPr>
          <w:spacing w:val="-3"/>
        </w:rPr>
        <w:t> </w:t>
      </w:r>
      <w:r>
        <w:rPr/>
        <w:t>while</w:t>
      </w:r>
      <w:r>
        <w:rPr>
          <w:spacing w:val="-4"/>
        </w:rPr>
        <w:t> </w:t>
      </w:r>
      <w:r>
        <w:rPr/>
        <w:t>a</w:t>
      </w:r>
      <w:r>
        <w:rPr>
          <w:spacing w:val="-4"/>
        </w:rPr>
        <w:t> </w:t>
      </w:r>
      <w:r>
        <w:rPr/>
        <w:t>smaller</w:t>
      </w:r>
      <w:r>
        <w:rPr>
          <w:spacing w:val="-3"/>
        </w:rPr>
        <w:t> </w:t>
      </w:r>
      <w:r>
        <w:rPr/>
        <w:t>proportion</w:t>
      </w:r>
      <w:r>
        <w:rPr>
          <w:spacing w:val="-3"/>
        </w:rPr>
        <w:t> </w:t>
      </w:r>
      <w:r>
        <w:rPr/>
        <w:t>had</w:t>
      </w:r>
      <w:r>
        <w:rPr>
          <w:spacing w:val="-3"/>
        </w:rPr>
        <w:t> </w:t>
      </w:r>
      <w:r>
        <w:rPr/>
        <w:t>over</w:t>
      </w:r>
      <w:r>
        <w:rPr>
          <w:spacing w:val="-3"/>
        </w:rPr>
        <w:t> </w:t>
      </w:r>
      <w:r>
        <w:rPr/>
        <w:t>3 years</w:t>
      </w:r>
      <w:r>
        <w:rPr>
          <w:spacing w:val="-3"/>
        </w:rPr>
        <w:t> </w:t>
      </w:r>
      <w:r>
        <w:rPr/>
        <w:t>of</w:t>
      </w:r>
      <w:r>
        <w:rPr>
          <w:spacing w:val="-3"/>
        </w:rPr>
        <w:t> </w:t>
      </w:r>
      <w:r>
        <w:rPr/>
        <w:t>service</w:t>
      </w:r>
      <w:r>
        <w:rPr>
          <w:spacing w:val="-4"/>
        </w:rPr>
        <w:t> </w:t>
      </w:r>
      <w:r>
        <w:rPr/>
        <w:t>(6.7%).</w:t>
      </w:r>
      <w:r>
        <w:rPr>
          <w:spacing w:val="-3"/>
        </w:rPr>
        <w:t> </w:t>
      </w:r>
      <w:r>
        <w:rPr/>
        <w:t>This indicates that most staff have a moderate length of experience, providing both fresh and seasoned insights into the transition from plastic to compostable packaging.</w:t>
      </w:r>
    </w:p>
    <w:p>
      <w:pPr>
        <w:pStyle w:val="Heading1"/>
        <w:numPr>
          <w:ilvl w:val="1"/>
          <w:numId w:val="1"/>
        </w:numPr>
        <w:tabs>
          <w:tab w:pos="686" w:val="left" w:leader="none"/>
        </w:tabs>
        <w:spacing w:line="240" w:lineRule="auto" w:before="244" w:after="0"/>
        <w:ind w:left="686" w:right="0" w:hanging="360"/>
        <w:jc w:val="both"/>
      </w:pPr>
      <w:r>
        <w:rPr/>
        <w:t>Descriptive</w:t>
      </w:r>
      <w:r>
        <w:rPr>
          <w:spacing w:val="-3"/>
        </w:rPr>
        <w:t> </w:t>
      </w:r>
      <w:r>
        <w:rPr/>
        <w:t>Analysis</w:t>
      </w:r>
      <w:r>
        <w:rPr>
          <w:spacing w:val="-1"/>
        </w:rPr>
        <w:t> </w:t>
      </w:r>
      <w:r>
        <w:rPr/>
        <w:t>on</w:t>
      </w:r>
      <w:r>
        <w:rPr>
          <w:spacing w:val="1"/>
        </w:rPr>
        <w:t> </w:t>
      </w:r>
      <w:r>
        <w:rPr/>
        <w:t>the</w:t>
      </w:r>
      <w:r>
        <w:rPr>
          <w:spacing w:val="-1"/>
        </w:rPr>
        <w:t> </w:t>
      </w:r>
      <w:r>
        <w:rPr/>
        <w:t>Level</w:t>
      </w:r>
      <w:r>
        <w:rPr>
          <w:spacing w:val="-1"/>
        </w:rPr>
        <w:t> </w:t>
      </w:r>
      <w:r>
        <w:rPr/>
        <w:t>of Cost</w:t>
      </w:r>
      <w:r>
        <w:rPr>
          <w:spacing w:val="-1"/>
        </w:rPr>
        <w:t> </w:t>
      </w:r>
      <w:r>
        <w:rPr>
          <w:spacing w:val="-2"/>
        </w:rPr>
        <w:t>Implication</w:t>
      </w:r>
    </w:p>
    <w:p>
      <w:pPr>
        <w:pStyle w:val="BodyText"/>
        <w:spacing w:line="480" w:lineRule="auto" w:before="272"/>
        <w:ind w:left="326" w:right="1078" w:firstLine="720"/>
        <w:jc w:val="both"/>
      </w:pPr>
      <w:r>
        <w:rPr/>
        <w:t>The</w:t>
      </w:r>
      <w:r>
        <w:rPr>
          <w:spacing w:val="-2"/>
        </w:rPr>
        <w:t> </w:t>
      </w:r>
      <w:r>
        <w:rPr/>
        <w:t>level</w:t>
      </w:r>
      <w:r>
        <w:rPr>
          <w:spacing w:val="-1"/>
        </w:rPr>
        <w:t> </w:t>
      </w:r>
      <w:r>
        <w:rPr/>
        <w:t>of cost</w:t>
      </w:r>
      <w:r>
        <w:rPr>
          <w:spacing w:val="-1"/>
        </w:rPr>
        <w:t> </w:t>
      </w:r>
      <w:r>
        <w:rPr/>
        <w:t>implications</w:t>
      </w:r>
      <w:r>
        <w:rPr>
          <w:spacing w:val="-1"/>
        </w:rPr>
        <w:t> </w:t>
      </w:r>
      <w:r>
        <w:rPr/>
        <w:t>in</w:t>
      </w:r>
      <w:r>
        <w:rPr>
          <w:spacing w:val="-1"/>
        </w:rPr>
        <w:t> </w:t>
      </w:r>
      <w:r>
        <w:rPr/>
        <w:t>shifting</w:t>
      </w:r>
      <w:r>
        <w:rPr>
          <w:spacing w:val="-3"/>
        </w:rPr>
        <w:t> </w:t>
      </w:r>
      <w:r>
        <w:rPr/>
        <w:t>from</w:t>
      </w:r>
      <w:r>
        <w:rPr>
          <w:spacing w:val="-1"/>
        </w:rPr>
        <w:t> </w:t>
      </w:r>
      <w:r>
        <w:rPr/>
        <w:t>plastic</w:t>
      </w:r>
      <w:r>
        <w:rPr>
          <w:spacing w:val="-1"/>
        </w:rPr>
        <w:t> </w:t>
      </w:r>
      <w:r>
        <w:rPr/>
        <w:t>to</w:t>
      </w:r>
      <w:r>
        <w:rPr>
          <w:spacing w:val="-1"/>
        </w:rPr>
        <w:t> </w:t>
      </w:r>
      <w:r>
        <w:rPr/>
        <w:t>compostable</w:t>
      </w:r>
      <w:r>
        <w:rPr>
          <w:spacing w:val="-1"/>
        </w:rPr>
        <w:t> </w:t>
      </w:r>
      <w:r>
        <w:rPr/>
        <w:t>packaging in Mapua MCM, was measured in terms of procurement cost, storage &amp; handling cost, and waste management costs.</w:t>
      </w:r>
    </w:p>
    <w:p>
      <w:pPr>
        <w:spacing w:before="243"/>
        <w:ind w:left="326" w:right="0" w:firstLine="0"/>
        <w:jc w:val="both"/>
        <w:rPr>
          <w:sz w:val="24"/>
        </w:rPr>
      </w:pPr>
      <w:r>
        <w:rPr>
          <w:b/>
          <w:sz w:val="24"/>
        </w:rPr>
        <w:t>Table</w:t>
      </w:r>
      <w:r>
        <w:rPr>
          <w:b/>
          <w:spacing w:val="-2"/>
          <w:sz w:val="24"/>
        </w:rPr>
        <w:t> </w:t>
      </w:r>
      <w:r>
        <w:rPr>
          <w:b/>
          <w:sz w:val="24"/>
        </w:rPr>
        <w:t>3.2.1. </w:t>
      </w:r>
      <w:r>
        <w:rPr>
          <w:sz w:val="24"/>
        </w:rPr>
        <w:t>Level</w:t>
      </w:r>
      <w:r>
        <w:rPr>
          <w:spacing w:val="-2"/>
          <w:sz w:val="24"/>
        </w:rPr>
        <w:t> </w:t>
      </w:r>
      <w:r>
        <w:rPr>
          <w:sz w:val="24"/>
        </w:rPr>
        <w:t>of</w:t>
      </w:r>
      <w:r>
        <w:rPr>
          <w:spacing w:val="-2"/>
          <w:sz w:val="24"/>
        </w:rPr>
        <w:t> </w:t>
      </w:r>
      <w:r>
        <w:rPr>
          <w:sz w:val="24"/>
        </w:rPr>
        <w:t>Cost Implications</w:t>
      </w:r>
      <w:r>
        <w:rPr>
          <w:spacing w:val="-1"/>
          <w:sz w:val="24"/>
        </w:rPr>
        <w:t> </w:t>
      </w:r>
      <w:r>
        <w:rPr>
          <w:sz w:val="24"/>
        </w:rPr>
        <w:t>–</w:t>
      </w:r>
      <w:r>
        <w:rPr>
          <w:spacing w:val="-1"/>
          <w:sz w:val="24"/>
        </w:rPr>
        <w:t> </w:t>
      </w:r>
      <w:r>
        <w:rPr>
          <w:spacing w:val="-2"/>
          <w:sz w:val="24"/>
        </w:rPr>
        <w:t>Procurement</w:t>
      </w:r>
    </w:p>
    <w:p>
      <w:pPr>
        <w:pStyle w:val="BodyText"/>
        <w:spacing w:before="2"/>
        <w:rPr>
          <w:sz w:val="12"/>
        </w:rPr>
      </w:pPr>
    </w:p>
    <w:tbl>
      <w:tblPr>
        <w:tblW w:w="0" w:type="auto"/>
        <w:jc w:val="left"/>
        <w:tblInd w:w="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07"/>
        <w:gridCol w:w="1447"/>
        <w:gridCol w:w="1159"/>
        <w:gridCol w:w="3068"/>
      </w:tblGrid>
      <w:tr>
        <w:trPr>
          <w:trHeight w:val="345" w:hRule="atLeast"/>
        </w:trPr>
        <w:tc>
          <w:tcPr>
            <w:tcW w:w="3707" w:type="dxa"/>
            <w:tcBorders>
              <w:top w:val="single" w:sz="6" w:space="0" w:color="000000"/>
              <w:bottom w:val="single" w:sz="6" w:space="0" w:color="000000"/>
            </w:tcBorders>
          </w:tcPr>
          <w:p>
            <w:pPr>
              <w:pStyle w:val="TableParagraph"/>
              <w:spacing w:line="272" w:lineRule="exact"/>
              <w:ind w:left="74"/>
              <w:rPr>
                <w:b/>
                <w:i/>
                <w:sz w:val="24"/>
              </w:rPr>
            </w:pPr>
            <w:r>
              <w:rPr>
                <w:b/>
                <w:i/>
                <w:sz w:val="24"/>
              </w:rPr>
              <w:t>Item</w:t>
            </w:r>
            <w:r>
              <w:rPr>
                <w:b/>
                <w:i/>
                <w:spacing w:val="2"/>
                <w:sz w:val="24"/>
              </w:rPr>
              <w:t> </w:t>
            </w:r>
            <w:r>
              <w:rPr>
                <w:b/>
                <w:i/>
                <w:spacing w:val="-2"/>
                <w:sz w:val="24"/>
              </w:rPr>
              <w:t>Statements</w:t>
            </w:r>
          </w:p>
        </w:tc>
        <w:tc>
          <w:tcPr>
            <w:tcW w:w="1447" w:type="dxa"/>
            <w:tcBorders>
              <w:top w:val="single" w:sz="6" w:space="0" w:color="000000"/>
              <w:bottom w:val="single" w:sz="6" w:space="0" w:color="000000"/>
            </w:tcBorders>
          </w:tcPr>
          <w:p>
            <w:pPr>
              <w:pStyle w:val="TableParagraph"/>
              <w:spacing w:before="1"/>
              <w:ind w:right="194"/>
              <w:jc w:val="center"/>
              <w:rPr>
                <w:b/>
                <w:sz w:val="24"/>
              </w:rPr>
            </w:pPr>
            <w:r>
              <w:rPr>
                <w:b/>
                <w:spacing w:val="-4"/>
                <w:sz w:val="24"/>
              </w:rPr>
              <w:t>Mean</w:t>
            </w:r>
          </w:p>
        </w:tc>
        <w:tc>
          <w:tcPr>
            <w:tcW w:w="1159" w:type="dxa"/>
            <w:tcBorders>
              <w:top w:val="single" w:sz="6" w:space="0" w:color="000000"/>
              <w:bottom w:val="single" w:sz="6" w:space="0" w:color="000000"/>
            </w:tcBorders>
          </w:tcPr>
          <w:p>
            <w:pPr>
              <w:pStyle w:val="TableParagraph"/>
              <w:spacing w:before="1"/>
              <w:ind w:right="260"/>
              <w:jc w:val="right"/>
              <w:rPr>
                <w:b/>
                <w:sz w:val="24"/>
              </w:rPr>
            </w:pPr>
            <w:r>
              <w:rPr>
                <w:b/>
                <w:spacing w:val="-5"/>
                <w:sz w:val="24"/>
              </w:rPr>
              <w:t>SD</w:t>
            </w:r>
          </w:p>
        </w:tc>
        <w:tc>
          <w:tcPr>
            <w:tcW w:w="3068" w:type="dxa"/>
            <w:tcBorders>
              <w:top w:val="single" w:sz="6" w:space="0" w:color="000000"/>
              <w:bottom w:val="single" w:sz="6" w:space="0" w:color="000000"/>
            </w:tcBorders>
          </w:tcPr>
          <w:p>
            <w:pPr>
              <w:pStyle w:val="TableParagraph"/>
              <w:spacing w:before="1"/>
              <w:ind w:left="181" w:right="3"/>
              <w:jc w:val="center"/>
              <w:rPr>
                <w:b/>
                <w:sz w:val="24"/>
              </w:rPr>
            </w:pPr>
            <w:r>
              <w:rPr>
                <w:b/>
                <w:sz w:val="24"/>
              </w:rPr>
              <w:t>Descriptive</w:t>
            </w:r>
            <w:r>
              <w:rPr>
                <w:b/>
                <w:spacing w:val="-7"/>
                <w:sz w:val="24"/>
              </w:rPr>
              <w:t> </w:t>
            </w:r>
            <w:r>
              <w:rPr>
                <w:b/>
                <w:spacing w:val="-4"/>
                <w:sz w:val="24"/>
              </w:rPr>
              <w:t>Level</w:t>
            </w:r>
          </w:p>
        </w:tc>
      </w:tr>
      <w:tr>
        <w:trPr>
          <w:trHeight w:val="827" w:hRule="atLeast"/>
        </w:trPr>
        <w:tc>
          <w:tcPr>
            <w:tcW w:w="3707" w:type="dxa"/>
            <w:tcBorders>
              <w:top w:val="single" w:sz="6" w:space="0" w:color="000000"/>
              <w:bottom w:val="single" w:sz="4" w:space="0" w:color="000000"/>
            </w:tcBorders>
          </w:tcPr>
          <w:p>
            <w:pPr>
              <w:pStyle w:val="TableParagraph"/>
              <w:ind w:left="14" w:right="331"/>
              <w:rPr>
                <w:sz w:val="24"/>
              </w:rPr>
            </w:pPr>
            <w:r>
              <w:rPr>
                <w:sz w:val="24"/>
              </w:rPr>
              <w:t>P1:</w:t>
            </w:r>
            <w:r>
              <w:rPr>
                <w:spacing w:val="29"/>
                <w:sz w:val="24"/>
              </w:rPr>
              <w:t> </w:t>
            </w:r>
            <w:r>
              <w:rPr>
                <w:sz w:val="24"/>
              </w:rPr>
              <w:t>Compostable</w:t>
            </w:r>
            <w:r>
              <w:rPr>
                <w:spacing w:val="28"/>
                <w:sz w:val="24"/>
              </w:rPr>
              <w:t> </w:t>
            </w:r>
            <w:r>
              <w:rPr>
                <w:sz w:val="24"/>
              </w:rPr>
              <w:t>packaging</w:t>
            </w:r>
            <w:r>
              <w:rPr>
                <w:spacing w:val="26"/>
                <w:sz w:val="24"/>
              </w:rPr>
              <w:t> </w:t>
            </w:r>
            <w:r>
              <w:rPr>
                <w:sz w:val="24"/>
              </w:rPr>
              <w:t>costs more</w:t>
            </w:r>
            <w:r>
              <w:rPr>
                <w:spacing w:val="25"/>
                <w:sz w:val="24"/>
              </w:rPr>
              <w:t>  </w:t>
            </w:r>
            <w:r>
              <w:rPr>
                <w:sz w:val="24"/>
              </w:rPr>
              <w:t>to</w:t>
            </w:r>
            <w:r>
              <w:rPr>
                <w:spacing w:val="26"/>
                <w:sz w:val="24"/>
              </w:rPr>
              <w:t>  </w:t>
            </w:r>
            <w:r>
              <w:rPr>
                <w:sz w:val="24"/>
              </w:rPr>
              <w:t>purchase</w:t>
            </w:r>
            <w:r>
              <w:rPr>
                <w:spacing w:val="26"/>
                <w:sz w:val="24"/>
              </w:rPr>
              <w:t>  </w:t>
            </w:r>
            <w:r>
              <w:rPr>
                <w:sz w:val="24"/>
              </w:rPr>
              <w:t>compared</w:t>
            </w:r>
            <w:r>
              <w:rPr>
                <w:spacing w:val="26"/>
                <w:sz w:val="24"/>
              </w:rPr>
              <w:t>  </w:t>
            </w:r>
            <w:r>
              <w:rPr>
                <w:spacing w:val="-5"/>
                <w:sz w:val="24"/>
              </w:rPr>
              <w:t>to</w:t>
            </w:r>
          </w:p>
          <w:p>
            <w:pPr>
              <w:pStyle w:val="TableParagraph"/>
              <w:spacing w:line="261" w:lineRule="exact"/>
              <w:ind w:left="14"/>
              <w:rPr>
                <w:sz w:val="24"/>
              </w:rPr>
            </w:pPr>
            <w:r>
              <w:rPr>
                <w:sz w:val="24"/>
              </w:rPr>
              <w:t>plastic </w:t>
            </w:r>
            <w:r>
              <w:rPr>
                <w:spacing w:val="-2"/>
                <w:sz w:val="24"/>
              </w:rPr>
              <w:t>packaging.</w:t>
            </w:r>
          </w:p>
        </w:tc>
        <w:tc>
          <w:tcPr>
            <w:tcW w:w="1447" w:type="dxa"/>
            <w:tcBorders>
              <w:top w:val="single" w:sz="6" w:space="0" w:color="000000"/>
              <w:bottom w:val="single" w:sz="4" w:space="0" w:color="000000"/>
            </w:tcBorders>
          </w:tcPr>
          <w:p>
            <w:pPr>
              <w:pStyle w:val="TableParagraph"/>
              <w:spacing w:before="270"/>
              <w:ind w:left="3" w:right="194"/>
              <w:jc w:val="center"/>
              <w:rPr>
                <w:sz w:val="24"/>
              </w:rPr>
            </w:pPr>
            <w:r>
              <w:rPr>
                <w:spacing w:val="-4"/>
                <w:sz w:val="24"/>
              </w:rPr>
              <w:t>2.87</w:t>
            </w:r>
          </w:p>
        </w:tc>
        <w:tc>
          <w:tcPr>
            <w:tcW w:w="1159" w:type="dxa"/>
            <w:tcBorders>
              <w:top w:val="single" w:sz="6" w:space="0" w:color="000000"/>
              <w:bottom w:val="single" w:sz="4" w:space="0" w:color="000000"/>
            </w:tcBorders>
          </w:tcPr>
          <w:p>
            <w:pPr>
              <w:pStyle w:val="TableParagraph"/>
              <w:spacing w:before="270"/>
              <w:ind w:right="206"/>
              <w:jc w:val="right"/>
              <w:rPr>
                <w:sz w:val="24"/>
              </w:rPr>
            </w:pPr>
            <w:r>
              <w:rPr>
                <w:spacing w:val="-4"/>
                <w:sz w:val="24"/>
              </w:rPr>
              <w:t>0.83</w:t>
            </w:r>
          </w:p>
        </w:tc>
        <w:tc>
          <w:tcPr>
            <w:tcW w:w="3068" w:type="dxa"/>
            <w:tcBorders>
              <w:top w:val="single" w:sz="6" w:space="0" w:color="000000"/>
              <w:bottom w:val="single" w:sz="4" w:space="0" w:color="000000"/>
            </w:tcBorders>
          </w:tcPr>
          <w:p>
            <w:pPr>
              <w:pStyle w:val="TableParagraph"/>
              <w:spacing w:before="234"/>
              <w:ind w:left="181"/>
              <w:jc w:val="center"/>
              <w:rPr>
                <w:sz w:val="24"/>
              </w:rPr>
            </w:pPr>
            <w:r>
              <w:rPr>
                <w:spacing w:val="-2"/>
                <w:sz w:val="24"/>
              </w:rPr>
              <w:t>Agree</w:t>
            </w:r>
          </w:p>
        </w:tc>
      </w:tr>
      <w:tr>
        <w:trPr>
          <w:trHeight w:val="828" w:hRule="atLeast"/>
        </w:trPr>
        <w:tc>
          <w:tcPr>
            <w:tcW w:w="3707" w:type="dxa"/>
            <w:tcBorders>
              <w:top w:val="single" w:sz="4" w:space="0" w:color="000000"/>
              <w:bottom w:val="single" w:sz="4" w:space="0" w:color="000000"/>
            </w:tcBorders>
          </w:tcPr>
          <w:p>
            <w:pPr>
              <w:pStyle w:val="TableParagraph"/>
              <w:tabs>
                <w:tab w:pos="556" w:val="left" w:leader="none"/>
                <w:tab w:pos="1748" w:val="left" w:leader="none"/>
                <w:tab w:pos="2158" w:val="left" w:leader="none"/>
              </w:tabs>
              <w:spacing w:line="270" w:lineRule="exact"/>
              <w:ind w:left="14"/>
              <w:rPr>
                <w:sz w:val="24"/>
              </w:rPr>
            </w:pPr>
            <w:r>
              <w:rPr>
                <w:spacing w:val="-5"/>
                <w:sz w:val="24"/>
              </w:rPr>
              <w:t>P2:</w:t>
            </w:r>
            <w:r>
              <w:rPr>
                <w:sz w:val="24"/>
              </w:rPr>
              <w:tab/>
            </w:r>
            <w:r>
              <w:rPr>
                <w:spacing w:val="-2"/>
                <w:sz w:val="24"/>
              </w:rPr>
              <w:t>Switching</w:t>
            </w:r>
            <w:r>
              <w:rPr>
                <w:sz w:val="24"/>
              </w:rPr>
              <w:tab/>
            </w:r>
            <w:r>
              <w:rPr>
                <w:spacing w:val="-5"/>
                <w:sz w:val="24"/>
              </w:rPr>
              <w:t>to</w:t>
            </w:r>
            <w:r>
              <w:rPr>
                <w:sz w:val="24"/>
              </w:rPr>
              <w:tab/>
            </w:r>
            <w:r>
              <w:rPr>
                <w:spacing w:val="-2"/>
                <w:sz w:val="24"/>
              </w:rPr>
              <w:t>compostable</w:t>
            </w:r>
          </w:p>
          <w:p>
            <w:pPr>
              <w:pStyle w:val="TableParagraph"/>
              <w:tabs>
                <w:tab w:pos="1285" w:val="left" w:leader="none"/>
                <w:tab w:pos="2170" w:val="left" w:leader="none"/>
              </w:tabs>
              <w:spacing w:line="270" w:lineRule="atLeast"/>
              <w:ind w:left="14" w:right="330"/>
              <w:rPr>
                <w:sz w:val="24"/>
              </w:rPr>
            </w:pPr>
            <w:r>
              <w:rPr>
                <w:spacing w:val="-2"/>
                <w:sz w:val="24"/>
              </w:rPr>
              <w:t>packaging</w:t>
            </w:r>
            <w:r>
              <w:rPr>
                <w:sz w:val="24"/>
              </w:rPr>
              <w:tab/>
            </w:r>
            <w:r>
              <w:rPr>
                <w:spacing w:val="-2"/>
                <w:sz w:val="24"/>
              </w:rPr>
              <w:t>would</w:t>
            </w:r>
            <w:r>
              <w:rPr>
                <w:sz w:val="24"/>
              </w:rPr>
              <w:tab/>
            </w:r>
            <w:r>
              <w:rPr>
                <w:spacing w:val="-2"/>
                <w:sz w:val="24"/>
              </w:rPr>
              <w:t>significantly </w:t>
            </w:r>
            <w:r>
              <w:rPr>
                <w:sz w:val="24"/>
              </w:rPr>
              <w:t>increase the canteen’s expenses.</w:t>
            </w:r>
          </w:p>
        </w:tc>
        <w:tc>
          <w:tcPr>
            <w:tcW w:w="1447" w:type="dxa"/>
            <w:tcBorders>
              <w:top w:val="single" w:sz="4" w:space="0" w:color="000000"/>
              <w:bottom w:val="single" w:sz="4" w:space="0" w:color="000000"/>
            </w:tcBorders>
          </w:tcPr>
          <w:p>
            <w:pPr>
              <w:pStyle w:val="TableParagraph"/>
              <w:spacing w:before="270"/>
              <w:ind w:left="3" w:right="194"/>
              <w:jc w:val="center"/>
              <w:rPr>
                <w:sz w:val="24"/>
              </w:rPr>
            </w:pPr>
            <w:r>
              <w:rPr>
                <w:spacing w:val="-4"/>
                <w:sz w:val="24"/>
              </w:rPr>
              <w:t>3.00</w:t>
            </w:r>
          </w:p>
        </w:tc>
        <w:tc>
          <w:tcPr>
            <w:tcW w:w="1159" w:type="dxa"/>
            <w:tcBorders>
              <w:top w:val="single" w:sz="4" w:space="0" w:color="000000"/>
              <w:bottom w:val="single" w:sz="4" w:space="0" w:color="000000"/>
            </w:tcBorders>
          </w:tcPr>
          <w:p>
            <w:pPr>
              <w:pStyle w:val="TableParagraph"/>
              <w:spacing w:before="270"/>
              <w:ind w:right="206"/>
              <w:jc w:val="right"/>
              <w:rPr>
                <w:sz w:val="24"/>
              </w:rPr>
            </w:pPr>
            <w:r>
              <w:rPr>
                <w:spacing w:val="-4"/>
                <w:sz w:val="24"/>
              </w:rPr>
              <w:t>0.63</w:t>
            </w:r>
          </w:p>
        </w:tc>
        <w:tc>
          <w:tcPr>
            <w:tcW w:w="3068" w:type="dxa"/>
            <w:tcBorders>
              <w:top w:val="single" w:sz="4" w:space="0" w:color="000000"/>
              <w:bottom w:val="single" w:sz="4" w:space="0" w:color="000000"/>
            </w:tcBorders>
          </w:tcPr>
          <w:p>
            <w:pPr>
              <w:pStyle w:val="TableParagraph"/>
              <w:spacing w:before="234"/>
              <w:ind w:left="181"/>
              <w:jc w:val="center"/>
              <w:rPr>
                <w:sz w:val="24"/>
              </w:rPr>
            </w:pPr>
            <w:r>
              <w:rPr>
                <w:spacing w:val="-2"/>
                <w:sz w:val="24"/>
              </w:rPr>
              <w:t>Agree</w:t>
            </w:r>
          </w:p>
        </w:tc>
      </w:tr>
      <w:tr>
        <w:trPr>
          <w:trHeight w:val="1103" w:hRule="atLeast"/>
        </w:trPr>
        <w:tc>
          <w:tcPr>
            <w:tcW w:w="3707" w:type="dxa"/>
            <w:tcBorders>
              <w:top w:val="single" w:sz="4" w:space="0" w:color="000000"/>
              <w:bottom w:val="single" w:sz="4" w:space="0" w:color="000000"/>
            </w:tcBorders>
          </w:tcPr>
          <w:p>
            <w:pPr>
              <w:pStyle w:val="TableParagraph"/>
              <w:ind w:left="14" w:right="331"/>
              <w:jc w:val="both"/>
              <w:rPr>
                <w:sz w:val="24"/>
              </w:rPr>
            </w:pPr>
            <w:r>
              <w:rPr>
                <w:sz w:val="24"/>
              </w:rPr>
              <w:t>P3: Suppliers of </w:t>
            </w:r>
            <w:r>
              <w:rPr>
                <w:sz w:val="24"/>
              </w:rPr>
              <w:t>compostable packaging are less accessible compared</w:t>
            </w:r>
            <w:r>
              <w:rPr>
                <w:spacing w:val="41"/>
                <w:sz w:val="24"/>
              </w:rPr>
              <w:t>  </w:t>
            </w:r>
            <w:r>
              <w:rPr>
                <w:sz w:val="24"/>
              </w:rPr>
              <w:t>to</w:t>
            </w:r>
            <w:r>
              <w:rPr>
                <w:spacing w:val="41"/>
                <w:sz w:val="24"/>
              </w:rPr>
              <w:t>  </w:t>
            </w:r>
            <w:r>
              <w:rPr>
                <w:sz w:val="24"/>
              </w:rPr>
              <w:t>plastic</w:t>
            </w:r>
            <w:r>
              <w:rPr>
                <w:spacing w:val="42"/>
                <w:sz w:val="24"/>
              </w:rPr>
              <w:t>  </w:t>
            </w:r>
            <w:r>
              <w:rPr>
                <w:spacing w:val="-2"/>
                <w:sz w:val="24"/>
              </w:rPr>
              <w:t>packaging</w:t>
            </w:r>
          </w:p>
          <w:p>
            <w:pPr>
              <w:pStyle w:val="TableParagraph"/>
              <w:spacing w:line="261" w:lineRule="exact"/>
              <w:ind w:left="14"/>
              <w:rPr>
                <w:sz w:val="24"/>
              </w:rPr>
            </w:pPr>
            <w:r>
              <w:rPr>
                <w:spacing w:val="-2"/>
                <w:sz w:val="24"/>
              </w:rPr>
              <w:t>suppliers.</w:t>
            </w:r>
          </w:p>
        </w:tc>
        <w:tc>
          <w:tcPr>
            <w:tcW w:w="1447" w:type="dxa"/>
            <w:tcBorders>
              <w:top w:val="single" w:sz="4" w:space="0" w:color="000000"/>
              <w:bottom w:val="single" w:sz="4" w:space="0" w:color="000000"/>
            </w:tcBorders>
          </w:tcPr>
          <w:p>
            <w:pPr>
              <w:pStyle w:val="TableParagraph"/>
              <w:spacing w:before="133"/>
              <w:rPr>
                <w:sz w:val="24"/>
              </w:rPr>
            </w:pPr>
          </w:p>
          <w:p>
            <w:pPr>
              <w:pStyle w:val="TableParagraph"/>
              <w:ind w:left="3" w:right="194"/>
              <w:jc w:val="center"/>
              <w:rPr>
                <w:sz w:val="24"/>
              </w:rPr>
            </w:pPr>
            <w:r>
              <w:rPr>
                <w:spacing w:val="-4"/>
                <w:sz w:val="24"/>
              </w:rPr>
              <w:t>3.13</w:t>
            </w:r>
          </w:p>
        </w:tc>
        <w:tc>
          <w:tcPr>
            <w:tcW w:w="1159" w:type="dxa"/>
            <w:tcBorders>
              <w:top w:val="single" w:sz="4" w:space="0" w:color="000000"/>
              <w:bottom w:val="single" w:sz="4" w:space="0" w:color="000000"/>
            </w:tcBorders>
          </w:tcPr>
          <w:p>
            <w:pPr>
              <w:pStyle w:val="TableParagraph"/>
              <w:spacing w:before="133"/>
              <w:rPr>
                <w:sz w:val="24"/>
              </w:rPr>
            </w:pPr>
          </w:p>
          <w:p>
            <w:pPr>
              <w:pStyle w:val="TableParagraph"/>
              <w:ind w:right="206"/>
              <w:jc w:val="right"/>
              <w:rPr>
                <w:sz w:val="24"/>
              </w:rPr>
            </w:pPr>
            <w:r>
              <w:rPr>
                <w:spacing w:val="-4"/>
                <w:sz w:val="24"/>
              </w:rPr>
              <w:t>0.52</w:t>
            </w:r>
          </w:p>
        </w:tc>
        <w:tc>
          <w:tcPr>
            <w:tcW w:w="3068" w:type="dxa"/>
            <w:tcBorders>
              <w:top w:val="single" w:sz="4" w:space="0" w:color="000000"/>
              <w:bottom w:val="single" w:sz="4" w:space="0" w:color="000000"/>
            </w:tcBorders>
          </w:tcPr>
          <w:p>
            <w:pPr>
              <w:pStyle w:val="TableParagraph"/>
              <w:spacing w:before="154"/>
              <w:rPr>
                <w:sz w:val="24"/>
              </w:rPr>
            </w:pPr>
          </w:p>
          <w:p>
            <w:pPr>
              <w:pStyle w:val="TableParagraph"/>
              <w:spacing w:before="1"/>
              <w:ind w:left="181"/>
              <w:jc w:val="center"/>
              <w:rPr>
                <w:sz w:val="24"/>
              </w:rPr>
            </w:pPr>
            <w:r>
              <w:rPr>
                <w:spacing w:val="-2"/>
                <w:sz w:val="24"/>
              </w:rPr>
              <w:t>Agree</w:t>
            </w:r>
          </w:p>
        </w:tc>
      </w:tr>
      <w:tr>
        <w:trPr>
          <w:trHeight w:val="829" w:hRule="atLeast"/>
        </w:trPr>
        <w:tc>
          <w:tcPr>
            <w:tcW w:w="3707" w:type="dxa"/>
            <w:tcBorders>
              <w:top w:val="single" w:sz="4" w:space="0" w:color="000000"/>
              <w:bottom w:val="single" w:sz="4" w:space="0" w:color="000000"/>
            </w:tcBorders>
          </w:tcPr>
          <w:p>
            <w:pPr>
              <w:pStyle w:val="TableParagraph"/>
              <w:tabs>
                <w:tab w:pos="774" w:val="left" w:leader="none"/>
                <w:tab w:pos="1679" w:val="left" w:leader="none"/>
                <w:tab w:pos="3169" w:val="left" w:leader="none"/>
              </w:tabs>
              <w:spacing w:line="273" w:lineRule="exact"/>
              <w:ind w:left="14"/>
              <w:rPr>
                <w:sz w:val="24"/>
              </w:rPr>
            </w:pPr>
            <w:r>
              <w:rPr>
                <w:spacing w:val="-5"/>
                <w:sz w:val="24"/>
              </w:rPr>
              <w:t>P4:</w:t>
            </w:r>
            <w:r>
              <w:rPr>
                <w:sz w:val="24"/>
              </w:rPr>
              <w:tab/>
            </w:r>
            <w:r>
              <w:rPr>
                <w:spacing w:val="-4"/>
                <w:sz w:val="24"/>
              </w:rPr>
              <w:t>Bulk</w:t>
            </w:r>
            <w:r>
              <w:rPr>
                <w:sz w:val="24"/>
              </w:rPr>
              <w:tab/>
            </w:r>
            <w:r>
              <w:rPr>
                <w:spacing w:val="-2"/>
                <w:sz w:val="24"/>
              </w:rPr>
              <w:t>purchasing</w:t>
            </w:r>
            <w:r>
              <w:rPr>
                <w:sz w:val="24"/>
              </w:rPr>
              <w:tab/>
            </w:r>
            <w:r>
              <w:rPr>
                <w:spacing w:val="-5"/>
                <w:sz w:val="24"/>
              </w:rPr>
              <w:t>of</w:t>
            </w:r>
          </w:p>
          <w:p>
            <w:pPr>
              <w:pStyle w:val="TableParagraph"/>
              <w:tabs>
                <w:tab w:pos="1552" w:val="left" w:leader="none"/>
                <w:tab w:pos="2863" w:val="left" w:leader="none"/>
              </w:tabs>
              <w:spacing w:line="270" w:lineRule="atLeast"/>
              <w:ind w:left="14" w:right="335"/>
              <w:rPr>
                <w:sz w:val="24"/>
              </w:rPr>
            </w:pPr>
            <w:r>
              <w:rPr>
                <w:spacing w:val="-2"/>
                <w:sz w:val="24"/>
              </w:rPr>
              <w:t>compostable</w:t>
            </w:r>
            <w:r>
              <w:rPr>
                <w:sz w:val="24"/>
              </w:rPr>
              <w:tab/>
            </w:r>
            <w:r>
              <w:rPr>
                <w:spacing w:val="-2"/>
                <w:sz w:val="24"/>
              </w:rPr>
              <w:t>packaging</w:t>
            </w:r>
            <w:r>
              <w:rPr>
                <w:sz w:val="24"/>
              </w:rPr>
              <w:tab/>
            </w:r>
            <w:r>
              <w:rPr>
                <w:spacing w:val="-4"/>
                <w:sz w:val="24"/>
              </w:rPr>
              <w:t>helps </w:t>
            </w:r>
            <w:r>
              <w:rPr>
                <w:sz w:val="24"/>
              </w:rPr>
              <w:t>reduce costs.</w:t>
            </w:r>
          </w:p>
        </w:tc>
        <w:tc>
          <w:tcPr>
            <w:tcW w:w="1447" w:type="dxa"/>
            <w:tcBorders>
              <w:top w:val="single" w:sz="4" w:space="0" w:color="000000"/>
              <w:bottom w:val="single" w:sz="4" w:space="0" w:color="000000"/>
            </w:tcBorders>
          </w:tcPr>
          <w:p>
            <w:pPr>
              <w:pStyle w:val="TableParagraph"/>
              <w:spacing w:before="272"/>
              <w:ind w:left="3" w:right="194"/>
              <w:jc w:val="center"/>
              <w:rPr>
                <w:sz w:val="24"/>
              </w:rPr>
            </w:pPr>
            <w:r>
              <w:rPr>
                <w:spacing w:val="-4"/>
                <w:sz w:val="24"/>
              </w:rPr>
              <w:t>2.93</w:t>
            </w:r>
          </w:p>
        </w:tc>
        <w:tc>
          <w:tcPr>
            <w:tcW w:w="1159" w:type="dxa"/>
            <w:tcBorders>
              <w:top w:val="single" w:sz="4" w:space="0" w:color="000000"/>
              <w:bottom w:val="single" w:sz="4" w:space="0" w:color="000000"/>
            </w:tcBorders>
          </w:tcPr>
          <w:p>
            <w:pPr>
              <w:pStyle w:val="TableParagraph"/>
              <w:spacing w:before="272"/>
              <w:ind w:right="206"/>
              <w:jc w:val="right"/>
              <w:rPr>
                <w:sz w:val="24"/>
              </w:rPr>
            </w:pPr>
            <w:r>
              <w:rPr>
                <w:spacing w:val="-4"/>
                <w:sz w:val="24"/>
              </w:rPr>
              <w:t>1.12</w:t>
            </w:r>
          </w:p>
        </w:tc>
        <w:tc>
          <w:tcPr>
            <w:tcW w:w="3068" w:type="dxa"/>
            <w:tcBorders>
              <w:top w:val="single" w:sz="4" w:space="0" w:color="000000"/>
              <w:bottom w:val="single" w:sz="4" w:space="0" w:color="000000"/>
            </w:tcBorders>
          </w:tcPr>
          <w:p>
            <w:pPr>
              <w:pStyle w:val="TableParagraph"/>
              <w:spacing w:before="236"/>
              <w:ind w:left="181"/>
              <w:jc w:val="center"/>
              <w:rPr>
                <w:sz w:val="24"/>
              </w:rPr>
            </w:pPr>
            <w:r>
              <w:rPr>
                <w:spacing w:val="-2"/>
                <w:sz w:val="24"/>
              </w:rPr>
              <w:t>Agree</w:t>
            </w:r>
          </w:p>
        </w:tc>
      </w:tr>
      <w:tr>
        <w:trPr>
          <w:trHeight w:val="551" w:hRule="atLeast"/>
        </w:trPr>
        <w:tc>
          <w:tcPr>
            <w:tcW w:w="3707" w:type="dxa"/>
            <w:tcBorders>
              <w:top w:val="single" w:sz="4" w:space="0" w:color="000000"/>
              <w:bottom w:val="single" w:sz="4" w:space="0" w:color="000000"/>
            </w:tcBorders>
          </w:tcPr>
          <w:p>
            <w:pPr>
              <w:pStyle w:val="TableParagraph"/>
              <w:spacing w:before="239"/>
              <w:ind w:left="14"/>
              <w:rPr>
                <w:b/>
                <w:i/>
                <w:sz w:val="24"/>
              </w:rPr>
            </w:pPr>
            <w:r>
              <w:rPr>
                <w:b/>
                <w:i/>
                <w:sz w:val="24"/>
              </w:rPr>
              <w:t>Procurement – </w:t>
            </w:r>
            <w:r>
              <w:rPr>
                <w:b/>
                <w:i/>
                <w:spacing w:val="-2"/>
                <w:sz w:val="24"/>
              </w:rPr>
              <w:t>Total**</w:t>
            </w:r>
          </w:p>
        </w:tc>
        <w:tc>
          <w:tcPr>
            <w:tcW w:w="1447" w:type="dxa"/>
            <w:tcBorders>
              <w:top w:val="single" w:sz="4" w:space="0" w:color="000000"/>
              <w:bottom w:val="single" w:sz="4" w:space="0" w:color="000000"/>
            </w:tcBorders>
          </w:tcPr>
          <w:p>
            <w:pPr>
              <w:pStyle w:val="TableParagraph"/>
              <w:spacing w:line="257" w:lineRule="exact" w:before="275"/>
              <w:ind w:left="3" w:right="194"/>
              <w:jc w:val="center"/>
              <w:rPr>
                <w:b/>
                <w:sz w:val="24"/>
              </w:rPr>
            </w:pPr>
            <w:r>
              <w:rPr>
                <w:b/>
                <w:spacing w:val="-4"/>
                <w:sz w:val="24"/>
              </w:rPr>
              <w:t>2.98</w:t>
            </w:r>
          </w:p>
        </w:tc>
        <w:tc>
          <w:tcPr>
            <w:tcW w:w="1159" w:type="dxa"/>
            <w:tcBorders>
              <w:top w:val="single" w:sz="4" w:space="0" w:color="000000"/>
              <w:bottom w:val="single" w:sz="4" w:space="0" w:color="000000"/>
            </w:tcBorders>
          </w:tcPr>
          <w:p>
            <w:pPr>
              <w:pStyle w:val="TableParagraph"/>
              <w:spacing w:line="257" w:lineRule="exact" w:before="275"/>
              <w:ind w:right="206"/>
              <w:jc w:val="right"/>
              <w:rPr>
                <w:b/>
                <w:sz w:val="24"/>
              </w:rPr>
            </w:pPr>
            <w:r>
              <w:rPr>
                <w:b/>
                <w:spacing w:val="-4"/>
                <w:sz w:val="24"/>
              </w:rPr>
              <w:t>0.78</w:t>
            </w:r>
          </w:p>
        </w:tc>
        <w:tc>
          <w:tcPr>
            <w:tcW w:w="3068" w:type="dxa"/>
            <w:tcBorders>
              <w:top w:val="single" w:sz="4" w:space="0" w:color="000000"/>
              <w:bottom w:val="single" w:sz="4" w:space="0" w:color="000000"/>
            </w:tcBorders>
          </w:tcPr>
          <w:p>
            <w:pPr>
              <w:pStyle w:val="TableParagraph"/>
              <w:spacing w:line="270" w:lineRule="exact"/>
              <w:ind w:left="181" w:right="3"/>
              <w:jc w:val="center"/>
              <w:rPr>
                <w:sz w:val="24"/>
              </w:rPr>
            </w:pPr>
            <w:r>
              <w:rPr>
                <w:sz w:val="24"/>
              </w:rPr>
              <w:t>Procurement</w:t>
            </w:r>
            <w:r>
              <w:rPr>
                <w:spacing w:val="-5"/>
                <w:sz w:val="24"/>
              </w:rPr>
              <w:t> </w:t>
            </w:r>
            <w:r>
              <w:rPr>
                <w:sz w:val="24"/>
              </w:rPr>
              <w:t>activities</w:t>
            </w:r>
            <w:r>
              <w:rPr>
                <w:spacing w:val="-2"/>
                <w:sz w:val="24"/>
              </w:rPr>
              <w:t> </w:t>
            </w:r>
            <w:r>
              <w:rPr>
                <w:sz w:val="24"/>
              </w:rPr>
              <w:t>have</w:t>
            </w:r>
            <w:r>
              <w:rPr>
                <w:spacing w:val="-2"/>
                <w:sz w:val="24"/>
              </w:rPr>
              <w:t> </w:t>
            </w:r>
            <w:r>
              <w:rPr>
                <w:spacing w:val="-10"/>
                <w:sz w:val="24"/>
              </w:rPr>
              <w:t>a</w:t>
            </w:r>
          </w:p>
          <w:p>
            <w:pPr>
              <w:pStyle w:val="TableParagraph"/>
              <w:spacing w:line="261" w:lineRule="exact"/>
              <w:ind w:left="181" w:right="5"/>
              <w:jc w:val="center"/>
              <w:rPr>
                <w:sz w:val="24"/>
              </w:rPr>
            </w:pPr>
            <w:r>
              <w:rPr>
                <w:b/>
                <w:sz w:val="24"/>
              </w:rPr>
              <w:t>High</w:t>
            </w:r>
            <w:r>
              <w:rPr>
                <w:sz w:val="24"/>
              </w:rPr>
              <w:t>-Cost </w:t>
            </w:r>
            <w:r>
              <w:rPr>
                <w:spacing w:val="-2"/>
                <w:sz w:val="24"/>
              </w:rPr>
              <w:t>Implications</w:t>
            </w:r>
          </w:p>
        </w:tc>
      </w:tr>
    </w:tbl>
    <w:p>
      <w:pPr>
        <w:spacing w:before="0"/>
        <w:ind w:left="0" w:right="753" w:firstLine="0"/>
        <w:jc w:val="center"/>
        <w:rPr>
          <w:i/>
          <w:sz w:val="20"/>
        </w:rPr>
      </w:pPr>
      <w:r>
        <w:rPr>
          <w:i/>
          <w:sz w:val="20"/>
        </w:rPr>
        <w:t>*3.26-4.00</w:t>
      </w:r>
      <w:r>
        <w:rPr>
          <w:i/>
          <w:spacing w:val="-3"/>
          <w:sz w:val="20"/>
        </w:rPr>
        <w:t> </w:t>
      </w:r>
      <w:r>
        <w:rPr>
          <w:i/>
          <w:sz w:val="20"/>
        </w:rPr>
        <w:t>–</w:t>
      </w:r>
      <w:r>
        <w:rPr>
          <w:i/>
          <w:spacing w:val="-6"/>
          <w:sz w:val="20"/>
        </w:rPr>
        <w:t> </w:t>
      </w:r>
      <w:r>
        <w:rPr>
          <w:i/>
          <w:sz w:val="20"/>
        </w:rPr>
        <w:t>Strongly</w:t>
      </w:r>
      <w:r>
        <w:rPr>
          <w:i/>
          <w:spacing w:val="-5"/>
          <w:sz w:val="20"/>
        </w:rPr>
        <w:t> </w:t>
      </w:r>
      <w:r>
        <w:rPr>
          <w:i/>
          <w:sz w:val="20"/>
        </w:rPr>
        <w:t>Agree,</w:t>
      </w:r>
      <w:r>
        <w:rPr>
          <w:i/>
          <w:spacing w:val="-6"/>
          <w:sz w:val="20"/>
        </w:rPr>
        <w:t> </w:t>
      </w:r>
      <w:r>
        <w:rPr>
          <w:i/>
          <w:sz w:val="20"/>
        </w:rPr>
        <w:t>2.51-3.25</w:t>
      </w:r>
      <w:r>
        <w:rPr>
          <w:i/>
          <w:spacing w:val="-3"/>
          <w:sz w:val="20"/>
        </w:rPr>
        <w:t> </w:t>
      </w:r>
      <w:r>
        <w:rPr>
          <w:i/>
          <w:sz w:val="20"/>
        </w:rPr>
        <w:t>–</w:t>
      </w:r>
      <w:r>
        <w:rPr>
          <w:i/>
          <w:spacing w:val="-4"/>
          <w:sz w:val="20"/>
        </w:rPr>
        <w:t> </w:t>
      </w:r>
      <w:r>
        <w:rPr>
          <w:i/>
          <w:sz w:val="20"/>
        </w:rPr>
        <w:t>Agree,</w:t>
      </w:r>
      <w:r>
        <w:rPr>
          <w:i/>
          <w:spacing w:val="-5"/>
          <w:sz w:val="20"/>
        </w:rPr>
        <w:t> </w:t>
      </w:r>
      <w:r>
        <w:rPr>
          <w:i/>
          <w:sz w:val="20"/>
        </w:rPr>
        <w:t>1.76-2.50</w:t>
      </w:r>
      <w:r>
        <w:rPr>
          <w:i/>
          <w:spacing w:val="-5"/>
          <w:sz w:val="20"/>
        </w:rPr>
        <w:t> </w:t>
      </w:r>
      <w:r>
        <w:rPr>
          <w:i/>
          <w:sz w:val="20"/>
        </w:rPr>
        <w:t>–</w:t>
      </w:r>
      <w:r>
        <w:rPr>
          <w:i/>
          <w:spacing w:val="-4"/>
          <w:sz w:val="20"/>
        </w:rPr>
        <w:t> </w:t>
      </w:r>
      <w:r>
        <w:rPr>
          <w:i/>
          <w:sz w:val="20"/>
        </w:rPr>
        <w:t>Disagree,</w:t>
      </w:r>
      <w:r>
        <w:rPr>
          <w:i/>
          <w:spacing w:val="-5"/>
          <w:sz w:val="20"/>
        </w:rPr>
        <w:t> </w:t>
      </w:r>
      <w:r>
        <w:rPr>
          <w:i/>
          <w:sz w:val="20"/>
        </w:rPr>
        <w:t>1.00-1.75</w:t>
      </w:r>
      <w:r>
        <w:rPr>
          <w:i/>
          <w:spacing w:val="-3"/>
          <w:sz w:val="20"/>
        </w:rPr>
        <w:t> </w:t>
      </w:r>
      <w:r>
        <w:rPr>
          <w:i/>
          <w:sz w:val="20"/>
        </w:rPr>
        <w:t>–</w:t>
      </w:r>
      <w:r>
        <w:rPr>
          <w:i/>
          <w:spacing w:val="-5"/>
          <w:sz w:val="20"/>
        </w:rPr>
        <w:t> </w:t>
      </w:r>
      <w:r>
        <w:rPr>
          <w:i/>
          <w:sz w:val="20"/>
        </w:rPr>
        <w:t>Strongly</w:t>
      </w:r>
      <w:r>
        <w:rPr>
          <w:i/>
          <w:spacing w:val="-5"/>
          <w:sz w:val="20"/>
        </w:rPr>
        <w:t> </w:t>
      </w:r>
      <w:r>
        <w:rPr>
          <w:i/>
          <w:spacing w:val="-2"/>
          <w:sz w:val="20"/>
        </w:rPr>
        <w:t>Disagree</w:t>
      </w:r>
    </w:p>
    <w:p>
      <w:pPr>
        <w:spacing w:before="0"/>
        <w:ind w:left="5" w:right="754" w:firstLine="0"/>
        <w:jc w:val="center"/>
        <w:rPr>
          <w:i/>
          <w:sz w:val="20"/>
        </w:rPr>
      </w:pPr>
      <w:r>
        <w:rPr>
          <w:i/>
          <w:sz w:val="20"/>
        </w:rPr>
        <w:t>**3.26-4.00</w:t>
      </w:r>
      <w:r>
        <w:rPr>
          <w:i/>
          <w:spacing w:val="-5"/>
          <w:sz w:val="20"/>
        </w:rPr>
        <w:t> </w:t>
      </w:r>
      <w:r>
        <w:rPr>
          <w:i/>
          <w:sz w:val="20"/>
        </w:rPr>
        <w:t>–</w:t>
      </w:r>
      <w:r>
        <w:rPr>
          <w:i/>
          <w:spacing w:val="-3"/>
          <w:sz w:val="20"/>
        </w:rPr>
        <w:t> </w:t>
      </w:r>
      <w:r>
        <w:rPr>
          <w:i/>
          <w:sz w:val="20"/>
        </w:rPr>
        <w:t>Very</w:t>
      </w:r>
      <w:r>
        <w:rPr>
          <w:i/>
          <w:spacing w:val="-4"/>
          <w:sz w:val="20"/>
        </w:rPr>
        <w:t> </w:t>
      </w:r>
      <w:r>
        <w:rPr>
          <w:i/>
          <w:sz w:val="20"/>
        </w:rPr>
        <w:t>High,</w:t>
      </w:r>
      <w:r>
        <w:rPr>
          <w:i/>
          <w:spacing w:val="-5"/>
          <w:sz w:val="20"/>
        </w:rPr>
        <w:t> </w:t>
      </w:r>
      <w:r>
        <w:rPr>
          <w:i/>
          <w:sz w:val="20"/>
        </w:rPr>
        <w:t>2.51-3.25</w:t>
      </w:r>
      <w:r>
        <w:rPr>
          <w:i/>
          <w:spacing w:val="-5"/>
          <w:sz w:val="20"/>
        </w:rPr>
        <w:t> </w:t>
      </w:r>
      <w:r>
        <w:rPr>
          <w:i/>
          <w:sz w:val="20"/>
        </w:rPr>
        <w:t>–</w:t>
      </w:r>
      <w:r>
        <w:rPr>
          <w:i/>
          <w:spacing w:val="-3"/>
          <w:sz w:val="20"/>
        </w:rPr>
        <w:t> </w:t>
      </w:r>
      <w:r>
        <w:rPr>
          <w:i/>
          <w:sz w:val="20"/>
        </w:rPr>
        <w:t>High,</w:t>
      </w:r>
      <w:r>
        <w:rPr>
          <w:i/>
          <w:spacing w:val="-4"/>
          <w:sz w:val="20"/>
        </w:rPr>
        <w:t> </w:t>
      </w:r>
      <w:r>
        <w:rPr>
          <w:i/>
          <w:sz w:val="20"/>
        </w:rPr>
        <w:t>1.76-2.50</w:t>
      </w:r>
      <w:r>
        <w:rPr>
          <w:i/>
          <w:spacing w:val="-5"/>
          <w:sz w:val="20"/>
        </w:rPr>
        <w:t> </w:t>
      </w:r>
      <w:r>
        <w:rPr>
          <w:i/>
          <w:sz w:val="20"/>
        </w:rPr>
        <w:t>–</w:t>
      </w:r>
      <w:r>
        <w:rPr>
          <w:i/>
          <w:spacing w:val="-4"/>
          <w:sz w:val="20"/>
        </w:rPr>
        <w:t> </w:t>
      </w:r>
      <w:r>
        <w:rPr>
          <w:i/>
          <w:sz w:val="20"/>
        </w:rPr>
        <w:t>Low,</w:t>
      </w:r>
      <w:r>
        <w:rPr>
          <w:i/>
          <w:spacing w:val="-4"/>
          <w:sz w:val="20"/>
        </w:rPr>
        <w:t> </w:t>
      </w:r>
      <w:r>
        <w:rPr>
          <w:i/>
          <w:sz w:val="20"/>
        </w:rPr>
        <w:t>1.00-1.75</w:t>
      </w:r>
      <w:r>
        <w:rPr>
          <w:i/>
          <w:spacing w:val="-2"/>
          <w:sz w:val="20"/>
        </w:rPr>
        <w:t> </w:t>
      </w:r>
      <w:r>
        <w:rPr>
          <w:i/>
          <w:sz w:val="20"/>
        </w:rPr>
        <w:t>–</w:t>
      </w:r>
      <w:r>
        <w:rPr>
          <w:i/>
          <w:spacing w:val="-5"/>
          <w:sz w:val="20"/>
        </w:rPr>
        <w:t> </w:t>
      </w:r>
      <w:r>
        <w:rPr>
          <w:i/>
          <w:sz w:val="20"/>
        </w:rPr>
        <w:t>Very</w:t>
      </w:r>
      <w:r>
        <w:rPr>
          <w:i/>
          <w:spacing w:val="-4"/>
          <w:sz w:val="20"/>
        </w:rPr>
        <w:t> </w:t>
      </w:r>
      <w:r>
        <w:rPr>
          <w:i/>
          <w:spacing w:val="-5"/>
          <w:sz w:val="20"/>
        </w:rPr>
        <w:t>Low</w:t>
      </w:r>
    </w:p>
    <w:p>
      <w:pPr>
        <w:pStyle w:val="BodyText"/>
        <w:spacing w:before="5"/>
        <w:rPr>
          <w:i/>
          <w:sz w:val="20"/>
        </w:rPr>
      </w:pPr>
    </w:p>
    <w:p>
      <w:pPr>
        <w:pStyle w:val="BodyText"/>
        <w:spacing w:line="480" w:lineRule="auto"/>
        <w:ind w:left="326" w:right="1079" w:firstLine="720"/>
        <w:jc w:val="both"/>
      </w:pPr>
      <w:r>
        <w:rPr/>
        <w:t>The results indicate that procurement of compostable packaging has a high cost implication</w:t>
      </w:r>
      <w:r>
        <w:rPr>
          <w:spacing w:val="-11"/>
        </w:rPr>
        <w:t> </w:t>
      </w:r>
      <w:r>
        <w:rPr/>
        <w:t>(M</w:t>
      </w:r>
      <w:r>
        <w:rPr>
          <w:spacing w:val="-11"/>
        </w:rPr>
        <w:t> </w:t>
      </w:r>
      <w:r>
        <w:rPr/>
        <w:t>=</w:t>
      </w:r>
      <w:r>
        <w:rPr>
          <w:spacing w:val="-12"/>
        </w:rPr>
        <w:t> </w:t>
      </w:r>
      <w:r>
        <w:rPr/>
        <w:t>2.98,</w:t>
      </w:r>
      <w:r>
        <w:rPr>
          <w:spacing w:val="-11"/>
        </w:rPr>
        <w:t> </w:t>
      </w:r>
      <w:r>
        <w:rPr/>
        <w:t>SD</w:t>
      </w:r>
      <w:r>
        <w:rPr>
          <w:spacing w:val="-11"/>
        </w:rPr>
        <w:t> </w:t>
      </w:r>
      <w:r>
        <w:rPr/>
        <w:t>=</w:t>
      </w:r>
      <w:r>
        <w:rPr>
          <w:spacing w:val="-12"/>
        </w:rPr>
        <w:t> </w:t>
      </w:r>
      <w:r>
        <w:rPr/>
        <w:t>0.78).</w:t>
      </w:r>
      <w:r>
        <w:rPr>
          <w:spacing w:val="-9"/>
        </w:rPr>
        <w:t> </w:t>
      </w:r>
      <w:r>
        <w:rPr/>
        <w:t>Canteen</w:t>
      </w:r>
      <w:r>
        <w:rPr>
          <w:spacing w:val="-11"/>
        </w:rPr>
        <w:t> </w:t>
      </w:r>
      <w:r>
        <w:rPr/>
        <w:t>staffs</w:t>
      </w:r>
      <w:r>
        <w:rPr>
          <w:spacing w:val="-7"/>
        </w:rPr>
        <w:t> </w:t>
      </w:r>
      <w:r>
        <w:rPr/>
        <w:t>agreed</w:t>
      </w:r>
      <w:r>
        <w:rPr>
          <w:spacing w:val="-11"/>
        </w:rPr>
        <w:t> </w:t>
      </w:r>
      <w:r>
        <w:rPr/>
        <w:t>that</w:t>
      </w:r>
      <w:r>
        <w:rPr>
          <w:spacing w:val="-10"/>
        </w:rPr>
        <w:t> </w:t>
      </w:r>
      <w:r>
        <w:rPr/>
        <w:t>compostable</w:t>
      </w:r>
      <w:r>
        <w:rPr>
          <w:spacing w:val="-9"/>
        </w:rPr>
        <w:t> </w:t>
      </w:r>
      <w:r>
        <w:rPr/>
        <w:t>packaging</w:t>
      </w:r>
      <w:r>
        <w:rPr>
          <w:spacing w:val="-13"/>
        </w:rPr>
        <w:t> </w:t>
      </w:r>
      <w:r>
        <w:rPr/>
        <w:t>costs more and that suppliers are less accessible compared to plastics. However, they also recognized</w:t>
      </w:r>
      <w:r>
        <w:rPr>
          <w:spacing w:val="58"/>
          <w:w w:val="150"/>
        </w:rPr>
        <w:t> </w:t>
      </w:r>
      <w:r>
        <w:rPr/>
        <w:t>that</w:t>
      </w:r>
      <w:r>
        <w:rPr>
          <w:spacing w:val="58"/>
          <w:w w:val="150"/>
        </w:rPr>
        <w:t> </w:t>
      </w:r>
      <w:r>
        <w:rPr/>
        <w:t>bulk</w:t>
      </w:r>
      <w:r>
        <w:rPr>
          <w:spacing w:val="59"/>
          <w:w w:val="150"/>
        </w:rPr>
        <w:t> </w:t>
      </w:r>
      <w:r>
        <w:rPr/>
        <w:t>purchasing</w:t>
      </w:r>
      <w:r>
        <w:rPr>
          <w:spacing w:val="56"/>
          <w:w w:val="150"/>
        </w:rPr>
        <w:t> </w:t>
      </w:r>
      <w:r>
        <w:rPr/>
        <w:t>may</w:t>
      </w:r>
      <w:r>
        <w:rPr>
          <w:spacing w:val="53"/>
          <w:w w:val="150"/>
        </w:rPr>
        <w:t> </w:t>
      </w:r>
      <w:r>
        <w:rPr/>
        <w:t>help</w:t>
      </w:r>
      <w:r>
        <w:rPr>
          <w:spacing w:val="59"/>
          <w:w w:val="150"/>
        </w:rPr>
        <w:t> </w:t>
      </w:r>
      <w:r>
        <w:rPr/>
        <w:t>reduce</w:t>
      </w:r>
      <w:r>
        <w:rPr>
          <w:spacing w:val="57"/>
          <w:w w:val="150"/>
        </w:rPr>
        <w:t> </w:t>
      </w:r>
      <w:r>
        <w:rPr/>
        <w:t>costs.</w:t>
      </w:r>
      <w:r>
        <w:rPr>
          <w:spacing w:val="58"/>
          <w:w w:val="150"/>
        </w:rPr>
        <w:t> </w:t>
      </w:r>
      <w:r>
        <w:rPr/>
        <w:t>This</w:t>
      </w:r>
      <w:r>
        <w:rPr>
          <w:spacing w:val="59"/>
          <w:w w:val="150"/>
        </w:rPr>
        <w:t> </w:t>
      </w:r>
      <w:r>
        <w:rPr/>
        <w:t>suggests</w:t>
      </w:r>
      <w:r>
        <w:rPr>
          <w:spacing w:val="59"/>
          <w:w w:val="150"/>
        </w:rPr>
        <w:t> </w:t>
      </w:r>
      <w:r>
        <w:rPr/>
        <w:t>that</w:t>
      </w:r>
      <w:r>
        <w:rPr>
          <w:spacing w:val="58"/>
          <w:w w:val="150"/>
        </w:rPr>
        <w:t> </w:t>
      </w:r>
      <w:r>
        <w:rPr>
          <w:spacing w:val="-4"/>
        </w:rPr>
        <w:t>while</w:t>
      </w:r>
    </w:p>
    <w:p>
      <w:pPr>
        <w:pStyle w:val="BodyText"/>
        <w:spacing w:after="0" w:line="480" w:lineRule="auto"/>
        <w:jc w:val="both"/>
        <w:sectPr>
          <w:pgSz w:w="12240" w:h="15840"/>
          <w:pgMar w:header="763" w:footer="0" w:top="1340" w:bottom="280" w:left="1800" w:right="360"/>
        </w:sectPr>
      </w:pPr>
    </w:p>
    <w:p>
      <w:pPr>
        <w:pStyle w:val="BodyText"/>
        <w:spacing w:line="480" w:lineRule="auto" w:before="80"/>
        <w:ind w:left="326" w:right="1082"/>
        <w:jc w:val="both"/>
      </w:pPr>
      <w:r>
        <w:rPr/>
        <w:t>procurement is financially challenging, strategies like bulk buying and supplier partnerships could help manage expenses.</w:t>
      </w:r>
    </w:p>
    <w:p>
      <w:pPr>
        <w:spacing w:before="160"/>
        <w:ind w:left="326" w:right="0" w:firstLine="0"/>
        <w:jc w:val="both"/>
        <w:rPr>
          <w:sz w:val="24"/>
        </w:rPr>
      </w:pPr>
      <w:r>
        <w:rPr>
          <w:b/>
          <w:sz w:val="24"/>
        </w:rPr>
        <w:t>Table</w:t>
      </w:r>
      <w:r>
        <w:rPr>
          <w:b/>
          <w:spacing w:val="-4"/>
          <w:sz w:val="24"/>
        </w:rPr>
        <w:t> </w:t>
      </w:r>
      <w:r>
        <w:rPr>
          <w:b/>
          <w:sz w:val="24"/>
        </w:rPr>
        <w:t>3.2.2. </w:t>
      </w:r>
      <w:r>
        <w:rPr>
          <w:sz w:val="24"/>
        </w:rPr>
        <w:t>Level</w:t>
      </w:r>
      <w:r>
        <w:rPr>
          <w:spacing w:val="-2"/>
          <w:sz w:val="24"/>
        </w:rPr>
        <w:t> </w:t>
      </w:r>
      <w:r>
        <w:rPr>
          <w:sz w:val="24"/>
        </w:rPr>
        <w:t>of</w:t>
      </w:r>
      <w:r>
        <w:rPr>
          <w:spacing w:val="-2"/>
          <w:sz w:val="24"/>
        </w:rPr>
        <w:t> </w:t>
      </w:r>
      <w:r>
        <w:rPr>
          <w:sz w:val="24"/>
        </w:rPr>
        <w:t>Cost Implications –</w:t>
      </w:r>
      <w:r>
        <w:rPr>
          <w:spacing w:val="-2"/>
          <w:sz w:val="24"/>
        </w:rPr>
        <w:t> </w:t>
      </w:r>
      <w:r>
        <w:rPr>
          <w:sz w:val="24"/>
        </w:rPr>
        <w:t>Storage</w:t>
      </w:r>
      <w:r>
        <w:rPr>
          <w:spacing w:val="-1"/>
          <w:sz w:val="24"/>
        </w:rPr>
        <w:t> </w:t>
      </w:r>
      <w:r>
        <w:rPr>
          <w:sz w:val="24"/>
        </w:rPr>
        <w:t>&amp;</w:t>
      </w:r>
      <w:r>
        <w:rPr>
          <w:spacing w:val="-3"/>
          <w:sz w:val="24"/>
        </w:rPr>
        <w:t> </w:t>
      </w:r>
      <w:r>
        <w:rPr>
          <w:spacing w:val="-2"/>
          <w:sz w:val="24"/>
        </w:rPr>
        <w:t>Handling</w:t>
      </w:r>
    </w:p>
    <w:p>
      <w:pPr>
        <w:pStyle w:val="BodyText"/>
        <w:spacing w:before="52"/>
        <w:rPr>
          <w:sz w:val="20"/>
        </w:rPr>
      </w:pPr>
    </w:p>
    <w:tbl>
      <w:tblPr>
        <w:tblW w:w="0" w:type="auto"/>
        <w:jc w:val="left"/>
        <w:tblInd w:w="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07"/>
        <w:gridCol w:w="1403"/>
        <w:gridCol w:w="1080"/>
        <w:gridCol w:w="3192"/>
      </w:tblGrid>
      <w:tr>
        <w:trPr>
          <w:trHeight w:val="342" w:hRule="atLeast"/>
        </w:trPr>
        <w:tc>
          <w:tcPr>
            <w:tcW w:w="3707" w:type="dxa"/>
            <w:tcBorders>
              <w:top w:val="single" w:sz="6" w:space="0" w:color="000000"/>
              <w:bottom w:val="single" w:sz="6" w:space="0" w:color="000000"/>
            </w:tcBorders>
          </w:tcPr>
          <w:p>
            <w:pPr>
              <w:pStyle w:val="TableParagraph"/>
              <w:spacing w:line="270" w:lineRule="exact"/>
              <w:ind w:left="74"/>
              <w:rPr>
                <w:b/>
                <w:i/>
                <w:sz w:val="24"/>
              </w:rPr>
            </w:pPr>
            <w:r>
              <w:rPr>
                <w:b/>
                <w:i/>
                <w:sz w:val="24"/>
              </w:rPr>
              <w:t>Item</w:t>
            </w:r>
            <w:r>
              <w:rPr>
                <w:b/>
                <w:i/>
                <w:spacing w:val="2"/>
                <w:sz w:val="24"/>
              </w:rPr>
              <w:t> </w:t>
            </w:r>
            <w:r>
              <w:rPr>
                <w:b/>
                <w:i/>
                <w:spacing w:val="-2"/>
                <w:sz w:val="24"/>
              </w:rPr>
              <w:t>Statements</w:t>
            </w:r>
          </w:p>
        </w:tc>
        <w:tc>
          <w:tcPr>
            <w:tcW w:w="1403" w:type="dxa"/>
            <w:tcBorders>
              <w:top w:val="single" w:sz="6" w:space="0" w:color="000000"/>
              <w:bottom w:val="single" w:sz="6" w:space="0" w:color="000000"/>
            </w:tcBorders>
          </w:tcPr>
          <w:p>
            <w:pPr>
              <w:pStyle w:val="TableParagraph"/>
              <w:spacing w:line="275" w:lineRule="exact"/>
              <w:ind w:right="150"/>
              <w:jc w:val="center"/>
              <w:rPr>
                <w:b/>
                <w:sz w:val="24"/>
              </w:rPr>
            </w:pPr>
            <w:r>
              <w:rPr>
                <w:b/>
                <w:spacing w:val="-4"/>
                <w:sz w:val="24"/>
              </w:rPr>
              <w:t>Mean</w:t>
            </w:r>
          </w:p>
        </w:tc>
        <w:tc>
          <w:tcPr>
            <w:tcW w:w="1080" w:type="dxa"/>
            <w:tcBorders>
              <w:top w:val="single" w:sz="6" w:space="0" w:color="000000"/>
              <w:bottom w:val="single" w:sz="6" w:space="0" w:color="000000"/>
            </w:tcBorders>
          </w:tcPr>
          <w:p>
            <w:pPr>
              <w:pStyle w:val="TableParagraph"/>
              <w:spacing w:line="275" w:lineRule="exact"/>
              <w:ind w:right="228"/>
              <w:jc w:val="right"/>
              <w:rPr>
                <w:b/>
                <w:sz w:val="24"/>
              </w:rPr>
            </w:pPr>
            <w:r>
              <w:rPr>
                <w:b/>
                <w:spacing w:val="-5"/>
                <w:sz w:val="24"/>
              </w:rPr>
              <w:t>SD</w:t>
            </w:r>
          </w:p>
        </w:tc>
        <w:tc>
          <w:tcPr>
            <w:tcW w:w="3192" w:type="dxa"/>
            <w:tcBorders>
              <w:top w:val="single" w:sz="6" w:space="0" w:color="000000"/>
              <w:bottom w:val="single" w:sz="6" w:space="0" w:color="000000"/>
            </w:tcBorders>
          </w:tcPr>
          <w:p>
            <w:pPr>
              <w:pStyle w:val="TableParagraph"/>
              <w:spacing w:line="275" w:lineRule="exact"/>
              <w:ind w:left="123"/>
              <w:jc w:val="center"/>
              <w:rPr>
                <w:b/>
                <w:sz w:val="24"/>
              </w:rPr>
            </w:pPr>
            <w:r>
              <w:rPr>
                <w:b/>
                <w:sz w:val="24"/>
              </w:rPr>
              <w:t>Descriptive</w:t>
            </w:r>
            <w:r>
              <w:rPr>
                <w:b/>
                <w:spacing w:val="-7"/>
                <w:sz w:val="24"/>
              </w:rPr>
              <w:t> </w:t>
            </w:r>
            <w:r>
              <w:rPr>
                <w:b/>
                <w:spacing w:val="-4"/>
                <w:sz w:val="24"/>
              </w:rPr>
              <w:t>Level</w:t>
            </w:r>
          </w:p>
        </w:tc>
      </w:tr>
      <w:tr>
        <w:trPr>
          <w:trHeight w:val="827" w:hRule="atLeast"/>
        </w:trPr>
        <w:tc>
          <w:tcPr>
            <w:tcW w:w="3707" w:type="dxa"/>
            <w:tcBorders>
              <w:top w:val="single" w:sz="6" w:space="0" w:color="000000"/>
              <w:bottom w:val="single" w:sz="4" w:space="0" w:color="000000"/>
            </w:tcBorders>
          </w:tcPr>
          <w:p>
            <w:pPr>
              <w:pStyle w:val="TableParagraph"/>
              <w:tabs>
                <w:tab w:pos="815" w:val="left" w:leader="none"/>
                <w:tab w:pos="2387" w:val="left" w:leader="none"/>
              </w:tabs>
              <w:ind w:left="14" w:right="331"/>
              <w:rPr>
                <w:sz w:val="24"/>
              </w:rPr>
            </w:pPr>
            <w:r>
              <w:rPr>
                <w:spacing w:val="-4"/>
                <w:sz w:val="24"/>
              </w:rPr>
              <w:t>SH1:</w:t>
            </w:r>
            <w:r>
              <w:rPr>
                <w:sz w:val="24"/>
              </w:rPr>
              <w:tab/>
            </w:r>
            <w:r>
              <w:rPr>
                <w:spacing w:val="-2"/>
                <w:sz w:val="24"/>
              </w:rPr>
              <w:t>Compostable</w:t>
            </w:r>
            <w:r>
              <w:rPr>
                <w:sz w:val="24"/>
              </w:rPr>
              <w:tab/>
            </w:r>
            <w:r>
              <w:rPr>
                <w:spacing w:val="-2"/>
                <w:sz w:val="24"/>
              </w:rPr>
              <w:t>packaging </w:t>
            </w:r>
            <w:r>
              <w:rPr>
                <w:sz w:val="24"/>
              </w:rPr>
              <w:t>requires</w:t>
            </w:r>
            <w:r>
              <w:rPr>
                <w:spacing w:val="36"/>
                <w:sz w:val="24"/>
              </w:rPr>
              <w:t> </w:t>
            </w:r>
            <w:r>
              <w:rPr>
                <w:sz w:val="24"/>
              </w:rPr>
              <w:t>more</w:t>
            </w:r>
            <w:r>
              <w:rPr>
                <w:spacing w:val="35"/>
                <w:sz w:val="24"/>
              </w:rPr>
              <w:t> </w:t>
            </w:r>
            <w:r>
              <w:rPr>
                <w:sz w:val="24"/>
              </w:rPr>
              <w:t>frequent</w:t>
            </w:r>
            <w:r>
              <w:rPr>
                <w:spacing w:val="37"/>
                <w:sz w:val="24"/>
              </w:rPr>
              <w:t> </w:t>
            </w:r>
            <w:r>
              <w:rPr>
                <w:spacing w:val="-2"/>
                <w:sz w:val="24"/>
              </w:rPr>
              <w:t>restocking</w:t>
            </w:r>
          </w:p>
          <w:p>
            <w:pPr>
              <w:pStyle w:val="TableParagraph"/>
              <w:spacing w:line="261" w:lineRule="exact"/>
              <w:ind w:left="14"/>
              <w:rPr>
                <w:sz w:val="24"/>
              </w:rPr>
            </w:pPr>
            <w:r>
              <w:rPr>
                <w:sz w:val="24"/>
              </w:rPr>
              <w:t>compared</w:t>
            </w:r>
            <w:r>
              <w:rPr>
                <w:spacing w:val="-2"/>
                <w:sz w:val="24"/>
              </w:rPr>
              <w:t> </w:t>
            </w:r>
            <w:r>
              <w:rPr>
                <w:sz w:val="24"/>
              </w:rPr>
              <w:t>to</w:t>
            </w:r>
            <w:r>
              <w:rPr>
                <w:spacing w:val="-2"/>
                <w:sz w:val="24"/>
              </w:rPr>
              <w:t> plastic.</w:t>
            </w:r>
          </w:p>
        </w:tc>
        <w:tc>
          <w:tcPr>
            <w:tcW w:w="1403" w:type="dxa"/>
            <w:tcBorders>
              <w:top w:val="single" w:sz="6" w:space="0" w:color="000000"/>
              <w:bottom w:val="single" w:sz="4" w:space="0" w:color="000000"/>
            </w:tcBorders>
          </w:tcPr>
          <w:p>
            <w:pPr>
              <w:pStyle w:val="TableParagraph"/>
              <w:spacing w:before="270"/>
              <w:ind w:left="3" w:right="150"/>
              <w:jc w:val="center"/>
              <w:rPr>
                <w:sz w:val="24"/>
              </w:rPr>
            </w:pPr>
            <w:r>
              <w:rPr>
                <w:spacing w:val="-4"/>
                <w:sz w:val="24"/>
              </w:rPr>
              <w:t>2.80</w:t>
            </w:r>
          </w:p>
        </w:tc>
        <w:tc>
          <w:tcPr>
            <w:tcW w:w="1080" w:type="dxa"/>
            <w:tcBorders>
              <w:top w:val="single" w:sz="6" w:space="0" w:color="000000"/>
              <w:bottom w:val="single" w:sz="4" w:space="0" w:color="000000"/>
            </w:tcBorders>
          </w:tcPr>
          <w:p>
            <w:pPr>
              <w:pStyle w:val="TableParagraph"/>
              <w:spacing w:before="270"/>
              <w:ind w:right="172"/>
              <w:jc w:val="right"/>
              <w:rPr>
                <w:sz w:val="24"/>
              </w:rPr>
            </w:pPr>
            <w:r>
              <w:rPr>
                <w:spacing w:val="-4"/>
                <w:sz w:val="24"/>
              </w:rPr>
              <w:t>0.86</w:t>
            </w:r>
          </w:p>
        </w:tc>
        <w:tc>
          <w:tcPr>
            <w:tcW w:w="3192" w:type="dxa"/>
            <w:tcBorders>
              <w:top w:val="single" w:sz="6" w:space="0" w:color="000000"/>
              <w:bottom w:val="single" w:sz="4" w:space="0" w:color="000000"/>
            </w:tcBorders>
          </w:tcPr>
          <w:p>
            <w:pPr>
              <w:pStyle w:val="TableParagraph"/>
              <w:spacing w:before="234"/>
              <w:ind w:left="123" w:right="3"/>
              <w:jc w:val="center"/>
              <w:rPr>
                <w:sz w:val="24"/>
              </w:rPr>
            </w:pPr>
            <w:r>
              <w:rPr>
                <w:spacing w:val="-2"/>
                <w:sz w:val="24"/>
              </w:rPr>
              <w:t>Agree</w:t>
            </w:r>
          </w:p>
        </w:tc>
      </w:tr>
      <w:tr>
        <w:trPr>
          <w:trHeight w:val="830" w:hRule="atLeast"/>
        </w:trPr>
        <w:tc>
          <w:tcPr>
            <w:tcW w:w="3707" w:type="dxa"/>
            <w:tcBorders>
              <w:top w:val="single" w:sz="4" w:space="0" w:color="000000"/>
              <w:bottom w:val="single" w:sz="4" w:space="0" w:color="000000"/>
            </w:tcBorders>
          </w:tcPr>
          <w:p>
            <w:pPr>
              <w:pStyle w:val="TableParagraph"/>
              <w:tabs>
                <w:tab w:pos="1048" w:val="left" w:leader="none"/>
                <w:tab w:pos="2159" w:val="left" w:leader="none"/>
              </w:tabs>
              <w:spacing w:line="273" w:lineRule="exact"/>
              <w:ind w:left="14"/>
              <w:rPr>
                <w:sz w:val="24"/>
              </w:rPr>
            </w:pPr>
            <w:r>
              <w:rPr>
                <w:spacing w:val="-4"/>
                <w:sz w:val="24"/>
              </w:rPr>
              <w:t>SH2:</w:t>
            </w:r>
            <w:r>
              <w:rPr>
                <w:sz w:val="24"/>
              </w:rPr>
              <w:tab/>
            </w:r>
            <w:r>
              <w:rPr>
                <w:spacing w:val="-2"/>
                <w:sz w:val="24"/>
              </w:rPr>
              <w:t>Using</w:t>
            </w:r>
            <w:r>
              <w:rPr>
                <w:sz w:val="24"/>
              </w:rPr>
              <w:tab/>
            </w:r>
            <w:r>
              <w:rPr>
                <w:spacing w:val="-2"/>
                <w:sz w:val="24"/>
              </w:rPr>
              <w:t>compostable</w:t>
            </w:r>
          </w:p>
          <w:p>
            <w:pPr>
              <w:pStyle w:val="TableParagraph"/>
              <w:spacing w:line="270" w:lineRule="atLeast"/>
              <w:ind w:left="14"/>
              <w:rPr>
                <w:sz w:val="24"/>
              </w:rPr>
            </w:pPr>
            <w:r>
              <w:rPr>
                <w:sz w:val="24"/>
              </w:rPr>
              <w:t>packaging increases storage </w:t>
            </w:r>
            <w:r>
              <w:rPr>
                <w:sz w:val="24"/>
              </w:rPr>
              <w:t>space needs in the canteen.</w:t>
            </w:r>
          </w:p>
        </w:tc>
        <w:tc>
          <w:tcPr>
            <w:tcW w:w="1403" w:type="dxa"/>
            <w:tcBorders>
              <w:top w:val="single" w:sz="4" w:space="0" w:color="000000"/>
              <w:bottom w:val="single" w:sz="4" w:space="0" w:color="000000"/>
            </w:tcBorders>
          </w:tcPr>
          <w:p>
            <w:pPr>
              <w:pStyle w:val="TableParagraph"/>
              <w:spacing w:before="273"/>
              <w:ind w:left="3" w:right="150"/>
              <w:jc w:val="center"/>
              <w:rPr>
                <w:sz w:val="24"/>
              </w:rPr>
            </w:pPr>
            <w:r>
              <w:rPr>
                <w:spacing w:val="-4"/>
                <w:sz w:val="24"/>
              </w:rPr>
              <w:t>2.93</w:t>
            </w:r>
          </w:p>
        </w:tc>
        <w:tc>
          <w:tcPr>
            <w:tcW w:w="1080" w:type="dxa"/>
            <w:tcBorders>
              <w:top w:val="single" w:sz="4" w:space="0" w:color="000000"/>
              <w:bottom w:val="single" w:sz="4" w:space="0" w:color="000000"/>
            </w:tcBorders>
          </w:tcPr>
          <w:p>
            <w:pPr>
              <w:pStyle w:val="TableParagraph"/>
              <w:spacing w:before="273"/>
              <w:ind w:right="172"/>
              <w:jc w:val="right"/>
              <w:rPr>
                <w:sz w:val="24"/>
              </w:rPr>
            </w:pPr>
            <w:r>
              <w:rPr>
                <w:spacing w:val="-4"/>
                <w:sz w:val="24"/>
              </w:rPr>
              <w:t>1.00</w:t>
            </w:r>
          </w:p>
        </w:tc>
        <w:tc>
          <w:tcPr>
            <w:tcW w:w="3192" w:type="dxa"/>
            <w:tcBorders>
              <w:top w:val="single" w:sz="4" w:space="0" w:color="000000"/>
              <w:bottom w:val="single" w:sz="4" w:space="0" w:color="000000"/>
            </w:tcBorders>
          </w:tcPr>
          <w:p>
            <w:pPr>
              <w:pStyle w:val="TableParagraph"/>
              <w:spacing w:before="237"/>
              <w:ind w:left="123" w:right="3"/>
              <w:jc w:val="center"/>
              <w:rPr>
                <w:sz w:val="24"/>
              </w:rPr>
            </w:pPr>
            <w:r>
              <w:rPr>
                <w:spacing w:val="-2"/>
                <w:sz w:val="24"/>
              </w:rPr>
              <w:t>Agree</w:t>
            </w:r>
          </w:p>
        </w:tc>
      </w:tr>
      <w:tr>
        <w:trPr>
          <w:trHeight w:val="827" w:hRule="atLeast"/>
        </w:trPr>
        <w:tc>
          <w:tcPr>
            <w:tcW w:w="3707" w:type="dxa"/>
            <w:tcBorders>
              <w:top w:val="single" w:sz="4" w:space="0" w:color="000000"/>
              <w:bottom w:val="single" w:sz="4" w:space="0" w:color="000000"/>
            </w:tcBorders>
          </w:tcPr>
          <w:p>
            <w:pPr>
              <w:pStyle w:val="TableParagraph"/>
              <w:tabs>
                <w:tab w:pos="962" w:val="left" w:leader="none"/>
                <w:tab w:pos="1484" w:val="left" w:leader="none"/>
                <w:tab w:pos="1788" w:val="left" w:leader="none"/>
                <w:tab w:pos="2731" w:val="left" w:leader="none"/>
                <w:tab w:pos="3169" w:val="left" w:leader="none"/>
              </w:tabs>
              <w:ind w:left="14" w:right="332"/>
              <w:rPr>
                <w:sz w:val="24"/>
              </w:rPr>
            </w:pPr>
            <w:r>
              <w:rPr>
                <w:spacing w:val="-4"/>
                <w:sz w:val="24"/>
              </w:rPr>
              <w:t>SH3:</w:t>
            </w:r>
            <w:r>
              <w:rPr>
                <w:sz w:val="24"/>
              </w:rPr>
              <w:tab/>
            </w:r>
            <w:r>
              <w:rPr>
                <w:spacing w:val="-4"/>
                <w:sz w:val="24"/>
              </w:rPr>
              <w:t>The</w:t>
            </w:r>
            <w:r>
              <w:rPr>
                <w:sz w:val="24"/>
              </w:rPr>
              <w:tab/>
              <w:tab/>
            </w:r>
            <w:r>
              <w:rPr>
                <w:spacing w:val="-2"/>
                <w:sz w:val="24"/>
              </w:rPr>
              <w:t>durability</w:t>
            </w:r>
            <w:r>
              <w:rPr>
                <w:sz w:val="24"/>
              </w:rPr>
              <w:tab/>
              <w:tab/>
            </w:r>
            <w:r>
              <w:rPr>
                <w:spacing w:val="-6"/>
                <w:sz w:val="24"/>
              </w:rPr>
              <w:t>of </w:t>
            </w:r>
            <w:r>
              <w:rPr>
                <w:spacing w:val="-2"/>
                <w:sz w:val="24"/>
              </w:rPr>
              <w:t>compostable</w:t>
            </w:r>
            <w:r>
              <w:rPr>
                <w:sz w:val="24"/>
              </w:rPr>
              <w:tab/>
            </w:r>
            <w:r>
              <w:rPr>
                <w:spacing w:val="-2"/>
                <w:sz w:val="24"/>
              </w:rPr>
              <w:t>packaging</w:t>
            </w:r>
            <w:r>
              <w:rPr>
                <w:sz w:val="24"/>
              </w:rPr>
              <w:tab/>
            </w:r>
            <w:r>
              <w:rPr>
                <w:spacing w:val="-2"/>
                <w:sz w:val="24"/>
              </w:rPr>
              <w:t>affects</w:t>
            </w:r>
          </w:p>
          <w:p>
            <w:pPr>
              <w:pStyle w:val="TableParagraph"/>
              <w:spacing w:line="261" w:lineRule="exact"/>
              <w:ind w:left="14"/>
              <w:rPr>
                <w:sz w:val="24"/>
              </w:rPr>
            </w:pPr>
            <w:r>
              <w:rPr>
                <w:sz w:val="24"/>
              </w:rPr>
              <w:t>food</w:t>
            </w:r>
            <w:r>
              <w:rPr>
                <w:spacing w:val="-3"/>
                <w:sz w:val="24"/>
              </w:rPr>
              <w:t> </w:t>
            </w:r>
            <w:r>
              <w:rPr>
                <w:spacing w:val="-2"/>
                <w:sz w:val="24"/>
              </w:rPr>
              <w:t>waste.</w:t>
            </w:r>
          </w:p>
        </w:tc>
        <w:tc>
          <w:tcPr>
            <w:tcW w:w="1403" w:type="dxa"/>
            <w:tcBorders>
              <w:top w:val="single" w:sz="4" w:space="0" w:color="000000"/>
              <w:bottom w:val="single" w:sz="4" w:space="0" w:color="000000"/>
            </w:tcBorders>
          </w:tcPr>
          <w:p>
            <w:pPr>
              <w:pStyle w:val="TableParagraph"/>
              <w:spacing w:before="251"/>
              <w:ind w:left="3" w:right="150"/>
              <w:jc w:val="center"/>
              <w:rPr>
                <w:sz w:val="24"/>
              </w:rPr>
            </w:pPr>
            <w:r>
              <w:rPr>
                <w:spacing w:val="-4"/>
                <w:sz w:val="24"/>
              </w:rPr>
              <w:t>3.47</w:t>
            </w:r>
          </w:p>
        </w:tc>
        <w:tc>
          <w:tcPr>
            <w:tcW w:w="1080" w:type="dxa"/>
            <w:tcBorders>
              <w:top w:val="single" w:sz="4" w:space="0" w:color="000000"/>
              <w:bottom w:val="single" w:sz="4" w:space="0" w:color="000000"/>
            </w:tcBorders>
          </w:tcPr>
          <w:p>
            <w:pPr>
              <w:pStyle w:val="TableParagraph"/>
              <w:spacing w:before="251"/>
              <w:ind w:right="172"/>
              <w:jc w:val="right"/>
              <w:rPr>
                <w:sz w:val="24"/>
              </w:rPr>
            </w:pPr>
            <w:r>
              <w:rPr>
                <w:spacing w:val="-4"/>
                <w:sz w:val="24"/>
              </w:rPr>
              <w:t>0.74</w:t>
            </w:r>
          </w:p>
        </w:tc>
        <w:tc>
          <w:tcPr>
            <w:tcW w:w="3192" w:type="dxa"/>
            <w:tcBorders>
              <w:top w:val="single" w:sz="4" w:space="0" w:color="000000"/>
              <w:bottom w:val="single" w:sz="4" w:space="0" w:color="000000"/>
            </w:tcBorders>
          </w:tcPr>
          <w:p>
            <w:pPr>
              <w:pStyle w:val="TableParagraph"/>
              <w:spacing w:before="234"/>
              <w:ind w:left="123" w:right="4"/>
              <w:jc w:val="center"/>
              <w:rPr>
                <w:sz w:val="24"/>
              </w:rPr>
            </w:pPr>
            <w:r>
              <w:rPr>
                <w:sz w:val="24"/>
              </w:rPr>
              <w:t>Strongly</w:t>
            </w:r>
            <w:r>
              <w:rPr>
                <w:spacing w:val="-3"/>
                <w:sz w:val="24"/>
              </w:rPr>
              <w:t> </w:t>
            </w:r>
            <w:r>
              <w:rPr>
                <w:spacing w:val="-2"/>
                <w:sz w:val="24"/>
              </w:rPr>
              <w:t>Agree</w:t>
            </w:r>
          </w:p>
        </w:tc>
      </w:tr>
      <w:tr>
        <w:trPr>
          <w:trHeight w:val="551" w:hRule="atLeast"/>
        </w:trPr>
        <w:tc>
          <w:tcPr>
            <w:tcW w:w="3707" w:type="dxa"/>
            <w:tcBorders>
              <w:top w:val="single" w:sz="4" w:space="0" w:color="000000"/>
              <w:bottom w:val="single" w:sz="4" w:space="0" w:color="000000"/>
            </w:tcBorders>
          </w:tcPr>
          <w:p>
            <w:pPr>
              <w:pStyle w:val="TableParagraph"/>
              <w:spacing w:before="239"/>
              <w:ind w:left="14"/>
              <w:rPr>
                <w:b/>
                <w:i/>
                <w:sz w:val="24"/>
              </w:rPr>
            </w:pPr>
            <w:r>
              <w:rPr>
                <w:b/>
                <w:i/>
                <w:sz w:val="24"/>
              </w:rPr>
              <w:t>Storage</w:t>
            </w:r>
            <w:r>
              <w:rPr>
                <w:b/>
                <w:i/>
                <w:spacing w:val="-2"/>
                <w:sz w:val="24"/>
              </w:rPr>
              <w:t> </w:t>
            </w:r>
            <w:r>
              <w:rPr>
                <w:b/>
                <w:i/>
                <w:sz w:val="24"/>
              </w:rPr>
              <w:t>&amp; Handling – </w:t>
            </w:r>
            <w:r>
              <w:rPr>
                <w:b/>
                <w:i/>
                <w:spacing w:val="-2"/>
                <w:sz w:val="24"/>
              </w:rPr>
              <w:t>Total**</w:t>
            </w:r>
          </w:p>
        </w:tc>
        <w:tc>
          <w:tcPr>
            <w:tcW w:w="1403" w:type="dxa"/>
            <w:tcBorders>
              <w:top w:val="single" w:sz="4" w:space="0" w:color="000000"/>
              <w:bottom w:val="single" w:sz="4" w:space="0" w:color="000000"/>
            </w:tcBorders>
          </w:tcPr>
          <w:p>
            <w:pPr>
              <w:pStyle w:val="TableParagraph"/>
              <w:spacing w:line="257" w:lineRule="exact" w:before="275"/>
              <w:ind w:left="3" w:right="150"/>
              <w:jc w:val="center"/>
              <w:rPr>
                <w:b/>
                <w:sz w:val="24"/>
              </w:rPr>
            </w:pPr>
            <w:r>
              <w:rPr>
                <w:b/>
                <w:spacing w:val="-4"/>
                <w:sz w:val="24"/>
              </w:rPr>
              <w:t>3.07</w:t>
            </w:r>
          </w:p>
        </w:tc>
        <w:tc>
          <w:tcPr>
            <w:tcW w:w="1080" w:type="dxa"/>
            <w:tcBorders>
              <w:top w:val="single" w:sz="4" w:space="0" w:color="000000"/>
              <w:bottom w:val="single" w:sz="4" w:space="0" w:color="000000"/>
            </w:tcBorders>
          </w:tcPr>
          <w:p>
            <w:pPr>
              <w:pStyle w:val="TableParagraph"/>
              <w:spacing w:before="239"/>
              <w:ind w:right="172"/>
              <w:jc w:val="right"/>
              <w:rPr>
                <w:b/>
                <w:sz w:val="24"/>
              </w:rPr>
            </w:pPr>
            <w:r>
              <w:rPr>
                <w:b/>
                <w:spacing w:val="-4"/>
                <w:sz w:val="24"/>
              </w:rPr>
              <w:t>0.87</w:t>
            </w:r>
          </w:p>
        </w:tc>
        <w:tc>
          <w:tcPr>
            <w:tcW w:w="3192" w:type="dxa"/>
            <w:tcBorders>
              <w:top w:val="single" w:sz="4" w:space="0" w:color="000000"/>
              <w:bottom w:val="single" w:sz="4" w:space="0" w:color="000000"/>
            </w:tcBorders>
          </w:tcPr>
          <w:p>
            <w:pPr>
              <w:pStyle w:val="TableParagraph"/>
              <w:spacing w:line="270" w:lineRule="exact"/>
              <w:ind w:left="226"/>
              <w:rPr>
                <w:sz w:val="24"/>
              </w:rPr>
            </w:pPr>
            <w:r>
              <w:rPr>
                <w:sz w:val="24"/>
              </w:rPr>
              <w:t>Storage</w:t>
            </w:r>
            <w:r>
              <w:rPr>
                <w:spacing w:val="-2"/>
                <w:sz w:val="24"/>
              </w:rPr>
              <w:t> </w:t>
            </w:r>
            <w:r>
              <w:rPr>
                <w:sz w:val="24"/>
              </w:rPr>
              <w:t>&amp;</w:t>
            </w:r>
            <w:r>
              <w:rPr>
                <w:spacing w:val="-2"/>
                <w:sz w:val="24"/>
              </w:rPr>
              <w:t> </w:t>
            </w:r>
            <w:r>
              <w:rPr>
                <w:sz w:val="24"/>
              </w:rPr>
              <w:t>Handling</w:t>
            </w:r>
            <w:r>
              <w:rPr>
                <w:spacing w:val="-1"/>
                <w:sz w:val="24"/>
              </w:rPr>
              <w:t> </w:t>
            </w:r>
            <w:r>
              <w:rPr>
                <w:spacing w:val="-2"/>
                <w:sz w:val="24"/>
              </w:rPr>
              <w:t>activities</w:t>
            </w:r>
          </w:p>
          <w:p>
            <w:pPr>
              <w:pStyle w:val="TableParagraph"/>
              <w:spacing w:line="261" w:lineRule="exact"/>
              <w:ind w:left="173"/>
              <w:rPr>
                <w:sz w:val="24"/>
              </w:rPr>
            </w:pPr>
            <w:r>
              <w:rPr>
                <w:sz w:val="24"/>
              </w:rPr>
              <w:t>have</w:t>
            </w:r>
            <w:r>
              <w:rPr>
                <w:spacing w:val="-2"/>
                <w:sz w:val="24"/>
              </w:rPr>
              <w:t> </w:t>
            </w:r>
            <w:r>
              <w:rPr>
                <w:sz w:val="24"/>
              </w:rPr>
              <w:t>a</w:t>
            </w:r>
            <w:r>
              <w:rPr>
                <w:spacing w:val="-1"/>
                <w:sz w:val="24"/>
              </w:rPr>
              <w:t> </w:t>
            </w:r>
            <w:r>
              <w:rPr>
                <w:b/>
                <w:sz w:val="24"/>
              </w:rPr>
              <w:t>High</w:t>
            </w:r>
            <w:r>
              <w:rPr>
                <w:sz w:val="24"/>
              </w:rPr>
              <w:t>-Cost</w:t>
            </w:r>
            <w:r>
              <w:rPr>
                <w:spacing w:val="3"/>
                <w:sz w:val="24"/>
              </w:rPr>
              <w:t> </w:t>
            </w:r>
            <w:r>
              <w:rPr>
                <w:spacing w:val="-2"/>
                <w:sz w:val="24"/>
              </w:rPr>
              <w:t>Implications</w:t>
            </w:r>
          </w:p>
        </w:tc>
      </w:tr>
    </w:tbl>
    <w:p>
      <w:pPr>
        <w:spacing w:before="0"/>
        <w:ind w:left="0" w:right="753" w:firstLine="0"/>
        <w:jc w:val="center"/>
        <w:rPr>
          <w:i/>
          <w:sz w:val="20"/>
        </w:rPr>
      </w:pPr>
      <w:r>
        <w:rPr>
          <w:i/>
          <w:sz w:val="20"/>
        </w:rPr>
        <w:t>*3.26-4.00</w:t>
      </w:r>
      <w:r>
        <w:rPr>
          <w:i/>
          <w:spacing w:val="-3"/>
          <w:sz w:val="20"/>
        </w:rPr>
        <w:t> </w:t>
      </w:r>
      <w:r>
        <w:rPr>
          <w:i/>
          <w:sz w:val="20"/>
        </w:rPr>
        <w:t>–</w:t>
      </w:r>
      <w:r>
        <w:rPr>
          <w:i/>
          <w:spacing w:val="-6"/>
          <w:sz w:val="20"/>
        </w:rPr>
        <w:t> </w:t>
      </w:r>
      <w:r>
        <w:rPr>
          <w:i/>
          <w:sz w:val="20"/>
        </w:rPr>
        <w:t>Strongly</w:t>
      </w:r>
      <w:r>
        <w:rPr>
          <w:i/>
          <w:spacing w:val="-5"/>
          <w:sz w:val="20"/>
        </w:rPr>
        <w:t> </w:t>
      </w:r>
      <w:r>
        <w:rPr>
          <w:i/>
          <w:sz w:val="20"/>
        </w:rPr>
        <w:t>Agree,</w:t>
      </w:r>
      <w:r>
        <w:rPr>
          <w:i/>
          <w:spacing w:val="-7"/>
          <w:sz w:val="20"/>
        </w:rPr>
        <w:t> </w:t>
      </w:r>
      <w:r>
        <w:rPr>
          <w:i/>
          <w:sz w:val="20"/>
        </w:rPr>
        <w:t>2.51-3.25</w:t>
      </w:r>
      <w:r>
        <w:rPr>
          <w:i/>
          <w:spacing w:val="-3"/>
          <w:sz w:val="20"/>
        </w:rPr>
        <w:t> </w:t>
      </w:r>
      <w:r>
        <w:rPr>
          <w:i/>
          <w:sz w:val="20"/>
        </w:rPr>
        <w:t>–</w:t>
      </w:r>
      <w:r>
        <w:rPr>
          <w:i/>
          <w:spacing w:val="-3"/>
          <w:sz w:val="20"/>
        </w:rPr>
        <w:t> </w:t>
      </w:r>
      <w:r>
        <w:rPr>
          <w:i/>
          <w:sz w:val="20"/>
        </w:rPr>
        <w:t>Agree,</w:t>
      </w:r>
      <w:r>
        <w:rPr>
          <w:i/>
          <w:spacing w:val="-5"/>
          <w:sz w:val="20"/>
        </w:rPr>
        <w:t> </w:t>
      </w:r>
      <w:r>
        <w:rPr>
          <w:i/>
          <w:sz w:val="20"/>
        </w:rPr>
        <w:t>1.76-2.50</w:t>
      </w:r>
      <w:r>
        <w:rPr>
          <w:i/>
          <w:spacing w:val="-6"/>
          <w:sz w:val="20"/>
        </w:rPr>
        <w:t> </w:t>
      </w:r>
      <w:r>
        <w:rPr>
          <w:i/>
          <w:sz w:val="20"/>
        </w:rPr>
        <w:t>–</w:t>
      </w:r>
      <w:r>
        <w:rPr>
          <w:i/>
          <w:spacing w:val="-4"/>
          <w:sz w:val="20"/>
        </w:rPr>
        <w:t> </w:t>
      </w:r>
      <w:r>
        <w:rPr>
          <w:i/>
          <w:sz w:val="20"/>
        </w:rPr>
        <w:t>Disagree,</w:t>
      </w:r>
      <w:r>
        <w:rPr>
          <w:i/>
          <w:spacing w:val="-4"/>
          <w:sz w:val="20"/>
        </w:rPr>
        <w:t> </w:t>
      </w:r>
      <w:r>
        <w:rPr>
          <w:i/>
          <w:sz w:val="20"/>
        </w:rPr>
        <w:t>1.00-1.75</w:t>
      </w:r>
      <w:r>
        <w:rPr>
          <w:i/>
          <w:spacing w:val="-3"/>
          <w:sz w:val="20"/>
        </w:rPr>
        <w:t> </w:t>
      </w:r>
      <w:r>
        <w:rPr>
          <w:i/>
          <w:sz w:val="20"/>
        </w:rPr>
        <w:t>–</w:t>
      </w:r>
      <w:r>
        <w:rPr>
          <w:i/>
          <w:spacing w:val="-5"/>
          <w:sz w:val="20"/>
        </w:rPr>
        <w:t> </w:t>
      </w:r>
      <w:r>
        <w:rPr>
          <w:i/>
          <w:sz w:val="20"/>
        </w:rPr>
        <w:t>Strongly</w:t>
      </w:r>
      <w:r>
        <w:rPr>
          <w:i/>
          <w:spacing w:val="-5"/>
          <w:sz w:val="20"/>
        </w:rPr>
        <w:t> </w:t>
      </w:r>
      <w:r>
        <w:rPr>
          <w:i/>
          <w:spacing w:val="-2"/>
          <w:sz w:val="20"/>
        </w:rPr>
        <w:t>Disagree</w:t>
      </w:r>
    </w:p>
    <w:p>
      <w:pPr>
        <w:spacing w:before="0"/>
        <w:ind w:left="5" w:right="754" w:firstLine="0"/>
        <w:jc w:val="center"/>
        <w:rPr>
          <w:i/>
          <w:sz w:val="20"/>
        </w:rPr>
      </w:pPr>
      <w:r>
        <w:rPr>
          <w:i/>
          <w:sz w:val="20"/>
        </w:rPr>
        <w:t>**3.26-4.00</w:t>
      </w:r>
      <w:r>
        <w:rPr>
          <w:i/>
          <w:spacing w:val="-5"/>
          <w:sz w:val="20"/>
        </w:rPr>
        <w:t> </w:t>
      </w:r>
      <w:r>
        <w:rPr>
          <w:i/>
          <w:sz w:val="20"/>
        </w:rPr>
        <w:t>–</w:t>
      </w:r>
      <w:r>
        <w:rPr>
          <w:i/>
          <w:spacing w:val="-3"/>
          <w:sz w:val="20"/>
        </w:rPr>
        <w:t> </w:t>
      </w:r>
      <w:r>
        <w:rPr>
          <w:i/>
          <w:sz w:val="20"/>
        </w:rPr>
        <w:t>Very</w:t>
      </w:r>
      <w:r>
        <w:rPr>
          <w:i/>
          <w:spacing w:val="-4"/>
          <w:sz w:val="20"/>
        </w:rPr>
        <w:t> </w:t>
      </w:r>
      <w:r>
        <w:rPr>
          <w:i/>
          <w:sz w:val="20"/>
        </w:rPr>
        <w:t>High,</w:t>
      </w:r>
      <w:r>
        <w:rPr>
          <w:i/>
          <w:spacing w:val="-5"/>
          <w:sz w:val="20"/>
        </w:rPr>
        <w:t> </w:t>
      </w:r>
      <w:r>
        <w:rPr>
          <w:i/>
          <w:sz w:val="20"/>
        </w:rPr>
        <w:t>2.51-3.25</w:t>
      </w:r>
      <w:r>
        <w:rPr>
          <w:i/>
          <w:spacing w:val="-5"/>
          <w:sz w:val="20"/>
        </w:rPr>
        <w:t> </w:t>
      </w:r>
      <w:r>
        <w:rPr>
          <w:i/>
          <w:sz w:val="20"/>
        </w:rPr>
        <w:t>–</w:t>
      </w:r>
      <w:r>
        <w:rPr>
          <w:i/>
          <w:spacing w:val="-3"/>
          <w:sz w:val="20"/>
        </w:rPr>
        <w:t> </w:t>
      </w:r>
      <w:r>
        <w:rPr>
          <w:i/>
          <w:sz w:val="20"/>
        </w:rPr>
        <w:t>High,</w:t>
      </w:r>
      <w:r>
        <w:rPr>
          <w:i/>
          <w:spacing w:val="-4"/>
          <w:sz w:val="20"/>
        </w:rPr>
        <w:t> </w:t>
      </w:r>
      <w:r>
        <w:rPr>
          <w:i/>
          <w:sz w:val="20"/>
        </w:rPr>
        <w:t>1.76-2.50</w:t>
      </w:r>
      <w:r>
        <w:rPr>
          <w:i/>
          <w:spacing w:val="-5"/>
          <w:sz w:val="20"/>
        </w:rPr>
        <w:t> </w:t>
      </w:r>
      <w:r>
        <w:rPr>
          <w:i/>
          <w:sz w:val="20"/>
        </w:rPr>
        <w:t>–</w:t>
      </w:r>
      <w:r>
        <w:rPr>
          <w:i/>
          <w:spacing w:val="-4"/>
          <w:sz w:val="20"/>
        </w:rPr>
        <w:t> </w:t>
      </w:r>
      <w:r>
        <w:rPr>
          <w:i/>
          <w:sz w:val="20"/>
        </w:rPr>
        <w:t>Low,</w:t>
      </w:r>
      <w:r>
        <w:rPr>
          <w:i/>
          <w:spacing w:val="-4"/>
          <w:sz w:val="20"/>
        </w:rPr>
        <w:t> </w:t>
      </w:r>
      <w:r>
        <w:rPr>
          <w:i/>
          <w:sz w:val="20"/>
        </w:rPr>
        <w:t>1.00-1.75</w:t>
      </w:r>
      <w:r>
        <w:rPr>
          <w:i/>
          <w:spacing w:val="-2"/>
          <w:sz w:val="20"/>
        </w:rPr>
        <w:t> </w:t>
      </w:r>
      <w:r>
        <w:rPr>
          <w:i/>
          <w:sz w:val="20"/>
        </w:rPr>
        <w:t>–</w:t>
      </w:r>
      <w:r>
        <w:rPr>
          <w:i/>
          <w:spacing w:val="-5"/>
          <w:sz w:val="20"/>
        </w:rPr>
        <w:t> </w:t>
      </w:r>
      <w:r>
        <w:rPr>
          <w:i/>
          <w:sz w:val="20"/>
        </w:rPr>
        <w:t>Very</w:t>
      </w:r>
      <w:r>
        <w:rPr>
          <w:i/>
          <w:spacing w:val="-4"/>
          <w:sz w:val="20"/>
        </w:rPr>
        <w:t> </w:t>
      </w:r>
      <w:r>
        <w:rPr>
          <w:i/>
          <w:spacing w:val="-5"/>
          <w:sz w:val="20"/>
        </w:rPr>
        <w:t>Low</w:t>
      </w:r>
    </w:p>
    <w:p>
      <w:pPr>
        <w:pStyle w:val="BodyText"/>
        <w:spacing w:before="7"/>
        <w:rPr>
          <w:i/>
          <w:sz w:val="20"/>
        </w:rPr>
      </w:pPr>
    </w:p>
    <w:p>
      <w:pPr>
        <w:pStyle w:val="BodyText"/>
        <w:spacing w:line="480" w:lineRule="auto"/>
        <w:ind w:left="326" w:right="1071" w:firstLine="720"/>
        <w:jc w:val="both"/>
      </w:pPr>
      <w:r>
        <w:rPr/>
        <w:t>Table 3.2.2 level of cost implications in terms of storage &amp; handling also showed high-cost implications (M = 3.07, SD = 0.87). Canteen staffs observed that compostable packaging</w:t>
      </w:r>
      <w:r>
        <w:rPr>
          <w:spacing w:val="-15"/>
        </w:rPr>
        <w:t> </w:t>
      </w:r>
      <w:r>
        <w:rPr/>
        <w:t>requires</w:t>
      </w:r>
      <w:r>
        <w:rPr>
          <w:spacing w:val="-15"/>
        </w:rPr>
        <w:t> </w:t>
      </w:r>
      <w:r>
        <w:rPr/>
        <w:t>more</w:t>
      </w:r>
      <w:r>
        <w:rPr>
          <w:spacing w:val="-15"/>
        </w:rPr>
        <w:t> </w:t>
      </w:r>
      <w:r>
        <w:rPr/>
        <w:t>storage</w:t>
      </w:r>
      <w:r>
        <w:rPr>
          <w:spacing w:val="-15"/>
        </w:rPr>
        <w:t> </w:t>
      </w:r>
      <w:r>
        <w:rPr/>
        <w:t>space</w:t>
      </w:r>
      <w:r>
        <w:rPr>
          <w:spacing w:val="-15"/>
        </w:rPr>
        <w:t> </w:t>
      </w:r>
      <w:r>
        <w:rPr/>
        <w:t>and</w:t>
      </w:r>
      <w:r>
        <w:rPr>
          <w:spacing w:val="-15"/>
        </w:rPr>
        <w:t> </w:t>
      </w:r>
      <w:r>
        <w:rPr/>
        <w:t>more</w:t>
      </w:r>
      <w:r>
        <w:rPr>
          <w:spacing w:val="-15"/>
        </w:rPr>
        <w:t> </w:t>
      </w:r>
      <w:r>
        <w:rPr/>
        <w:t>frequent</w:t>
      </w:r>
      <w:r>
        <w:rPr>
          <w:spacing w:val="-15"/>
        </w:rPr>
        <w:t> </w:t>
      </w:r>
      <w:r>
        <w:rPr/>
        <w:t>restocking.</w:t>
      </w:r>
      <w:r>
        <w:rPr>
          <w:spacing w:val="-15"/>
        </w:rPr>
        <w:t> </w:t>
      </w:r>
      <w:r>
        <w:rPr/>
        <w:t>In</w:t>
      </w:r>
      <w:r>
        <w:rPr>
          <w:spacing w:val="-15"/>
        </w:rPr>
        <w:t> </w:t>
      </w:r>
      <w:r>
        <w:rPr/>
        <w:t>addition,</w:t>
      </w:r>
      <w:r>
        <w:rPr>
          <w:spacing w:val="-15"/>
        </w:rPr>
        <w:t> </w:t>
      </w:r>
      <w:r>
        <w:rPr/>
        <w:t>durability issues</w:t>
      </w:r>
      <w:r>
        <w:rPr>
          <w:spacing w:val="-15"/>
        </w:rPr>
        <w:t> </w:t>
      </w:r>
      <w:r>
        <w:rPr/>
        <w:t>were</w:t>
      </w:r>
      <w:r>
        <w:rPr>
          <w:spacing w:val="-14"/>
        </w:rPr>
        <w:t> </w:t>
      </w:r>
      <w:r>
        <w:rPr/>
        <w:t>noted,</w:t>
      </w:r>
      <w:r>
        <w:rPr>
          <w:spacing w:val="-13"/>
        </w:rPr>
        <w:t> </w:t>
      </w:r>
      <w:r>
        <w:rPr/>
        <w:t>with</w:t>
      </w:r>
      <w:r>
        <w:rPr>
          <w:spacing w:val="-12"/>
        </w:rPr>
        <w:t> </w:t>
      </w:r>
      <w:r>
        <w:rPr/>
        <w:t>food</w:t>
      </w:r>
      <w:r>
        <w:rPr>
          <w:spacing w:val="-12"/>
        </w:rPr>
        <w:t> </w:t>
      </w:r>
      <w:r>
        <w:rPr/>
        <w:t>waste</w:t>
      </w:r>
      <w:r>
        <w:rPr>
          <w:spacing w:val="-12"/>
        </w:rPr>
        <w:t> </w:t>
      </w:r>
      <w:r>
        <w:rPr/>
        <w:t>concerns</w:t>
      </w:r>
      <w:r>
        <w:rPr>
          <w:spacing w:val="-13"/>
        </w:rPr>
        <w:t> </w:t>
      </w:r>
      <w:r>
        <w:rPr/>
        <w:t>rated</w:t>
      </w:r>
      <w:r>
        <w:rPr>
          <w:spacing w:val="-10"/>
        </w:rPr>
        <w:t> </w:t>
      </w:r>
      <w:r>
        <w:rPr/>
        <w:t>very</w:t>
      </w:r>
      <w:r>
        <w:rPr>
          <w:spacing w:val="-15"/>
        </w:rPr>
        <w:t> </w:t>
      </w:r>
      <w:r>
        <w:rPr/>
        <w:t>high.</w:t>
      </w:r>
      <w:r>
        <w:rPr>
          <w:spacing w:val="-12"/>
        </w:rPr>
        <w:t> </w:t>
      </w:r>
      <w:r>
        <w:rPr/>
        <w:t>These</w:t>
      </w:r>
      <w:r>
        <w:rPr>
          <w:spacing w:val="-13"/>
        </w:rPr>
        <w:t> </w:t>
      </w:r>
      <w:r>
        <w:rPr/>
        <w:t>findings</w:t>
      </w:r>
      <w:r>
        <w:rPr>
          <w:spacing w:val="-12"/>
        </w:rPr>
        <w:t> </w:t>
      </w:r>
      <w:r>
        <w:rPr/>
        <w:t>highlight</w:t>
      </w:r>
      <w:r>
        <w:rPr>
          <w:spacing w:val="-12"/>
        </w:rPr>
        <w:t> </w:t>
      </w:r>
      <w:r>
        <w:rPr/>
        <w:t>those operational adjustments are needed in inventory and storage management to minimize wastage and cost burden.</w:t>
      </w:r>
    </w:p>
    <w:p>
      <w:pPr>
        <w:spacing w:before="159"/>
        <w:ind w:left="326" w:right="0" w:firstLine="0"/>
        <w:jc w:val="both"/>
        <w:rPr>
          <w:sz w:val="24"/>
        </w:rPr>
      </w:pPr>
      <w:r>
        <w:rPr>
          <w:b/>
          <w:sz w:val="24"/>
        </w:rPr>
        <w:t>Table</w:t>
      </w:r>
      <w:r>
        <w:rPr>
          <w:b/>
          <w:spacing w:val="-2"/>
          <w:sz w:val="24"/>
        </w:rPr>
        <w:t> </w:t>
      </w:r>
      <w:r>
        <w:rPr>
          <w:b/>
          <w:sz w:val="24"/>
        </w:rPr>
        <w:t>3.2.3. </w:t>
      </w:r>
      <w:r>
        <w:rPr>
          <w:sz w:val="24"/>
        </w:rPr>
        <w:t>Level</w:t>
      </w:r>
      <w:r>
        <w:rPr>
          <w:spacing w:val="-2"/>
          <w:sz w:val="24"/>
        </w:rPr>
        <w:t> </w:t>
      </w:r>
      <w:r>
        <w:rPr>
          <w:sz w:val="24"/>
        </w:rPr>
        <w:t>of</w:t>
      </w:r>
      <w:r>
        <w:rPr>
          <w:spacing w:val="-1"/>
          <w:sz w:val="24"/>
        </w:rPr>
        <w:t> </w:t>
      </w:r>
      <w:r>
        <w:rPr>
          <w:sz w:val="24"/>
        </w:rPr>
        <w:t>Cost Implications –</w:t>
      </w:r>
      <w:r>
        <w:rPr>
          <w:spacing w:val="-2"/>
          <w:sz w:val="24"/>
        </w:rPr>
        <w:t> </w:t>
      </w:r>
      <w:r>
        <w:rPr>
          <w:sz w:val="24"/>
        </w:rPr>
        <w:t>Waste </w:t>
      </w:r>
      <w:r>
        <w:rPr>
          <w:spacing w:val="-2"/>
          <w:sz w:val="24"/>
        </w:rPr>
        <w:t>Management</w:t>
      </w:r>
    </w:p>
    <w:p>
      <w:pPr>
        <w:pStyle w:val="BodyText"/>
        <w:spacing w:before="7"/>
        <w:rPr>
          <w:sz w:val="12"/>
        </w:rPr>
      </w:pPr>
    </w:p>
    <w:tbl>
      <w:tblPr>
        <w:tblW w:w="0" w:type="auto"/>
        <w:jc w:val="left"/>
        <w:tblInd w:w="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07"/>
        <w:gridCol w:w="1410"/>
        <w:gridCol w:w="1132"/>
        <w:gridCol w:w="3131"/>
      </w:tblGrid>
      <w:tr>
        <w:trPr>
          <w:trHeight w:val="343" w:hRule="atLeast"/>
        </w:trPr>
        <w:tc>
          <w:tcPr>
            <w:tcW w:w="3707" w:type="dxa"/>
            <w:tcBorders>
              <w:top w:val="single" w:sz="6" w:space="0" w:color="000000"/>
              <w:bottom w:val="single" w:sz="6" w:space="0" w:color="000000"/>
            </w:tcBorders>
          </w:tcPr>
          <w:p>
            <w:pPr>
              <w:pStyle w:val="TableParagraph"/>
              <w:spacing w:line="275" w:lineRule="exact"/>
              <w:ind w:left="74"/>
              <w:rPr>
                <w:b/>
                <w:i/>
                <w:sz w:val="24"/>
              </w:rPr>
            </w:pPr>
            <w:r>
              <w:rPr>
                <w:b/>
                <w:i/>
                <w:sz w:val="24"/>
              </w:rPr>
              <w:t>Item</w:t>
            </w:r>
            <w:r>
              <w:rPr>
                <w:b/>
                <w:i/>
                <w:spacing w:val="2"/>
                <w:sz w:val="24"/>
              </w:rPr>
              <w:t> </w:t>
            </w:r>
            <w:r>
              <w:rPr>
                <w:b/>
                <w:i/>
                <w:spacing w:val="-2"/>
                <w:sz w:val="24"/>
              </w:rPr>
              <w:t>Statements</w:t>
            </w:r>
          </w:p>
        </w:tc>
        <w:tc>
          <w:tcPr>
            <w:tcW w:w="1410" w:type="dxa"/>
            <w:tcBorders>
              <w:top w:val="single" w:sz="6" w:space="0" w:color="000000"/>
              <w:bottom w:val="single" w:sz="6" w:space="0" w:color="000000"/>
            </w:tcBorders>
          </w:tcPr>
          <w:p>
            <w:pPr>
              <w:pStyle w:val="TableParagraph"/>
              <w:spacing w:line="275" w:lineRule="exact"/>
              <w:ind w:right="157"/>
              <w:jc w:val="center"/>
              <w:rPr>
                <w:b/>
                <w:sz w:val="24"/>
              </w:rPr>
            </w:pPr>
            <w:r>
              <w:rPr>
                <w:b/>
                <w:spacing w:val="-4"/>
                <w:sz w:val="24"/>
              </w:rPr>
              <w:t>Mean</w:t>
            </w:r>
          </w:p>
        </w:tc>
        <w:tc>
          <w:tcPr>
            <w:tcW w:w="1132" w:type="dxa"/>
            <w:tcBorders>
              <w:top w:val="single" w:sz="6" w:space="0" w:color="000000"/>
              <w:bottom w:val="single" w:sz="6" w:space="0" w:color="000000"/>
            </w:tcBorders>
          </w:tcPr>
          <w:p>
            <w:pPr>
              <w:pStyle w:val="TableParagraph"/>
              <w:spacing w:line="275" w:lineRule="exact"/>
              <w:ind w:right="242"/>
              <w:jc w:val="right"/>
              <w:rPr>
                <w:b/>
                <w:sz w:val="24"/>
              </w:rPr>
            </w:pPr>
            <w:r>
              <w:rPr>
                <w:b/>
                <w:spacing w:val="-5"/>
                <w:sz w:val="24"/>
              </w:rPr>
              <w:t>SD</w:t>
            </w:r>
          </w:p>
        </w:tc>
        <w:tc>
          <w:tcPr>
            <w:tcW w:w="3131" w:type="dxa"/>
            <w:tcBorders>
              <w:top w:val="single" w:sz="6" w:space="0" w:color="000000"/>
              <w:bottom w:val="single" w:sz="6" w:space="0" w:color="000000"/>
            </w:tcBorders>
          </w:tcPr>
          <w:p>
            <w:pPr>
              <w:pStyle w:val="TableParagraph"/>
              <w:spacing w:line="275" w:lineRule="exact"/>
              <w:ind w:left="157"/>
              <w:jc w:val="center"/>
              <w:rPr>
                <w:b/>
                <w:sz w:val="24"/>
              </w:rPr>
            </w:pPr>
            <w:r>
              <w:rPr>
                <w:b/>
                <w:sz w:val="24"/>
              </w:rPr>
              <w:t>Descriptive</w:t>
            </w:r>
            <w:r>
              <w:rPr>
                <w:b/>
                <w:spacing w:val="-7"/>
                <w:sz w:val="24"/>
              </w:rPr>
              <w:t> </w:t>
            </w:r>
            <w:r>
              <w:rPr>
                <w:b/>
                <w:spacing w:val="-4"/>
                <w:sz w:val="24"/>
              </w:rPr>
              <w:t>Level</w:t>
            </w:r>
          </w:p>
        </w:tc>
      </w:tr>
      <w:tr>
        <w:trPr>
          <w:trHeight w:val="827" w:hRule="atLeast"/>
        </w:trPr>
        <w:tc>
          <w:tcPr>
            <w:tcW w:w="3707" w:type="dxa"/>
            <w:tcBorders>
              <w:top w:val="single" w:sz="6" w:space="0" w:color="000000"/>
              <w:bottom w:val="single" w:sz="4" w:space="0" w:color="000000"/>
            </w:tcBorders>
          </w:tcPr>
          <w:p>
            <w:pPr>
              <w:pStyle w:val="TableParagraph"/>
              <w:spacing w:line="237" w:lineRule="auto"/>
              <w:ind w:left="14"/>
              <w:rPr>
                <w:sz w:val="24"/>
              </w:rPr>
            </w:pPr>
            <w:r>
              <w:rPr>
                <w:sz w:val="24"/>
              </w:rPr>
              <w:t>WM1: The cost of waste </w:t>
            </w:r>
            <w:r>
              <w:rPr>
                <w:sz w:val="24"/>
              </w:rPr>
              <w:t>disposal changes</w:t>
            </w:r>
            <w:r>
              <w:rPr>
                <w:spacing w:val="50"/>
                <w:sz w:val="24"/>
              </w:rPr>
              <w:t> </w:t>
            </w:r>
            <w:r>
              <w:rPr>
                <w:sz w:val="24"/>
              </w:rPr>
              <w:t>when</w:t>
            </w:r>
            <w:r>
              <w:rPr>
                <w:spacing w:val="49"/>
                <w:sz w:val="24"/>
              </w:rPr>
              <w:t> </w:t>
            </w:r>
            <w:r>
              <w:rPr>
                <w:sz w:val="24"/>
              </w:rPr>
              <w:t>using</w:t>
            </w:r>
            <w:r>
              <w:rPr>
                <w:spacing w:val="49"/>
                <w:sz w:val="24"/>
              </w:rPr>
              <w:t> </w:t>
            </w:r>
            <w:r>
              <w:rPr>
                <w:spacing w:val="-2"/>
                <w:sz w:val="24"/>
              </w:rPr>
              <w:t>compostable</w:t>
            </w:r>
          </w:p>
          <w:p>
            <w:pPr>
              <w:pStyle w:val="TableParagraph"/>
              <w:spacing w:line="261" w:lineRule="exact"/>
              <w:ind w:left="14"/>
              <w:rPr>
                <w:sz w:val="24"/>
              </w:rPr>
            </w:pPr>
            <w:r>
              <w:rPr>
                <w:spacing w:val="-2"/>
                <w:sz w:val="24"/>
              </w:rPr>
              <w:t>packaging.</w:t>
            </w:r>
          </w:p>
        </w:tc>
        <w:tc>
          <w:tcPr>
            <w:tcW w:w="1410" w:type="dxa"/>
            <w:tcBorders>
              <w:top w:val="single" w:sz="6" w:space="0" w:color="000000"/>
              <w:bottom w:val="single" w:sz="4" w:space="0" w:color="000000"/>
            </w:tcBorders>
          </w:tcPr>
          <w:p>
            <w:pPr>
              <w:pStyle w:val="TableParagraph"/>
              <w:spacing w:before="270"/>
              <w:ind w:left="3" w:right="157"/>
              <w:jc w:val="center"/>
              <w:rPr>
                <w:sz w:val="24"/>
              </w:rPr>
            </w:pPr>
            <w:r>
              <w:rPr>
                <w:spacing w:val="-4"/>
                <w:sz w:val="24"/>
              </w:rPr>
              <w:t>3.00</w:t>
            </w:r>
          </w:p>
        </w:tc>
        <w:tc>
          <w:tcPr>
            <w:tcW w:w="1132" w:type="dxa"/>
            <w:tcBorders>
              <w:top w:val="single" w:sz="6" w:space="0" w:color="000000"/>
              <w:bottom w:val="single" w:sz="4" w:space="0" w:color="000000"/>
            </w:tcBorders>
          </w:tcPr>
          <w:p>
            <w:pPr>
              <w:pStyle w:val="TableParagraph"/>
              <w:spacing w:before="270"/>
              <w:ind w:right="157"/>
              <w:jc w:val="right"/>
              <w:rPr>
                <w:sz w:val="24"/>
              </w:rPr>
            </w:pPr>
            <w:r>
              <w:rPr>
                <w:sz w:val="24"/>
              </w:rPr>
              <w:t>0. </w:t>
            </w:r>
            <w:r>
              <w:rPr>
                <w:spacing w:val="-5"/>
                <w:sz w:val="24"/>
              </w:rPr>
              <w:t>49</w:t>
            </w:r>
          </w:p>
        </w:tc>
        <w:tc>
          <w:tcPr>
            <w:tcW w:w="3131" w:type="dxa"/>
            <w:tcBorders>
              <w:top w:val="single" w:sz="6" w:space="0" w:color="000000"/>
              <w:bottom w:val="single" w:sz="4" w:space="0" w:color="000000"/>
            </w:tcBorders>
          </w:tcPr>
          <w:p>
            <w:pPr>
              <w:pStyle w:val="TableParagraph"/>
              <w:spacing w:before="270"/>
              <w:ind w:left="157" w:right="2"/>
              <w:jc w:val="center"/>
              <w:rPr>
                <w:sz w:val="24"/>
              </w:rPr>
            </w:pPr>
            <w:r>
              <w:rPr>
                <w:spacing w:val="-2"/>
                <w:sz w:val="24"/>
              </w:rPr>
              <w:t>Agree</w:t>
            </w:r>
          </w:p>
        </w:tc>
      </w:tr>
      <w:tr>
        <w:trPr>
          <w:trHeight w:val="830" w:hRule="atLeast"/>
        </w:trPr>
        <w:tc>
          <w:tcPr>
            <w:tcW w:w="3707" w:type="dxa"/>
            <w:tcBorders>
              <w:top w:val="single" w:sz="4" w:space="0" w:color="000000"/>
              <w:bottom w:val="single" w:sz="4" w:space="0" w:color="000000"/>
            </w:tcBorders>
          </w:tcPr>
          <w:p>
            <w:pPr>
              <w:pStyle w:val="TableParagraph"/>
              <w:spacing w:line="276" w:lineRule="exact"/>
              <w:ind w:left="14" w:right="330"/>
              <w:jc w:val="both"/>
              <w:rPr>
                <w:sz w:val="24"/>
              </w:rPr>
            </w:pPr>
            <w:r>
              <w:rPr>
                <w:sz w:val="24"/>
              </w:rPr>
              <w:t>WM2: Using </w:t>
            </w:r>
            <w:r>
              <w:rPr>
                <w:sz w:val="24"/>
              </w:rPr>
              <w:t>compostable packaging reduces expenses for plastic utensils and bags.</w:t>
            </w:r>
          </w:p>
        </w:tc>
        <w:tc>
          <w:tcPr>
            <w:tcW w:w="1410" w:type="dxa"/>
            <w:tcBorders>
              <w:top w:val="single" w:sz="4" w:space="0" w:color="000000"/>
              <w:bottom w:val="single" w:sz="4" w:space="0" w:color="000000"/>
            </w:tcBorders>
          </w:tcPr>
          <w:p>
            <w:pPr>
              <w:pStyle w:val="TableParagraph"/>
              <w:spacing w:before="272"/>
              <w:ind w:left="3" w:right="157"/>
              <w:jc w:val="center"/>
              <w:rPr>
                <w:sz w:val="24"/>
              </w:rPr>
            </w:pPr>
            <w:r>
              <w:rPr>
                <w:spacing w:val="-4"/>
                <w:sz w:val="24"/>
              </w:rPr>
              <w:t>3.27</w:t>
            </w:r>
          </w:p>
        </w:tc>
        <w:tc>
          <w:tcPr>
            <w:tcW w:w="1132" w:type="dxa"/>
            <w:tcBorders>
              <w:top w:val="single" w:sz="4" w:space="0" w:color="000000"/>
              <w:bottom w:val="single" w:sz="4" w:space="0" w:color="000000"/>
            </w:tcBorders>
          </w:tcPr>
          <w:p>
            <w:pPr>
              <w:pStyle w:val="TableParagraph"/>
              <w:spacing w:before="272"/>
              <w:ind w:right="188"/>
              <w:jc w:val="right"/>
              <w:rPr>
                <w:sz w:val="24"/>
              </w:rPr>
            </w:pPr>
            <w:r>
              <w:rPr>
                <w:spacing w:val="-4"/>
                <w:sz w:val="24"/>
              </w:rPr>
              <w:t>0.80</w:t>
            </w:r>
          </w:p>
        </w:tc>
        <w:tc>
          <w:tcPr>
            <w:tcW w:w="3131" w:type="dxa"/>
            <w:tcBorders>
              <w:top w:val="single" w:sz="4" w:space="0" w:color="000000"/>
              <w:bottom w:val="single" w:sz="4" w:space="0" w:color="000000"/>
            </w:tcBorders>
          </w:tcPr>
          <w:p>
            <w:pPr>
              <w:pStyle w:val="TableParagraph"/>
              <w:spacing w:before="272"/>
              <w:ind w:left="157" w:right="3"/>
              <w:jc w:val="center"/>
              <w:rPr>
                <w:sz w:val="24"/>
              </w:rPr>
            </w:pPr>
            <w:r>
              <w:rPr>
                <w:sz w:val="24"/>
              </w:rPr>
              <w:t>Strongly</w:t>
            </w:r>
            <w:r>
              <w:rPr>
                <w:spacing w:val="-3"/>
                <w:sz w:val="24"/>
              </w:rPr>
              <w:t> </w:t>
            </w:r>
            <w:r>
              <w:rPr>
                <w:spacing w:val="-2"/>
                <w:sz w:val="24"/>
              </w:rPr>
              <w:t>Agree</w:t>
            </w:r>
          </w:p>
        </w:tc>
      </w:tr>
      <w:tr>
        <w:trPr>
          <w:trHeight w:val="551" w:hRule="atLeast"/>
        </w:trPr>
        <w:tc>
          <w:tcPr>
            <w:tcW w:w="3707" w:type="dxa"/>
            <w:tcBorders>
              <w:top w:val="single" w:sz="4" w:space="0" w:color="000000"/>
              <w:bottom w:val="single" w:sz="4" w:space="0" w:color="000000"/>
            </w:tcBorders>
          </w:tcPr>
          <w:p>
            <w:pPr>
              <w:pStyle w:val="TableParagraph"/>
              <w:spacing w:before="239"/>
              <w:ind w:left="14"/>
              <w:rPr>
                <w:b/>
                <w:i/>
                <w:sz w:val="24"/>
              </w:rPr>
            </w:pPr>
            <w:r>
              <w:rPr>
                <w:b/>
                <w:i/>
                <w:sz w:val="24"/>
              </w:rPr>
              <w:t>Waste</w:t>
            </w:r>
            <w:r>
              <w:rPr>
                <w:b/>
                <w:i/>
                <w:spacing w:val="-1"/>
                <w:sz w:val="24"/>
              </w:rPr>
              <w:t> </w:t>
            </w:r>
            <w:r>
              <w:rPr>
                <w:b/>
                <w:i/>
                <w:sz w:val="24"/>
              </w:rPr>
              <w:t>Management</w:t>
            </w:r>
            <w:r>
              <w:rPr>
                <w:b/>
                <w:i/>
                <w:spacing w:val="2"/>
                <w:sz w:val="24"/>
              </w:rPr>
              <w:t> </w:t>
            </w:r>
            <w:r>
              <w:rPr>
                <w:b/>
                <w:i/>
                <w:sz w:val="24"/>
              </w:rPr>
              <w:t>– </w:t>
            </w:r>
            <w:r>
              <w:rPr>
                <w:b/>
                <w:i/>
                <w:spacing w:val="-2"/>
                <w:sz w:val="24"/>
              </w:rPr>
              <w:t>Total**</w:t>
            </w:r>
          </w:p>
        </w:tc>
        <w:tc>
          <w:tcPr>
            <w:tcW w:w="1410" w:type="dxa"/>
            <w:tcBorders>
              <w:top w:val="single" w:sz="4" w:space="0" w:color="000000"/>
              <w:bottom w:val="single" w:sz="4" w:space="0" w:color="000000"/>
            </w:tcBorders>
          </w:tcPr>
          <w:p>
            <w:pPr>
              <w:pStyle w:val="TableParagraph"/>
              <w:spacing w:line="257" w:lineRule="exact" w:before="275"/>
              <w:ind w:left="3" w:right="157"/>
              <w:jc w:val="center"/>
              <w:rPr>
                <w:b/>
                <w:sz w:val="24"/>
              </w:rPr>
            </w:pPr>
            <w:r>
              <w:rPr>
                <w:b/>
                <w:spacing w:val="-4"/>
                <w:sz w:val="24"/>
              </w:rPr>
              <w:t>3.13</w:t>
            </w:r>
          </w:p>
        </w:tc>
        <w:tc>
          <w:tcPr>
            <w:tcW w:w="1132" w:type="dxa"/>
            <w:tcBorders>
              <w:top w:val="single" w:sz="4" w:space="0" w:color="000000"/>
              <w:bottom w:val="single" w:sz="4" w:space="0" w:color="000000"/>
            </w:tcBorders>
          </w:tcPr>
          <w:p>
            <w:pPr>
              <w:pStyle w:val="TableParagraph"/>
              <w:spacing w:before="239"/>
              <w:ind w:right="188"/>
              <w:jc w:val="right"/>
              <w:rPr>
                <w:b/>
                <w:sz w:val="24"/>
              </w:rPr>
            </w:pPr>
            <w:r>
              <w:rPr>
                <w:b/>
                <w:spacing w:val="-4"/>
                <w:sz w:val="24"/>
              </w:rPr>
              <w:t>0.65</w:t>
            </w:r>
          </w:p>
        </w:tc>
        <w:tc>
          <w:tcPr>
            <w:tcW w:w="3131" w:type="dxa"/>
            <w:tcBorders>
              <w:top w:val="single" w:sz="4" w:space="0" w:color="000000"/>
              <w:bottom w:val="single" w:sz="4" w:space="0" w:color="000000"/>
            </w:tcBorders>
          </w:tcPr>
          <w:p>
            <w:pPr>
              <w:pStyle w:val="TableParagraph"/>
              <w:spacing w:line="270" w:lineRule="exact"/>
              <w:ind w:left="224"/>
              <w:rPr>
                <w:sz w:val="24"/>
              </w:rPr>
            </w:pPr>
            <w:r>
              <w:rPr>
                <w:sz w:val="24"/>
              </w:rPr>
              <w:t>Waste</w:t>
            </w:r>
            <w:r>
              <w:rPr>
                <w:spacing w:val="-2"/>
                <w:sz w:val="24"/>
              </w:rPr>
              <w:t> </w:t>
            </w:r>
            <w:r>
              <w:rPr>
                <w:sz w:val="24"/>
              </w:rPr>
              <w:t>Management</w:t>
            </w:r>
            <w:r>
              <w:rPr>
                <w:spacing w:val="-2"/>
                <w:sz w:val="24"/>
              </w:rPr>
              <w:t> activities</w:t>
            </w:r>
          </w:p>
          <w:p>
            <w:pPr>
              <w:pStyle w:val="TableParagraph"/>
              <w:spacing w:line="261" w:lineRule="exact"/>
              <w:ind w:left="159"/>
              <w:rPr>
                <w:sz w:val="24"/>
              </w:rPr>
            </w:pPr>
            <w:r>
              <w:rPr>
                <w:sz w:val="24"/>
              </w:rPr>
              <w:t>have</w:t>
            </w:r>
            <w:r>
              <w:rPr>
                <w:spacing w:val="-2"/>
                <w:sz w:val="24"/>
              </w:rPr>
              <w:t> </w:t>
            </w:r>
            <w:r>
              <w:rPr>
                <w:sz w:val="24"/>
              </w:rPr>
              <w:t>a</w:t>
            </w:r>
            <w:r>
              <w:rPr>
                <w:spacing w:val="-1"/>
                <w:sz w:val="24"/>
              </w:rPr>
              <w:t> </w:t>
            </w:r>
            <w:r>
              <w:rPr>
                <w:b/>
                <w:sz w:val="24"/>
              </w:rPr>
              <w:t>High</w:t>
            </w:r>
            <w:r>
              <w:rPr>
                <w:sz w:val="24"/>
              </w:rPr>
              <w:t>-Cost</w:t>
            </w:r>
            <w:r>
              <w:rPr>
                <w:spacing w:val="3"/>
                <w:sz w:val="24"/>
              </w:rPr>
              <w:t> </w:t>
            </w:r>
            <w:r>
              <w:rPr>
                <w:spacing w:val="-2"/>
                <w:sz w:val="24"/>
              </w:rPr>
              <w:t>Implications</w:t>
            </w:r>
          </w:p>
        </w:tc>
      </w:tr>
    </w:tbl>
    <w:p>
      <w:pPr>
        <w:spacing w:before="0"/>
        <w:ind w:left="0" w:right="753" w:firstLine="0"/>
        <w:jc w:val="center"/>
        <w:rPr>
          <w:i/>
          <w:sz w:val="20"/>
        </w:rPr>
      </w:pPr>
      <w:r>
        <w:rPr>
          <w:i/>
          <w:sz w:val="20"/>
        </w:rPr>
        <w:t>*3.26-4.00</w:t>
      </w:r>
      <w:r>
        <w:rPr>
          <w:i/>
          <w:spacing w:val="-3"/>
          <w:sz w:val="20"/>
        </w:rPr>
        <w:t> </w:t>
      </w:r>
      <w:r>
        <w:rPr>
          <w:i/>
          <w:sz w:val="20"/>
        </w:rPr>
        <w:t>–</w:t>
      </w:r>
      <w:r>
        <w:rPr>
          <w:i/>
          <w:spacing w:val="-6"/>
          <w:sz w:val="20"/>
        </w:rPr>
        <w:t> </w:t>
      </w:r>
      <w:r>
        <w:rPr>
          <w:i/>
          <w:sz w:val="20"/>
        </w:rPr>
        <w:t>Strongly</w:t>
      </w:r>
      <w:r>
        <w:rPr>
          <w:i/>
          <w:spacing w:val="-5"/>
          <w:sz w:val="20"/>
        </w:rPr>
        <w:t> </w:t>
      </w:r>
      <w:r>
        <w:rPr>
          <w:i/>
          <w:sz w:val="20"/>
        </w:rPr>
        <w:t>Agree,</w:t>
      </w:r>
      <w:r>
        <w:rPr>
          <w:i/>
          <w:spacing w:val="-6"/>
          <w:sz w:val="20"/>
        </w:rPr>
        <w:t> </w:t>
      </w:r>
      <w:r>
        <w:rPr>
          <w:i/>
          <w:sz w:val="20"/>
        </w:rPr>
        <w:t>2.51-3.25</w:t>
      </w:r>
      <w:r>
        <w:rPr>
          <w:i/>
          <w:spacing w:val="-3"/>
          <w:sz w:val="20"/>
        </w:rPr>
        <w:t> </w:t>
      </w:r>
      <w:r>
        <w:rPr>
          <w:i/>
          <w:sz w:val="20"/>
        </w:rPr>
        <w:t>–</w:t>
      </w:r>
      <w:r>
        <w:rPr>
          <w:i/>
          <w:spacing w:val="-4"/>
          <w:sz w:val="20"/>
        </w:rPr>
        <w:t> </w:t>
      </w:r>
      <w:r>
        <w:rPr>
          <w:i/>
          <w:sz w:val="20"/>
        </w:rPr>
        <w:t>Agree,</w:t>
      </w:r>
      <w:r>
        <w:rPr>
          <w:i/>
          <w:spacing w:val="-4"/>
          <w:sz w:val="20"/>
        </w:rPr>
        <w:t> </w:t>
      </w:r>
      <w:r>
        <w:rPr>
          <w:i/>
          <w:sz w:val="20"/>
        </w:rPr>
        <w:t>1.76-2.50</w:t>
      </w:r>
      <w:r>
        <w:rPr>
          <w:i/>
          <w:spacing w:val="-5"/>
          <w:sz w:val="20"/>
        </w:rPr>
        <w:t> </w:t>
      </w:r>
      <w:r>
        <w:rPr>
          <w:i/>
          <w:sz w:val="20"/>
        </w:rPr>
        <w:t>–</w:t>
      </w:r>
      <w:r>
        <w:rPr>
          <w:i/>
          <w:spacing w:val="-4"/>
          <w:sz w:val="20"/>
        </w:rPr>
        <w:t> </w:t>
      </w:r>
      <w:r>
        <w:rPr>
          <w:i/>
          <w:sz w:val="20"/>
        </w:rPr>
        <w:t>Disagree,</w:t>
      </w:r>
      <w:r>
        <w:rPr>
          <w:i/>
          <w:spacing w:val="-5"/>
          <w:sz w:val="20"/>
        </w:rPr>
        <w:t> </w:t>
      </w:r>
      <w:r>
        <w:rPr>
          <w:i/>
          <w:sz w:val="20"/>
        </w:rPr>
        <w:t>1.00-1.75</w:t>
      </w:r>
      <w:r>
        <w:rPr>
          <w:i/>
          <w:spacing w:val="-3"/>
          <w:sz w:val="20"/>
        </w:rPr>
        <w:t> </w:t>
      </w:r>
      <w:r>
        <w:rPr>
          <w:i/>
          <w:sz w:val="20"/>
        </w:rPr>
        <w:t>–</w:t>
      </w:r>
      <w:r>
        <w:rPr>
          <w:i/>
          <w:spacing w:val="-5"/>
          <w:sz w:val="20"/>
        </w:rPr>
        <w:t> </w:t>
      </w:r>
      <w:r>
        <w:rPr>
          <w:i/>
          <w:sz w:val="20"/>
        </w:rPr>
        <w:t>Strongly</w:t>
      </w:r>
      <w:r>
        <w:rPr>
          <w:i/>
          <w:spacing w:val="-5"/>
          <w:sz w:val="20"/>
        </w:rPr>
        <w:t> </w:t>
      </w:r>
      <w:r>
        <w:rPr>
          <w:i/>
          <w:spacing w:val="-2"/>
          <w:sz w:val="20"/>
        </w:rPr>
        <w:t>Disagree</w:t>
      </w:r>
    </w:p>
    <w:p>
      <w:pPr>
        <w:spacing w:before="0"/>
        <w:ind w:left="5" w:right="754" w:firstLine="0"/>
        <w:jc w:val="center"/>
        <w:rPr>
          <w:i/>
          <w:sz w:val="20"/>
        </w:rPr>
      </w:pPr>
      <w:r>
        <w:rPr>
          <w:i/>
          <w:sz w:val="20"/>
        </w:rPr>
        <w:t>**3.26-4.00</w:t>
      </w:r>
      <w:r>
        <w:rPr>
          <w:i/>
          <w:spacing w:val="-5"/>
          <w:sz w:val="20"/>
        </w:rPr>
        <w:t> </w:t>
      </w:r>
      <w:r>
        <w:rPr>
          <w:i/>
          <w:sz w:val="20"/>
        </w:rPr>
        <w:t>–</w:t>
      </w:r>
      <w:r>
        <w:rPr>
          <w:i/>
          <w:spacing w:val="-3"/>
          <w:sz w:val="20"/>
        </w:rPr>
        <w:t> </w:t>
      </w:r>
      <w:r>
        <w:rPr>
          <w:i/>
          <w:sz w:val="20"/>
        </w:rPr>
        <w:t>Very</w:t>
      </w:r>
      <w:r>
        <w:rPr>
          <w:i/>
          <w:spacing w:val="-4"/>
          <w:sz w:val="20"/>
        </w:rPr>
        <w:t> </w:t>
      </w:r>
      <w:r>
        <w:rPr>
          <w:i/>
          <w:sz w:val="20"/>
        </w:rPr>
        <w:t>High,</w:t>
      </w:r>
      <w:r>
        <w:rPr>
          <w:i/>
          <w:spacing w:val="-5"/>
          <w:sz w:val="20"/>
        </w:rPr>
        <w:t> </w:t>
      </w:r>
      <w:r>
        <w:rPr>
          <w:i/>
          <w:sz w:val="20"/>
        </w:rPr>
        <w:t>2.51-3.25</w:t>
      </w:r>
      <w:r>
        <w:rPr>
          <w:i/>
          <w:spacing w:val="-5"/>
          <w:sz w:val="20"/>
        </w:rPr>
        <w:t> </w:t>
      </w:r>
      <w:r>
        <w:rPr>
          <w:i/>
          <w:sz w:val="20"/>
        </w:rPr>
        <w:t>–</w:t>
      </w:r>
      <w:r>
        <w:rPr>
          <w:i/>
          <w:spacing w:val="-3"/>
          <w:sz w:val="20"/>
        </w:rPr>
        <w:t> </w:t>
      </w:r>
      <w:r>
        <w:rPr>
          <w:i/>
          <w:sz w:val="20"/>
        </w:rPr>
        <w:t>High,</w:t>
      </w:r>
      <w:r>
        <w:rPr>
          <w:i/>
          <w:spacing w:val="-4"/>
          <w:sz w:val="20"/>
        </w:rPr>
        <w:t> </w:t>
      </w:r>
      <w:r>
        <w:rPr>
          <w:i/>
          <w:sz w:val="20"/>
        </w:rPr>
        <w:t>1.76-2.50</w:t>
      </w:r>
      <w:r>
        <w:rPr>
          <w:i/>
          <w:spacing w:val="-5"/>
          <w:sz w:val="20"/>
        </w:rPr>
        <w:t> </w:t>
      </w:r>
      <w:r>
        <w:rPr>
          <w:i/>
          <w:sz w:val="20"/>
        </w:rPr>
        <w:t>–</w:t>
      </w:r>
      <w:r>
        <w:rPr>
          <w:i/>
          <w:spacing w:val="-4"/>
          <w:sz w:val="20"/>
        </w:rPr>
        <w:t> </w:t>
      </w:r>
      <w:r>
        <w:rPr>
          <w:i/>
          <w:sz w:val="20"/>
        </w:rPr>
        <w:t>Low,</w:t>
      </w:r>
      <w:r>
        <w:rPr>
          <w:i/>
          <w:spacing w:val="-4"/>
          <w:sz w:val="20"/>
        </w:rPr>
        <w:t> </w:t>
      </w:r>
      <w:r>
        <w:rPr>
          <w:i/>
          <w:sz w:val="20"/>
        </w:rPr>
        <w:t>1.00-1.75</w:t>
      </w:r>
      <w:r>
        <w:rPr>
          <w:i/>
          <w:spacing w:val="-2"/>
          <w:sz w:val="20"/>
        </w:rPr>
        <w:t> </w:t>
      </w:r>
      <w:r>
        <w:rPr>
          <w:i/>
          <w:sz w:val="20"/>
        </w:rPr>
        <w:t>–</w:t>
      </w:r>
      <w:r>
        <w:rPr>
          <w:i/>
          <w:spacing w:val="-5"/>
          <w:sz w:val="20"/>
        </w:rPr>
        <w:t> </w:t>
      </w:r>
      <w:r>
        <w:rPr>
          <w:i/>
          <w:sz w:val="20"/>
        </w:rPr>
        <w:t>Very</w:t>
      </w:r>
      <w:r>
        <w:rPr>
          <w:i/>
          <w:spacing w:val="-4"/>
          <w:sz w:val="20"/>
        </w:rPr>
        <w:t> </w:t>
      </w:r>
      <w:r>
        <w:rPr>
          <w:i/>
          <w:spacing w:val="-5"/>
          <w:sz w:val="20"/>
        </w:rPr>
        <w:t>Low</w:t>
      </w:r>
    </w:p>
    <w:p>
      <w:pPr>
        <w:spacing w:after="0"/>
        <w:jc w:val="center"/>
        <w:rPr>
          <w:i/>
          <w:sz w:val="20"/>
        </w:rPr>
        <w:sectPr>
          <w:pgSz w:w="12240" w:h="15840"/>
          <w:pgMar w:header="763" w:footer="0" w:top="1340" w:bottom="280" w:left="1800" w:right="360"/>
        </w:sectPr>
      </w:pPr>
    </w:p>
    <w:p>
      <w:pPr>
        <w:pStyle w:val="BodyText"/>
        <w:spacing w:line="480" w:lineRule="auto" w:before="80"/>
        <w:ind w:left="326" w:right="1078" w:firstLine="720"/>
        <w:jc w:val="both"/>
      </w:pPr>
      <w:r>
        <w:rPr/>
        <w:t>Table 3.2.3 level of cost implications in terms of waste management recorded a high-cost implication (M = 3.13, SD = 0.65). Canteen staffs pointed out that compostable packaging</w:t>
      </w:r>
      <w:r>
        <w:rPr>
          <w:spacing w:val="-11"/>
        </w:rPr>
        <w:t> </w:t>
      </w:r>
      <w:r>
        <w:rPr/>
        <w:t>alters</w:t>
      </w:r>
      <w:r>
        <w:rPr>
          <w:spacing w:val="-11"/>
        </w:rPr>
        <w:t> </w:t>
      </w:r>
      <w:r>
        <w:rPr/>
        <w:t>disposal</w:t>
      </w:r>
      <w:r>
        <w:rPr>
          <w:spacing w:val="-8"/>
        </w:rPr>
        <w:t> </w:t>
      </w:r>
      <w:r>
        <w:rPr/>
        <w:t>costs</w:t>
      </w:r>
      <w:r>
        <w:rPr>
          <w:spacing w:val="-10"/>
        </w:rPr>
        <w:t> </w:t>
      </w:r>
      <w:r>
        <w:rPr/>
        <w:t>but</w:t>
      </w:r>
      <w:r>
        <w:rPr>
          <w:spacing w:val="-10"/>
        </w:rPr>
        <w:t> </w:t>
      </w:r>
      <w:r>
        <w:rPr/>
        <w:t>reduces</w:t>
      </w:r>
      <w:r>
        <w:rPr>
          <w:spacing w:val="-10"/>
        </w:rPr>
        <w:t> </w:t>
      </w:r>
      <w:r>
        <w:rPr/>
        <w:t>reliance</w:t>
      </w:r>
      <w:r>
        <w:rPr>
          <w:spacing w:val="-9"/>
        </w:rPr>
        <w:t> </w:t>
      </w:r>
      <w:r>
        <w:rPr/>
        <w:t>on</w:t>
      </w:r>
      <w:r>
        <w:rPr>
          <w:spacing w:val="-11"/>
        </w:rPr>
        <w:t> </w:t>
      </w:r>
      <w:r>
        <w:rPr/>
        <w:t>plastic</w:t>
      </w:r>
      <w:r>
        <w:rPr>
          <w:spacing w:val="-11"/>
        </w:rPr>
        <w:t> </w:t>
      </w:r>
      <w:r>
        <w:rPr/>
        <w:t>utensils</w:t>
      </w:r>
      <w:r>
        <w:rPr>
          <w:spacing w:val="-10"/>
        </w:rPr>
        <w:t> </w:t>
      </w:r>
      <w:r>
        <w:rPr/>
        <w:t>and</w:t>
      </w:r>
      <w:r>
        <w:rPr>
          <w:spacing w:val="-11"/>
        </w:rPr>
        <w:t> </w:t>
      </w:r>
      <w:r>
        <w:rPr/>
        <w:t>bags,</w:t>
      </w:r>
      <w:r>
        <w:rPr>
          <w:spacing w:val="-10"/>
        </w:rPr>
        <w:t> </w:t>
      </w:r>
      <w:r>
        <w:rPr/>
        <w:t>which</w:t>
      </w:r>
      <w:r>
        <w:rPr>
          <w:spacing w:val="-11"/>
        </w:rPr>
        <w:t> </w:t>
      </w:r>
      <w:r>
        <w:rPr/>
        <w:t>was rated very high. This indicates that while there may be added costs in disposal practices, the environmental advantage of reduced plastic usage offsets some of the burden, making waste management a more balanced area of concern.</w:t>
      </w:r>
    </w:p>
    <w:p>
      <w:pPr>
        <w:spacing w:before="243"/>
        <w:ind w:left="326" w:right="0" w:firstLine="0"/>
        <w:jc w:val="both"/>
        <w:rPr>
          <w:sz w:val="24"/>
        </w:rPr>
      </w:pPr>
      <w:r>
        <w:rPr>
          <w:b/>
          <w:sz w:val="24"/>
        </w:rPr>
        <w:t>Table</w:t>
      </w:r>
      <w:r>
        <w:rPr>
          <w:b/>
          <w:spacing w:val="-4"/>
          <w:sz w:val="24"/>
        </w:rPr>
        <w:t> </w:t>
      </w:r>
      <w:r>
        <w:rPr>
          <w:b/>
          <w:sz w:val="24"/>
        </w:rPr>
        <w:t>3.2.4. </w:t>
      </w:r>
      <w:r>
        <w:rPr>
          <w:sz w:val="24"/>
        </w:rPr>
        <w:t>Level</w:t>
      </w:r>
      <w:r>
        <w:rPr>
          <w:spacing w:val="-2"/>
          <w:sz w:val="24"/>
        </w:rPr>
        <w:t> </w:t>
      </w:r>
      <w:r>
        <w:rPr>
          <w:sz w:val="24"/>
        </w:rPr>
        <w:t>of</w:t>
      </w:r>
      <w:r>
        <w:rPr>
          <w:spacing w:val="-2"/>
          <w:sz w:val="24"/>
        </w:rPr>
        <w:t> </w:t>
      </w:r>
      <w:r>
        <w:rPr>
          <w:sz w:val="24"/>
        </w:rPr>
        <w:t>Cost Implications –</w:t>
      </w:r>
      <w:r>
        <w:rPr>
          <w:spacing w:val="-2"/>
          <w:sz w:val="24"/>
        </w:rPr>
        <w:t> </w:t>
      </w:r>
      <w:r>
        <w:rPr>
          <w:sz w:val="24"/>
        </w:rPr>
        <w:t>Overall </w:t>
      </w:r>
      <w:r>
        <w:rPr>
          <w:spacing w:val="-2"/>
          <w:sz w:val="24"/>
        </w:rPr>
        <w:t>Summary</w:t>
      </w:r>
    </w:p>
    <w:p>
      <w:pPr>
        <w:pStyle w:val="BodyText"/>
        <w:spacing w:before="2"/>
        <w:rPr>
          <w:sz w:val="12"/>
        </w:rPr>
      </w:pPr>
    </w:p>
    <w:tbl>
      <w:tblPr>
        <w:tblW w:w="0" w:type="auto"/>
        <w:jc w:val="left"/>
        <w:tblInd w:w="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25"/>
        <w:gridCol w:w="1807"/>
        <w:gridCol w:w="1253"/>
        <w:gridCol w:w="2985"/>
      </w:tblGrid>
      <w:tr>
        <w:trPr>
          <w:trHeight w:val="301" w:hRule="atLeast"/>
        </w:trPr>
        <w:tc>
          <w:tcPr>
            <w:tcW w:w="3425" w:type="dxa"/>
            <w:tcBorders>
              <w:top w:val="single" w:sz="6" w:space="0" w:color="000000"/>
              <w:bottom w:val="single" w:sz="6" w:space="0" w:color="000000"/>
            </w:tcBorders>
          </w:tcPr>
          <w:p>
            <w:pPr>
              <w:pStyle w:val="TableParagraph"/>
              <w:rPr>
                <w:sz w:val="22"/>
              </w:rPr>
            </w:pPr>
          </w:p>
        </w:tc>
        <w:tc>
          <w:tcPr>
            <w:tcW w:w="1807" w:type="dxa"/>
            <w:tcBorders>
              <w:top w:val="single" w:sz="6" w:space="0" w:color="000000"/>
              <w:bottom w:val="single" w:sz="6" w:space="0" w:color="000000"/>
            </w:tcBorders>
          </w:tcPr>
          <w:p>
            <w:pPr>
              <w:pStyle w:val="TableParagraph"/>
              <w:spacing w:before="1"/>
              <w:ind w:left="88"/>
              <w:jc w:val="center"/>
              <w:rPr>
                <w:b/>
                <w:sz w:val="24"/>
              </w:rPr>
            </w:pPr>
            <w:r>
              <w:rPr>
                <w:b/>
                <w:spacing w:val="-4"/>
                <w:sz w:val="24"/>
              </w:rPr>
              <w:t>Mean</w:t>
            </w:r>
          </w:p>
        </w:tc>
        <w:tc>
          <w:tcPr>
            <w:tcW w:w="1253" w:type="dxa"/>
            <w:tcBorders>
              <w:top w:val="single" w:sz="6" w:space="0" w:color="000000"/>
              <w:bottom w:val="single" w:sz="6" w:space="0" w:color="000000"/>
            </w:tcBorders>
          </w:tcPr>
          <w:p>
            <w:pPr>
              <w:pStyle w:val="TableParagraph"/>
              <w:spacing w:before="1"/>
              <w:ind w:right="319"/>
              <w:jc w:val="right"/>
              <w:rPr>
                <w:b/>
                <w:sz w:val="24"/>
              </w:rPr>
            </w:pPr>
            <w:r>
              <w:rPr>
                <w:b/>
                <w:spacing w:val="-5"/>
                <w:sz w:val="24"/>
              </w:rPr>
              <w:t>SD</w:t>
            </w:r>
          </w:p>
        </w:tc>
        <w:tc>
          <w:tcPr>
            <w:tcW w:w="2985" w:type="dxa"/>
            <w:tcBorders>
              <w:top w:val="single" w:sz="6" w:space="0" w:color="000000"/>
              <w:bottom w:val="single" w:sz="6" w:space="0" w:color="000000"/>
            </w:tcBorders>
          </w:tcPr>
          <w:p>
            <w:pPr>
              <w:pStyle w:val="TableParagraph"/>
              <w:spacing w:before="1"/>
              <w:ind w:left="186"/>
              <w:jc w:val="center"/>
              <w:rPr>
                <w:b/>
                <w:sz w:val="24"/>
              </w:rPr>
            </w:pPr>
            <w:r>
              <w:rPr>
                <w:b/>
                <w:spacing w:val="-2"/>
                <w:sz w:val="24"/>
              </w:rPr>
              <w:t>Interpretation</w:t>
            </w:r>
          </w:p>
        </w:tc>
      </w:tr>
      <w:tr>
        <w:trPr>
          <w:trHeight w:val="299" w:hRule="atLeast"/>
        </w:trPr>
        <w:tc>
          <w:tcPr>
            <w:tcW w:w="3425" w:type="dxa"/>
            <w:tcBorders>
              <w:top w:val="single" w:sz="6" w:space="0" w:color="000000"/>
              <w:bottom w:val="single" w:sz="4" w:space="0" w:color="000000"/>
            </w:tcBorders>
          </w:tcPr>
          <w:p>
            <w:pPr>
              <w:pStyle w:val="TableParagraph"/>
              <w:spacing w:line="270" w:lineRule="exact"/>
              <w:ind w:left="14"/>
              <w:rPr>
                <w:sz w:val="24"/>
              </w:rPr>
            </w:pPr>
            <w:r>
              <w:rPr>
                <w:sz w:val="24"/>
              </w:rPr>
              <w:t>Procurement</w:t>
            </w:r>
            <w:r>
              <w:rPr>
                <w:spacing w:val="-4"/>
                <w:sz w:val="24"/>
              </w:rPr>
              <w:t> Cost</w:t>
            </w:r>
          </w:p>
        </w:tc>
        <w:tc>
          <w:tcPr>
            <w:tcW w:w="1807" w:type="dxa"/>
            <w:tcBorders>
              <w:top w:val="single" w:sz="6" w:space="0" w:color="000000"/>
              <w:bottom w:val="single" w:sz="4" w:space="0" w:color="000000"/>
            </w:tcBorders>
          </w:tcPr>
          <w:p>
            <w:pPr>
              <w:pStyle w:val="TableParagraph"/>
              <w:spacing w:line="261" w:lineRule="exact" w:before="18"/>
              <w:ind w:left="88" w:right="1"/>
              <w:jc w:val="center"/>
              <w:rPr>
                <w:sz w:val="24"/>
              </w:rPr>
            </w:pPr>
            <w:r>
              <w:rPr>
                <w:spacing w:val="-4"/>
                <w:sz w:val="24"/>
              </w:rPr>
              <w:t>2.98</w:t>
            </w:r>
          </w:p>
        </w:tc>
        <w:tc>
          <w:tcPr>
            <w:tcW w:w="1253" w:type="dxa"/>
            <w:tcBorders>
              <w:top w:val="single" w:sz="6" w:space="0" w:color="000000"/>
              <w:bottom w:val="single" w:sz="4" w:space="0" w:color="000000"/>
            </w:tcBorders>
          </w:tcPr>
          <w:p>
            <w:pPr>
              <w:pStyle w:val="TableParagraph"/>
              <w:spacing w:line="270" w:lineRule="exact"/>
              <w:ind w:right="267"/>
              <w:jc w:val="right"/>
              <w:rPr>
                <w:sz w:val="24"/>
              </w:rPr>
            </w:pPr>
            <w:r>
              <w:rPr>
                <w:spacing w:val="-4"/>
                <w:sz w:val="24"/>
              </w:rPr>
              <w:t>0.78</w:t>
            </w:r>
          </w:p>
        </w:tc>
        <w:tc>
          <w:tcPr>
            <w:tcW w:w="2985" w:type="dxa"/>
            <w:tcBorders>
              <w:top w:val="single" w:sz="6" w:space="0" w:color="000000"/>
              <w:bottom w:val="single" w:sz="4" w:space="0" w:color="000000"/>
            </w:tcBorders>
          </w:tcPr>
          <w:p>
            <w:pPr>
              <w:pStyle w:val="TableParagraph"/>
              <w:spacing w:line="270" w:lineRule="exact"/>
              <w:ind w:left="186" w:right="123"/>
              <w:jc w:val="center"/>
              <w:rPr>
                <w:sz w:val="24"/>
              </w:rPr>
            </w:pPr>
            <w:r>
              <w:rPr>
                <w:spacing w:val="-4"/>
                <w:sz w:val="24"/>
              </w:rPr>
              <w:t>High</w:t>
            </w:r>
          </w:p>
        </w:tc>
      </w:tr>
      <w:tr>
        <w:trPr>
          <w:trHeight w:val="299" w:hRule="atLeast"/>
        </w:trPr>
        <w:tc>
          <w:tcPr>
            <w:tcW w:w="3425" w:type="dxa"/>
            <w:tcBorders>
              <w:top w:val="single" w:sz="4" w:space="0" w:color="000000"/>
              <w:bottom w:val="single" w:sz="4" w:space="0" w:color="000000"/>
            </w:tcBorders>
          </w:tcPr>
          <w:p>
            <w:pPr>
              <w:pStyle w:val="TableParagraph"/>
              <w:spacing w:line="270" w:lineRule="exact"/>
              <w:ind w:left="14"/>
              <w:rPr>
                <w:sz w:val="24"/>
              </w:rPr>
            </w:pPr>
            <w:r>
              <w:rPr>
                <w:sz w:val="24"/>
              </w:rPr>
              <w:t>Storage</w:t>
            </w:r>
            <w:r>
              <w:rPr>
                <w:spacing w:val="-2"/>
                <w:sz w:val="24"/>
              </w:rPr>
              <w:t> </w:t>
            </w:r>
            <w:r>
              <w:rPr>
                <w:sz w:val="24"/>
              </w:rPr>
              <w:t>&amp;</w:t>
            </w:r>
            <w:r>
              <w:rPr>
                <w:spacing w:val="-2"/>
                <w:sz w:val="24"/>
              </w:rPr>
              <w:t> </w:t>
            </w:r>
            <w:r>
              <w:rPr>
                <w:sz w:val="24"/>
              </w:rPr>
              <w:t>Handling</w:t>
            </w:r>
            <w:r>
              <w:rPr>
                <w:spacing w:val="-5"/>
                <w:sz w:val="24"/>
              </w:rPr>
              <w:t> </w:t>
            </w:r>
            <w:r>
              <w:rPr>
                <w:spacing w:val="-4"/>
                <w:sz w:val="24"/>
              </w:rPr>
              <w:t>Cost</w:t>
            </w:r>
          </w:p>
        </w:tc>
        <w:tc>
          <w:tcPr>
            <w:tcW w:w="1807" w:type="dxa"/>
            <w:tcBorders>
              <w:top w:val="single" w:sz="4" w:space="0" w:color="000000"/>
              <w:bottom w:val="single" w:sz="4" w:space="0" w:color="000000"/>
            </w:tcBorders>
          </w:tcPr>
          <w:p>
            <w:pPr>
              <w:pStyle w:val="TableParagraph"/>
              <w:spacing w:line="261" w:lineRule="exact" w:before="18"/>
              <w:ind w:left="88" w:right="1"/>
              <w:jc w:val="center"/>
              <w:rPr>
                <w:sz w:val="24"/>
              </w:rPr>
            </w:pPr>
            <w:r>
              <w:rPr>
                <w:spacing w:val="-4"/>
                <w:sz w:val="24"/>
              </w:rPr>
              <w:t>3.07</w:t>
            </w:r>
          </w:p>
        </w:tc>
        <w:tc>
          <w:tcPr>
            <w:tcW w:w="1253" w:type="dxa"/>
            <w:tcBorders>
              <w:top w:val="single" w:sz="4" w:space="0" w:color="000000"/>
              <w:bottom w:val="single" w:sz="4" w:space="0" w:color="000000"/>
            </w:tcBorders>
          </w:tcPr>
          <w:p>
            <w:pPr>
              <w:pStyle w:val="TableParagraph"/>
              <w:spacing w:line="270" w:lineRule="exact"/>
              <w:ind w:right="267"/>
              <w:jc w:val="right"/>
              <w:rPr>
                <w:sz w:val="24"/>
              </w:rPr>
            </w:pPr>
            <w:r>
              <w:rPr>
                <w:spacing w:val="-4"/>
                <w:sz w:val="24"/>
              </w:rPr>
              <w:t>0.87</w:t>
            </w:r>
          </w:p>
        </w:tc>
        <w:tc>
          <w:tcPr>
            <w:tcW w:w="2985" w:type="dxa"/>
            <w:tcBorders>
              <w:top w:val="single" w:sz="4" w:space="0" w:color="000000"/>
              <w:bottom w:val="single" w:sz="4" w:space="0" w:color="000000"/>
            </w:tcBorders>
          </w:tcPr>
          <w:p>
            <w:pPr>
              <w:pStyle w:val="TableParagraph"/>
              <w:spacing w:line="270" w:lineRule="exact"/>
              <w:ind w:left="186" w:right="123"/>
              <w:jc w:val="center"/>
              <w:rPr>
                <w:sz w:val="24"/>
              </w:rPr>
            </w:pPr>
            <w:r>
              <w:rPr>
                <w:spacing w:val="-4"/>
                <w:sz w:val="24"/>
              </w:rPr>
              <w:t>High</w:t>
            </w:r>
          </w:p>
        </w:tc>
      </w:tr>
      <w:tr>
        <w:trPr>
          <w:trHeight w:val="299" w:hRule="atLeast"/>
        </w:trPr>
        <w:tc>
          <w:tcPr>
            <w:tcW w:w="3425" w:type="dxa"/>
            <w:tcBorders>
              <w:top w:val="single" w:sz="4" w:space="0" w:color="000000"/>
              <w:bottom w:val="single" w:sz="4" w:space="0" w:color="000000"/>
            </w:tcBorders>
          </w:tcPr>
          <w:p>
            <w:pPr>
              <w:pStyle w:val="TableParagraph"/>
              <w:spacing w:line="270" w:lineRule="exact"/>
              <w:ind w:left="14"/>
              <w:rPr>
                <w:sz w:val="24"/>
              </w:rPr>
            </w:pPr>
            <w:r>
              <w:rPr>
                <w:sz w:val="24"/>
              </w:rPr>
              <w:t>Waste</w:t>
            </w:r>
            <w:r>
              <w:rPr>
                <w:spacing w:val="-4"/>
                <w:sz w:val="24"/>
              </w:rPr>
              <w:t> </w:t>
            </w:r>
            <w:r>
              <w:rPr>
                <w:sz w:val="24"/>
              </w:rPr>
              <w:t>Management</w:t>
            </w:r>
            <w:r>
              <w:rPr>
                <w:spacing w:val="-2"/>
                <w:sz w:val="24"/>
              </w:rPr>
              <w:t> </w:t>
            </w:r>
            <w:r>
              <w:rPr>
                <w:spacing w:val="-4"/>
                <w:sz w:val="24"/>
              </w:rPr>
              <w:t>Cost</w:t>
            </w:r>
          </w:p>
        </w:tc>
        <w:tc>
          <w:tcPr>
            <w:tcW w:w="1807" w:type="dxa"/>
            <w:tcBorders>
              <w:top w:val="single" w:sz="4" w:space="0" w:color="000000"/>
              <w:bottom w:val="single" w:sz="4" w:space="0" w:color="000000"/>
            </w:tcBorders>
          </w:tcPr>
          <w:p>
            <w:pPr>
              <w:pStyle w:val="TableParagraph"/>
              <w:spacing w:line="261" w:lineRule="exact" w:before="18"/>
              <w:ind w:left="88" w:right="1"/>
              <w:jc w:val="center"/>
              <w:rPr>
                <w:sz w:val="24"/>
              </w:rPr>
            </w:pPr>
            <w:r>
              <w:rPr>
                <w:spacing w:val="-4"/>
                <w:sz w:val="24"/>
              </w:rPr>
              <w:t>3.14</w:t>
            </w:r>
          </w:p>
        </w:tc>
        <w:tc>
          <w:tcPr>
            <w:tcW w:w="1253" w:type="dxa"/>
            <w:tcBorders>
              <w:top w:val="single" w:sz="4" w:space="0" w:color="000000"/>
              <w:bottom w:val="single" w:sz="4" w:space="0" w:color="000000"/>
            </w:tcBorders>
          </w:tcPr>
          <w:p>
            <w:pPr>
              <w:pStyle w:val="TableParagraph"/>
              <w:spacing w:line="270" w:lineRule="exact"/>
              <w:ind w:right="267"/>
              <w:jc w:val="right"/>
              <w:rPr>
                <w:sz w:val="24"/>
              </w:rPr>
            </w:pPr>
            <w:r>
              <w:rPr>
                <w:spacing w:val="-4"/>
                <w:sz w:val="24"/>
              </w:rPr>
              <w:t>0.65</w:t>
            </w:r>
          </w:p>
        </w:tc>
        <w:tc>
          <w:tcPr>
            <w:tcW w:w="2985" w:type="dxa"/>
            <w:tcBorders>
              <w:top w:val="single" w:sz="4" w:space="0" w:color="000000"/>
              <w:bottom w:val="single" w:sz="4" w:space="0" w:color="000000"/>
            </w:tcBorders>
          </w:tcPr>
          <w:p>
            <w:pPr>
              <w:pStyle w:val="TableParagraph"/>
              <w:spacing w:line="270" w:lineRule="exact"/>
              <w:ind w:left="186" w:right="123"/>
              <w:jc w:val="center"/>
              <w:rPr>
                <w:sz w:val="24"/>
              </w:rPr>
            </w:pPr>
            <w:r>
              <w:rPr>
                <w:spacing w:val="-4"/>
                <w:sz w:val="24"/>
              </w:rPr>
              <w:t>High</w:t>
            </w:r>
          </w:p>
        </w:tc>
      </w:tr>
      <w:tr>
        <w:trPr>
          <w:trHeight w:val="553" w:hRule="atLeast"/>
        </w:trPr>
        <w:tc>
          <w:tcPr>
            <w:tcW w:w="3425" w:type="dxa"/>
            <w:tcBorders>
              <w:top w:val="single" w:sz="4" w:space="0" w:color="000000"/>
              <w:bottom w:val="single" w:sz="4" w:space="0" w:color="000000"/>
            </w:tcBorders>
          </w:tcPr>
          <w:p>
            <w:pPr>
              <w:pStyle w:val="TableParagraph"/>
              <w:spacing w:before="239"/>
              <w:ind w:left="14"/>
              <w:rPr>
                <w:b/>
                <w:i/>
                <w:sz w:val="24"/>
              </w:rPr>
            </w:pPr>
            <w:r>
              <w:rPr>
                <w:b/>
                <w:i/>
                <w:sz w:val="24"/>
              </w:rPr>
              <w:t>Cost</w:t>
            </w:r>
            <w:r>
              <w:rPr>
                <w:b/>
                <w:i/>
                <w:spacing w:val="-2"/>
                <w:sz w:val="24"/>
              </w:rPr>
              <w:t> </w:t>
            </w:r>
            <w:r>
              <w:rPr>
                <w:b/>
                <w:i/>
                <w:sz w:val="24"/>
              </w:rPr>
              <w:t>Implications</w:t>
            </w:r>
            <w:r>
              <w:rPr>
                <w:b/>
                <w:i/>
                <w:spacing w:val="1"/>
                <w:sz w:val="24"/>
              </w:rPr>
              <w:t> </w:t>
            </w:r>
            <w:r>
              <w:rPr>
                <w:b/>
                <w:i/>
                <w:sz w:val="24"/>
              </w:rPr>
              <w:t>-</w:t>
            </w:r>
            <w:r>
              <w:rPr>
                <w:b/>
                <w:i/>
                <w:spacing w:val="-2"/>
                <w:sz w:val="24"/>
              </w:rPr>
              <w:t> Overall</w:t>
            </w:r>
          </w:p>
        </w:tc>
        <w:tc>
          <w:tcPr>
            <w:tcW w:w="1807" w:type="dxa"/>
            <w:tcBorders>
              <w:top w:val="single" w:sz="4" w:space="0" w:color="000000"/>
              <w:bottom w:val="single" w:sz="4" w:space="0" w:color="000000"/>
            </w:tcBorders>
          </w:tcPr>
          <w:p>
            <w:pPr>
              <w:pStyle w:val="TableParagraph"/>
              <w:spacing w:line="259" w:lineRule="exact" w:before="275"/>
              <w:ind w:left="88" w:right="1"/>
              <w:jc w:val="center"/>
              <w:rPr>
                <w:b/>
                <w:sz w:val="24"/>
              </w:rPr>
            </w:pPr>
            <w:r>
              <w:rPr>
                <w:b/>
                <w:spacing w:val="-4"/>
                <w:sz w:val="24"/>
              </w:rPr>
              <w:t>3.06</w:t>
            </w:r>
          </w:p>
        </w:tc>
        <w:tc>
          <w:tcPr>
            <w:tcW w:w="1253" w:type="dxa"/>
            <w:tcBorders>
              <w:top w:val="single" w:sz="4" w:space="0" w:color="000000"/>
              <w:bottom w:val="single" w:sz="4" w:space="0" w:color="000000"/>
            </w:tcBorders>
          </w:tcPr>
          <w:p>
            <w:pPr>
              <w:pStyle w:val="TableParagraph"/>
              <w:spacing w:before="239"/>
              <w:ind w:right="267"/>
              <w:jc w:val="right"/>
              <w:rPr>
                <w:b/>
                <w:sz w:val="24"/>
              </w:rPr>
            </w:pPr>
            <w:r>
              <w:rPr>
                <w:b/>
                <w:spacing w:val="-4"/>
                <w:sz w:val="24"/>
              </w:rPr>
              <w:t>0.77</w:t>
            </w:r>
          </w:p>
        </w:tc>
        <w:tc>
          <w:tcPr>
            <w:tcW w:w="2985" w:type="dxa"/>
            <w:tcBorders>
              <w:top w:val="single" w:sz="4" w:space="0" w:color="000000"/>
              <w:bottom w:val="single" w:sz="4" w:space="0" w:color="000000"/>
            </w:tcBorders>
          </w:tcPr>
          <w:p>
            <w:pPr>
              <w:pStyle w:val="TableParagraph"/>
              <w:spacing w:line="270" w:lineRule="exact"/>
              <w:ind w:left="186" w:right="122"/>
              <w:jc w:val="center"/>
              <w:rPr>
                <w:sz w:val="24"/>
              </w:rPr>
            </w:pPr>
            <w:r>
              <w:rPr>
                <w:sz w:val="24"/>
              </w:rPr>
              <w:t>The</w:t>
            </w:r>
            <w:r>
              <w:rPr>
                <w:spacing w:val="-3"/>
                <w:sz w:val="24"/>
              </w:rPr>
              <w:t> </w:t>
            </w:r>
            <w:r>
              <w:rPr>
                <w:sz w:val="24"/>
              </w:rPr>
              <w:t>Overall Level</w:t>
            </w:r>
            <w:r>
              <w:rPr>
                <w:spacing w:val="-1"/>
                <w:sz w:val="24"/>
              </w:rPr>
              <w:t> </w:t>
            </w:r>
            <w:r>
              <w:rPr>
                <w:sz w:val="24"/>
              </w:rPr>
              <w:t>of</w:t>
            </w:r>
            <w:r>
              <w:rPr>
                <w:spacing w:val="-1"/>
                <w:sz w:val="24"/>
              </w:rPr>
              <w:t> </w:t>
            </w:r>
            <w:r>
              <w:rPr>
                <w:spacing w:val="-4"/>
                <w:sz w:val="24"/>
              </w:rPr>
              <w:t>Cost</w:t>
            </w:r>
          </w:p>
          <w:p>
            <w:pPr>
              <w:pStyle w:val="TableParagraph"/>
              <w:spacing w:line="264" w:lineRule="exact"/>
              <w:ind w:left="186" w:right="118"/>
              <w:jc w:val="center"/>
              <w:rPr>
                <w:b/>
                <w:sz w:val="24"/>
              </w:rPr>
            </w:pPr>
            <w:r>
              <w:rPr>
                <w:sz w:val="24"/>
              </w:rPr>
              <w:t>Implications</w:t>
            </w:r>
            <w:r>
              <w:rPr>
                <w:spacing w:val="-3"/>
                <w:sz w:val="24"/>
              </w:rPr>
              <w:t> </w:t>
            </w:r>
            <w:r>
              <w:rPr>
                <w:sz w:val="24"/>
              </w:rPr>
              <w:t>is</w:t>
            </w:r>
            <w:r>
              <w:rPr>
                <w:spacing w:val="-2"/>
                <w:sz w:val="24"/>
              </w:rPr>
              <w:t> </w:t>
            </w:r>
            <w:r>
              <w:rPr>
                <w:b/>
                <w:spacing w:val="-4"/>
                <w:sz w:val="24"/>
              </w:rPr>
              <w:t>High.</w:t>
            </w:r>
          </w:p>
        </w:tc>
      </w:tr>
    </w:tbl>
    <w:p>
      <w:pPr>
        <w:pStyle w:val="BodyText"/>
        <w:spacing w:line="480" w:lineRule="auto" w:before="237"/>
        <w:ind w:left="326" w:right="1076" w:firstLine="720"/>
        <w:jc w:val="both"/>
      </w:pPr>
      <w:r>
        <w:rPr/>
        <w:t>Overall, the level of cost implications of switching to compostable packaging is high (M = 3.06, SD = 0.77). This means that procurement, storage &amp; handling, and waste management collectively contribute to significant expenses. The results imply that while environmentally beneficial, the financial burden is a major factor influencing canteen </w:t>
      </w:r>
      <w:r>
        <w:rPr>
          <w:spacing w:val="-2"/>
        </w:rPr>
        <w:t>operations.</w:t>
      </w:r>
    </w:p>
    <w:p>
      <w:pPr>
        <w:pStyle w:val="Heading1"/>
        <w:numPr>
          <w:ilvl w:val="1"/>
          <w:numId w:val="1"/>
        </w:numPr>
        <w:tabs>
          <w:tab w:pos="686" w:val="left" w:leader="none"/>
        </w:tabs>
        <w:spacing w:line="240" w:lineRule="auto" w:before="164" w:after="0"/>
        <w:ind w:left="686" w:right="0" w:hanging="360"/>
        <w:jc w:val="both"/>
      </w:pPr>
      <w:r>
        <w:rPr/>
        <w:t>Descriptive</w:t>
      </w:r>
      <w:r>
        <w:rPr>
          <w:spacing w:val="-2"/>
        </w:rPr>
        <w:t> </w:t>
      </w:r>
      <w:r>
        <w:rPr/>
        <w:t>Analysis</w:t>
      </w:r>
      <w:r>
        <w:rPr>
          <w:spacing w:val="-1"/>
        </w:rPr>
        <w:t> </w:t>
      </w:r>
      <w:r>
        <w:rPr/>
        <w:t>on</w:t>
      </w:r>
      <w:r>
        <w:rPr>
          <w:spacing w:val="-1"/>
        </w:rPr>
        <w:t> </w:t>
      </w:r>
      <w:r>
        <w:rPr/>
        <w:t>the</w:t>
      </w:r>
      <w:r>
        <w:rPr>
          <w:spacing w:val="-1"/>
        </w:rPr>
        <w:t> </w:t>
      </w:r>
      <w:r>
        <w:rPr/>
        <w:t>Level</w:t>
      </w:r>
      <w:r>
        <w:rPr>
          <w:spacing w:val="-1"/>
        </w:rPr>
        <w:t> </w:t>
      </w:r>
      <w:r>
        <w:rPr/>
        <w:t>of</w:t>
      </w:r>
      <w:r>
        <w:rPr>
          <w:spacing w:val="1"/>
        </w:rPr>
        <w:t> </w:t>
      </w:r>
      <w:r>
        <w:rPr/>
        <w:t>Operational &amp;</w:t>
      </w:r>
      <w:r>
        <w:rPr>
          <w:spacing w:val="-1"/>
        </w:rPr>
        <w:t> </w:t>
      </w:r>
      <w:r>
        <w:rPr/>
        <w:t>Environmental</w:t>
      </w:r>
      <w:r>
        <w:rPr>
          <w:spacing w:val="-1"/>
        </w:rPr>
        <w:t> </w:t>
      </w:r>
      <w:r>
        <w:rPr>
          <w:spacing w:val="-2"/>
        </w:rPr>
        <w:t>Benefits</w:t>
      </w:r>
    </w:p>
    <w:p>
      <w:pPr>
        <w:pStyle w:val="BodyText"/>
        <w:spacing w:line="480" w:lineRule="auto" w:before="271"/>
        <w:ind w:left="326" w:right="1077" w:firstLine="720"/>
        <w:jc w:val="both"/>
      </w:pPr>
      <w:r>
        <w:rPr/>
        <w:t>The level of operational &amp; environmental benefits in shifting from plastic to compostable packaging in Mapua MCM, was measured in terms of practicality, waste segregation, and sustainability.</w:t>
      </w:r>
    </w:p>
    <w:p>
      <w:pPr>
        <w:pStyle w:val="BodyText"/>
        <w:spacing w:after="0" w:line="480" w:lineRule="auto"/>
        <w:jc w:val="both"/>
        <w:sectPr>
          <w:pgSz w:w="12240" w:h="15840"/>
          <w:pgMar w:header="763" w:footer="0" w:top="1340" w:bottom="280" w:left="1800" w:right="360"/>
        </w:sectPr>
      </w:pPr>
    </w:p>
    <w:p>
      <w:pPr>
        <w:pStyle w:val="BodyText"/>
        <w:spacing w:before="82"/>
        <w:ind w:left="326"/>
        <w:jc w:val="both"/>
      </w:pPr>
      <w:r>
        <w:rPr>
          <w:b/>
        </w:rPr>
        <w:t>Table</w:t>
      </w:r>
      <w:r>
        <w:rPr>
          <w:b/>
          <w:spacing w:val="-4"/>
        </w:rPr>
        <w:t> </w:t>
      </w:r>
      <w:r>
        <w:rPr>
          <w:b/>
        </w:rPr>
        <w:t>3.3.1.</w:t>
      </w:r>
      <w:r>
        <w:rPr>
          <w:b/>
          <w:spacing w:val="1"/>
        </w:rPr>
        <w:t> </w:t>
      </w:r>
      <w:r>
        <w:rPr/>
        <w:t>Level</w:t>
      </w:r>
      <w:r>
        <w:rPr>
          <w:spacing w:val="-2"/>
        </w:rPr>
        <w:t> </w:t>
      </w:r>
      <w:r>
        <w:rPr/>
        <w:t>of</w:t>
      </w:r>
      <w:r>
        <w:rPr>
          <w:spacing w:val="1"/>
        </w:rPr>
        <w:t> </w:t>
      </w:r>
      <w:r>
        <w:rPr/>
        <w:t>Operational &amp;</w:t>
      </w:r>
      <w:r>
        <w:rPr>
          <w:spacing w:val="-3"/>
        </w:rPr>
        <w:t> </w:t>
      </w:r>
      <w:r>
        <w:rPr/>
        <w:t>Environmental</w:t>
      </w:r>
      <w:r>
        <w:rPr>
          <w:spacing w:val="-2"/>
        </w:rPr>
        <w:t> </w:t>
      </w:r>
      <w:r>
        <w:rPr/>
        <w:t>Benefits</w:t>
      </w:r>
      <w:r>
        <w:rPr>
          <w:spacing w:val="1"/>
        </w:rPr>
        <w:t> </w:t>
      </w:r>
      <w:r>
        <w:rPr/>
        <w:t>-</w:t>
      </w:r>
      <w:r>
        <w:rPr>
          <w:spacing w:val="-2"/>
        </w:rPr>
        <w:t> Practicality</w:t>
      </w:r>
    </w:p>
    <w:p>
      <w:pPr>
        <w:pStyle w:val="BodyText"/>
        <w:spacing w:before="2"/>
        <w:rPr>
          <w:sz w:val="12"/>
        </w:rPr>
      </w:pPr>
    </w:p>
    <w:tbl>
      <w:tblPr>
        <w:tblW w:w="0" w:type="auto"/>
        <w:jc w:val="left"/>
        <w:tblInd w:w="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07"/>
        <w:gridCol w:w="1477"/>
        <w:gridCol w:w="1247"/>
        <w:gridCol w:w="2948"/>
      </w:tblGrid>
      <w:tr>
        <w:trPr>
          <w:trHeight w:val="345" w:hRule="atLeast"/>
        </w:trPr>
        <w:tc>
          <w:tcPr>
            <w:tcW w:w="3707" w:type="dxa"/>
            <w:tcBorders>
              <w:top w:val="single" w:sz="6" w:space="0" w:color="000000"/>
              <w:bottom w:val="single" w:sz="6" w:space="0" w:color="000000"/>
            </w:tcBorders>
          </w:tcPr>
          <w:p>
            <w:pPr>
              <w:pStyle w:val="TableParagraph"/>
              <w:spacing w:before="1"/>
              <w:ind w:left="81"/>
              <w:rPr>
                <w:b/>
                <w:i/>
                <w:sz w:val="24"/>
              </w:rPr>
            </w:pPr>
            <w:r>
              <w:rPr>
                <w:b/>
                <w:i/>
                <w:sz w:val="24"/>
              </w:rPr>
              <w:t>Item </w:t>
            </w:r>
            <w:r>
              <w:rPr>
                <w:b/>
                <w:i/>
                <w:spacing w:val="-2"/>
                <w:sz w:val="24"/>
              </w:rPr>
              <w:t>Statements</w:t>
            </w:r>
          </w:p>
        </w:tc>
        <w:tc>
          <w:tcPr>
            <w:tcW w:w="1477" w:type="dxa"/>
            <w:tcBorders>
              <w:top w:val="single" w:sz="6" w:space="0" w:color="000000"/>
              <w:bottom w:val="single" w:sz="6" w:space="0" w:color="000000"/>
            </w:tcBorders>
          </w:tcPr>
          <w:p>
            <w:pPr>
              <w:pStyle w:val="TableParagraph"/>
              <w:spacing w:before="1"/>
              <w:ind w:right="224"/>
              <w:jc w:val="center"/>
              <w:rPr>
                <w:b/>
                <w:sz w:val="24"/>
              </w:rPr>
            </w:pPr>
            <w:r>
              <w:rPr>
                <w:b/>
                <w:spacing w:val="-4"/>
                <w:sz w:val="24"/>
              </w:rPr>
              <w:t>Mean</w:t>
            </w:r>
          </w:p>
        </w:tc>
        <w:tc>
          <w:tcPr>
            <w:tcW w:w="1247" w:type="dxa"/>
            <w:tcBorders>
              <w:top w:val="single" w:sz="6" w:space="0" w:color="000000"/>
              <w:bottom w:val="single" w:sz="6" w:space="0" w:color="000000"/>
            </w:tcBorders>
          </w:tcPr>
          <w:p>
            <w:pPr>
              <w:pStyle w:val="TableParagraph"/>
              <w:spacing w:before="1"/>
              <w:ind w:right="320"/>
              <w:jc w:val="right"/>
              <w:rPr>
                <w:b/>
                <w:sz w:val="24"/>
              </w:rPr>
            </w:pPr>
            <w:r>
              <w:rPr>
                <w:b/>
                <w:spacing w:val="-5"/>
                <w:sz w:val="24"/>
              </w:rPr>
              <w:t>SD</w:t>
            </w:r>
          </w:p>
        </w:tc>
        <w:tc>
          <w:tcPr>
            <w:tcW w:w="2948" w:type="dxa"/>
            <w:tcBorders>
              <w:top w:val="single" w:sz="6" w:space="0" w:color="000000"/>
              <w:bottom w:val="single" w:sz="6" w:space="0" w:color="000000"/>
            </w:tcBorders>
          </w:tcPr>
          <w:p>
            <w:pPr>
              <w:pStyle w:val="TableParagraph"/>
              <w:spacing w:before="1"/>
              <w:ind w:left="189" w:right="7"/>
              <w:jc w:val="center"/>
              <w:rPr>
                <w:b/>
                <w:sz w:val="24"/>
              </w:rPr>
            </w:pPr>
            <w:r>
              <w:rPr>
                <w:b/>
                <w:sz w:val="24"/>
              </w:rPr>
              <w:t>Descriptive</w:t>
            </w:r>
            <w:r>
              <w:rPr>
                <w:b/>
                <w:spacing w:val="-7"/>
                <w:sz w:val="24"/>
              </w:rPr>
              <w:t> </w:t>
            </w:r>
            <w:r>
              <w:rPr>
                <w:b/>
                <w:spacing w:val="-4"/>
                <w:sz w:val="24"/>
              </w:rPr>
              <w:t>Level</w:t>
            </w:r>
          </w:p>
        </w:tc>
      </w:tr>
      <w:tr>
        <w:trPr>
          <w:trHeight w:val="827" w:hRule="atLeast"/>
        </w:trPr>
        <w:tc>
          <w:tcPr>
            <w:tcW w:w="3707" w:type="dxa"/>
            <w:tcBorders>
              <w:top w:val="single" w:sz="6" w:space="0" w:color="000000"/>
              <w:bottom w:val="single" w:sz="4" w:space="0" w:color="000000"/>
            </w:tcBorders>
          </w:tcPr>
          <w:p>
            <w:pPr>
              <w:pStyle w:val="TableParagraph"/>
              <w:ind w:left="14"/>
              <w:rPr>
                <w:sz w:val="24"/>
              </w:rPr>
            </w:pPr>
            <w:r>
              <w:rPr>
                <w:sz w:val="24"/>
              </w:rPr>
              <w:t>Pr1:</w:t>
            </w:r>
            <w:r>
              <w:rPr>
                <w:spacing w:val="80"/>
                <w:sz w:val="24"/>
              </w:rPr>
              <w:t> </w:t>
            </w:r>
            <w:r>
              <w:rPr>
                <w:sz w:val="24"/>
              </w:rPr>
              <w:t>Compostable</w:t>
            </w:r>
            <w:r>
              <w:rPr>
                <w:spacing w:val="80"/>
                <w:sz w:val="24"/>
              </w:rPr>
              <w:t> </w:t>
            </w:r>
            <w:r>
              <w:rPr>
                <w:sz w:val="24"/>
              </w:rPr>
              <w:t>packaging</w:t>
            </w:r>
            <w:r>
              <w:rPr>
                <w:spacing w:val="80"/>
                <w:sz w:val="24"/>
              </w:rPr>
              <w:t> </w:t>
            </w:r>
            <w:r>
              <w:rPr>
                <w:sz w:val="24"/>
              </w:rPr>
              <w:t>is strong</w:t>
            </w:r>
            <w:r>
              <w:rPr>
                <w:spacing w:val="68"/>
                <w:sz w:val="24"/>
              </w:rPr>
              <w:t> </w:t>
            </w:r>
            <w:r>
              <w:rPr>
                <w:sz w:val="24"/>
              </w:rPr>
              <w:t>enough</w:t>
            </w:r>
            <w:r>
              <w:rPr>
                <w:spacing w:val="69"/>
                <w:sz w:val="24"/>
              </w:rPr>
              <w:t> </w:t>
            </w:r>
            <w:r>
              <w:rPr>
                <w:sz w:val="24"/>
              </w:rPr>
              <w:t>to</w:t>
            </w:r>
            <w:r>
              <w:rPr>
                <w:spacing w:val="68"/>
                <w:sz w:val="24"/>
              </w:rPr>
              <w:t> </w:t>
            </w:r>
            <w:r>
              <w:rPr>
                <w:sz w:val="24"/>
              </w:rPr>
              <w:t>hold</w:t>
            </w:r>
            <w:r>
              <w:rPr>
                <w:spacing w:val="74"/>
                <w:sz w:val="24"/>
              </w:rPr>
              <w:t> </w:t>
            </w:r>
            <w:r>
              <w:rPr>
                <w:sz w:val="24"/>
              </w:rPr>
              <w:t>food</w:t>
            </w:r>
            <w:r>
              <w:rPr>
                <w:spacing w:val="68"/>
                <w:sz w:val="24"/>
              </w:rPr>
              <w:t> </w:t>
            </w:r>
            <w:r>
              <w:rPr>
                <w:spacing w:val="-5"/>
                <w:sz w:val="24"/>
              </w:rPr>
              <w:t>and</w:t>
            </w:r>
          </w:p>
          <w:p>
            <w:pPr>
              <w:pStyle w:val="TableParagraph"/>
              <w:spacing w:line="261" w:lineRule="exact"/>
              <w:ind w:left="14"/>
              <w:rPr>
                <w:sz w:val="24"/>
              </w:rPr>
            </w:pPr>
            <w:r>
              <w:rPr>
                <w:spacing w:val="-2"/>
                <w:sz w:val="24"/>
              </w:rPr>
              <w:t>drinks.</w:t>
            </w:r>
          </w:p>
        </w:tc>
        <w:tc>
          <w:tcPr>
            <w:tcW w:w="1477" w:type="dxa"/>
            <w:tcBorders>
              <w:top w:val="single" w:sz="6" w:space="0" w:color="000000"/>
              <w:bottom w:val="single" w:sz="4" w:space="0" w:color="000000"/>
            </w:tcBorders>
          </w:tcPr>
          <w:p>
            <w:pPr>
              <w:pStyle w:val="TableParagraph"/>
              <w:spacing w:before="253"/>
              <w:ind w:left="3" w:right="224"/>
              <w:jc w:val="center"/>
              <w:rPr>
                <w:sz w:val="24"/>
              </w:rPr>
            </w:pPr>
            <w:r>
              <w:rPr>
                <w:spacing w:val="-4"/>
                <w:sz w:val="24"/>
              </w:rPr>
              <w:t>3.47</w:t>
            </w:r>
          </w:p>
        </w:tc>
        <w:tc>
          <w:tcPr>
            <w:tcW w:w="1247" w:type="dxa"/>
            <w:tcBorders>
              <w:top w:val="single" w:sz="6" w:space="0" w:color="000000"/>
              <w:bottom w:val="single" w:sz="4" w:space="0" w:color="000000"/>
            </w:tcBorders>
          </w:tcPr>
          <w:p>
            <w:pPr>
              <w:pStyle w:val="TableParagraph"/>
              <w:spacing w:before="270"/>
              <w:ind w:right="264"/>
              <w:jc w:val="right"/>
              <w:rPr>
                <w:sz w:val="24"/>
              </w:rPr>
            </w:pPr>
            <w:r>
              <w:rPr>
                <w:spacing w:val="-4"/>
                <w:sz w:val="24"/>
              </w:rPr>
              <w:t>0.99</w:t>
            </w:r>
          </w:p>
        </w:tc>
        <w:tc>
          <w:tcPr>
            <w:tcW w:w="2948" w:type="dxa"/>
            <w:tcBorders>
              <w:top w:val="single" w:sz="6" w:space="0" w:color="000000"/>
              <w:bottom w:val="single" w:sz="4" w:space="0" w:color="000000"/>
            </w:tcBorders>
          </w:tcPr>
          <w:p>
            <w:pPr>
              <w:pStyle w:val="TableParagraph"/>
              <w:spacing w:before="234"/>
              <w:ind w:left="189" w:right="5"/>
              <w:jc w:val="center"/>
              <w:rPr>
                <w:sz w:val="24"/>
              </w:rPr>
            </w:pPr>
            <w:r>
              <w:rPr>
                <w:sz w:val="24"/>
              </w:rPr>
              <w:t>Strongly</w:t>
            </w:r>
            <w:r>
              <w:rPr>
                <w:spacing w:val="-3"/>
                <w:sz w:val="24"/>
              </w:rPr>
              <w:t> </w:t>
            </w:r>
            <w:r>
              <w:rPr>
                <w:spacing w:val="-2"/>
                <w:sz w:val="24"/>
              </w:rPr>
              <w:t>Agree</w:t>
            </w:r>
          </w:p>
        </w:tc>
      </w:tr>
      <w:tr>
        <w:trPr>
          <w:trHeight w:val="827" w:hRule="atLeast"/>
        </w:trPr>
        <w:tc>
          <w:tcPr>
            <w:tcW w:w="3707" w:type="dxa"/>
            <w:tcBorders>
              <w:top w:val="single" w:sz="4" w:space="0" w:color="000000"/>
              <w:bottom w:val="single" w:sz="4" w:space="0" w:color="000000"/>
            </w:tcBorders>
          </w:tcPr>
          <w:p>
            <w:pPr>
              <w:pStyle w:val="TableParagraph"/>
              <w:tabs>
                <w:tab w:pos="842" w:val="left" w:leader="none"/>
                <w:tab w:pos="2159" w:val="left" w:leader="none"/>
              </w:tabs>
              <w:ind w:left="14" w:right="330"/>
              <w:rPr>
                <w:sz w:val="24"/>
              </w:rPr>
            </w:pPr>
            <w:r>
              <w:rPr>
                <w:spacing w:val="-4"/>
                <w:sz w:val="24"/>
              </w:rPr>
              <w:t>Pr2:</w:t>
            </w:r>
            <w:r>
              <w:rPr>
                <w:sz w:val="24"/>
              </w:rPr>
              <w:tab/>
            </w:r>
            <w:r>
              <w:rPr>
                <w:spacing w:val="-2"/>
                <w:sz w:val="24"/>
              </w:rPr>
              <w:t>Handling</w:t>
            </w:r>
            <w:r>
              <w:rPr>
                <w:sz w:val="24"/>
              </w:rPr>
              <w:tab/>
            </w:r>
            <w:r>
              <w:rPr>
                <w:spacing w:val="-2"/>
                <w:sz w:val="24"/>
              </w:rPr>
              <w:t>compostable </w:t>
            </w:r>
            <w:r>
              <w:rPr>
                <w:sz w:val="24"/>
              </w:rPr>
              <w:t>packaging</w:t>
            </w:r>
            <w:r>
              <w:rPr>
                <w:spacing w:val="-3"/>
                <w:sz w:val="24"/>
              </w:rPr>
              <w:t> </w:t>
            </w:r>
            <w:r>
              <w:rPr>
                <w:sz w:val="24"/>
              </w:rPr>
              <w:t>is</w:t>
            </w:r>
            <w:r>
              <w:rPr>
                <w:spacing w:val="2"/>
                <w:sz w:val="24"/>
              </w:rPr>
              <w:t> </w:t>
            </w:r>
            <w:r>
              <w:rPr>
                <w:sz w:val="24"/>
              </w:rPr>
              <w:t>more</w:t>
            </w:r>
            <w:r>
              <w:rPr>
                <w:spacing w:val="2"/>
                <w:sz w:val="24"/>
              </w:rPr>
              <w:t> </w:t>
            </w:r>
            <w:r>
              <w:rPr>
                <w:sz w:val="24"/>
              </w:rPr>
              <w:t>convenient</w:t>
            </w:r>
            <w:r>
              <w:rPr>
                <w:spacing w:val="2"/>
                <w:sz w:val="24"/>
              </w:rPr>
              <w:t> </w:t>
            </w:r>
            <w:r>
              <w:rPr>
                <w:spacing w:val="-4"/>
                <w:sz w:val="24"/>
              </w:rPr>
              <w:t>than</w:t>
            </w:r>
          </w:p>
          <w:p>
            <w:pPr>
              <w:pStyle w:val="TableParagraph"/>
              <w:spacing w:line="261" w:lineRule="exact"/>
              <w:ind w:left="14"/>
              <w:rPr>
                <w:sz w:val="24"/>
              </w:rPr>
            </w:pPr>
            <w:r>
              <w:rPr>
                <w:spacing w:val="-2"/>
                <w:sz w:val="24"/>
              </w:rPr>
              <w:t>plastic.</w:t>
            </w:r>
          </w:p>
        </w:tc>
        <w:tc>
          <w:tcPr>
            <w:tcW w:w="1477" w:type="dxa"/>
            <w:tcBorders>
              <w:top w:val="single" w:sz="4" w:space="0" w:color="000000"/>
              <w:bottom w:val="single" w:sz="4" w:space="0" w:color="000000"/>
            </w:tcBorders>
          </w:tcPr>
          <w:p>
            <w:pPr>
              <w:pStyle w:val="TableParagraph"/>
              <w:spacing w:before="270"/>
              <w:ind w:left="3" w:right="224"/>
              <w:jc w:val="center"/>
              <w:rPr>
                <w:sz w:val="24"/>
              </w:rPr>
            </w:pPr>
            <w:r>
              <w:rPr>
                <w:spacing w:val="-4"/>
                <w:sz w:val="24"/>
              </w:rPr>
              <w:t>3.27</w:t>
            </w:r>
          </w:p>
        </w:tc>
        <w:tc>
          <w:tcPr>
            <w:tcW w:w="1247" w:type="dxa"/>
            <w:tcBorders>
              <w:top w:val="single" w:sz="4" w:space="0" w:color="000000"/>
              <w:bottom w:val="single" w:sz="4" w:space="0" w:color="000000"/>
            </w:tcBorders>
          </w:tcPr>
          <w:p>
            <w:pPr>
              <w:pStyle w:val="TableParagraph"/>
              <w:spacing w:before="270"/>
              <w:ind w:right="264"/>
              <w:jc w:val="right"/>
              <w:rPr>
                <w:sz w:val="24"/>
              </w:rPr>
            </w:pPr>
            <w:r>
              <w:rPr>
                <w:spacing w:val="-4"/>
                <w:sz w:val="24"/>
              </w:rPr>
              <w:t>1.11</w:t>
            </w:r>
          </w:p>
        </w:tc>
        <w:tc>
          <w:tcPr>
            <w:tcW w:w="2948" w:type="dxa"/>
            <w:tcBorders>
              <w:top w:val="single" w:sz="4" w:space="0" w:color="000000"/>
              <w:bottom w:val="single" w:sz="4" w:space="0" w:color="000000"/>
            </w:tcBorders>
          </w:tcPr>
          <w:p>
            <w:pPr>
              <w:pStyle w:val="TableParagraph"/>
              <w:spacing w:before="234"/>
              <w:ind w:left="189" w:right="5"/>
              <w:jc w:val="center"/>
              <w:rPr>
                <w:sz w:val="24"/>
              </w:rPr>
            </w:pPr>
            <w:r>
              <w:rPr>
                <w:sz w:val="24"/>
              </w:rPr>
              <w:t>Strongly</w:t>
            </w:r>
            <w:r>
              <w:rPr>
                <w:spacing w:val="-3"/>
                <w:sz w:val="24"/>
              </w:rPr>
              <w:t> </w:t>
            </w:r>
            <w:r>
              <w:rPr>
                <w:spacing w:val="-2"/>
                <w:sz w:val="24"/>
              </w:rPr>
              <w:t>Agree</w:t>
            </w:r>
          </w:p>
        </w:tc>
      </w:tr>
      <w:tr>
        <w:trPr>
          <w:trHeight w:val="817" w:hRule="atLeast"/>
        </w:trPr>
        <w:tc>
          <w:tcPr>
            <w:tcW w:w="3707" w:type="dxa"/>
            <w:tcBorders>
              <w:top w:val="single" w:sz="4" w:space="0" w:color="000000"/>
              <w:bottom w:val="single" w:sz="4" w:space="0" w:color="000000"/>
            </w:tcBorders>
          </w:tcPr>
          <w:p>
            <w:pPr>
              <w:pStyle w:val="TableParagraph"/>
              <w:ind w:left="14"/>
              <w:rPr>
                <w:sz w:val="24"/>
              </w:rPr>
            </w:pPr>
            <w:r>
              <w:rPr>
                <w:sz w:val="24"/>
              </w:rPr>
              <w:t>Pr3:</w:t>
            </w:r>
            <w:r>
              <w:rPr>
                <w:spacing w:val="-11"/>
                <w:sz w:val="24"/>
              </w:rPr>
              <w:t> </w:t>
            </w:r>
            <w:r>
              <w:rPr>
                <w:sz w:val="24"/>
              </w:rPr>
              <w:t>Using</w:t>
            </w:r>
            <w:r>
              <w:rPr>
                <w:spacing w:val="-12"/>
                <w:sz w:val="24"/>
              </w:rPr>
              <w:t> </w:t>
            </w:r>
            <w:r>
              <w:rPr>
                <w:sz w:val="24"/>
              </w:rPr>
              <w:t>compostable</w:t>
            </w:r>
            <w:r>
              <w:rPr>
                <w:spacing w:val="-10"/>
                <w:sz w:val="24"/>
              </w:rPr>
              <w:t> </w:t>
            </w:r>
            <w:r>
              <w:rPr>
                <w:sz w:val="24"/>
              </w:rPr>
              <w:t>packaging affects serving speed.</w:t>
            </w:r>
          </w:p>
        </w:tc>
        <w:tc>
          <w:tcPr>
            <w:tcW w:w="1477" w:type="dxa"/>
            <w:tcBorders>
              <w:top w:val="single" w:sz="4" w:space="0" w:color="000000"/>
              <w:bottom w:val="single" w:sz="4" w:space="0" w:color="000000"/>
            </w:tcBorders>
          </w:tcPr>
          <w:p>
            <w:pPr>
              <w:pStyle w:val="TableParagraph"/>
              <w:spacing w:before="267"/>
              <w:ind w:left="3" w:right="224"/>
              <w:jc w:val="center"/>
              <w:rPr>
                <w:sz w:val="24"/>
              </w:rPr>
            </w:pPr>
            <w:r>
              <w:rPr>
                <w:spacing w:val="-4"/>
                <w:sz w:val="24"/>
              </w:rPr>
              <w:t>2.60</w:t>
            </w:r>
          </w:p>
        </w:tc>
        <w:tc>
          <w:tcPr>
            <w:tcW w:w="1247" w:type="dxa"/>
            <w:tcBorders>
              <w:top w:val="single" w:sz="4" w:space="0" w:color="000000"/>
              <w:bottom w:val="single" w:sz="4" w:space="0" w:color="000000"/>
            </w:tcBorders>
          </w:tcPr>
          <w:p>
            <w:pPr>
              <w:pStyle w:val="TableParagraph"/>
              <w:spacing w:before="267"/>
              <w:ind w:right="264"/>
              <w:jc w:val="right"/>
              <w:rPr>
                <w:sz w:val="24"/>
              </w:rPr>
            </w:pPr>
            <w:r>
              <w:rPr>
                <w:spacing w:val="-4"/>
                <w:sz w:val="24"/>
              </w:rPr>
              <w:t>1.07</w:t>
            </w:r>
          </w:p>
        </w:tc>
        <w:tc>
          <w:tcPr>
            <w:tcW w:w="2948" w:type="dxa"/>
            <w:tcBorders>
              <w:top w:val="single" w:sz="4" w:space="0" w:color="000000"/>
              <w:bottom w:val="single" w:sz="4" w:space="0" w:color="000000"/>
            </w:tcBorders>
          </w:tcPr>
          <w:p>
            <w:pPr>
              <w:pStyle w:val="TableParagraph"/>
              <w:spacing w:before="236"/>
              <w:ind w:left="189" w:right="4"/>
              <w:jc w:val="center"/>
              <w:rPr>
                <w:sz w:val="24"/>
              </w:rPr>
            </w:pPr>
            <w:r>
              <w:rPr>
                <w:spacing w:val="-2"/>
                <w:sz w:val="24"/>
              </w:rPr>
              <w:t>Agree</w:t>
            </w:r>
          </w:p>
        </w:tc>
      </w:tr>
      <w:tr>
        <w:trPr>
          <w:trHeight w:val="801" w:hRule="atLeast"/>
        </w:trPr>
        <w:tc>
          <w:tcPr>
            <w:tcW w:w="3707" w:type="dxa"/>
            <w:tcBorders>
              <w:top w:val="single" w:sz="4" w:space="0" w:color="000000"/>
              <w:bottom w:val="single" w:sz="4" w:space="0" w:color="000000"/>
            </w:tcBorders>
          </w:tcPr>
          <w:p>
            <w:pPr>
              <w:pStyle w:val="TableParagraph"/>
              <w:ind w:left="14" w:right="331"/>
              <w:rPr>
                <w:sz w:val="24"/>
              </w:rPr>
            </w:pPr>
            <w:r>
              <w:rPr>
                <w:sz w:val="24"/>
              </w:rPr>
              <w:t>Pr4:</w:t>
            </w:r>
            <w:r>
              <w:rPr>
                <w:spacing w:val="80"/>
                <w:sz w:val="24"/>
              </w:rPr>
              <w:t> </w:t>
            </w:r>
            <w:r>
              <w:rPr>
                <w:sz w:val="24"/>
              </w:rPr>
              <w:t>Compostable</w:t>
            </w:r>
            <w:r>
              <w:rPr>
                <w:spacing w:val="80"/>
                <w:sz w:val="24"/>
              </w:rPr>
              <w:t> </w:t>
            </w:r>
            <w:r>
              <w:rPr>
                <w:sz w:val="24"/>
              </w:rPr>
              <w:t>packaging</w:t>
            </w:r>
            <w:r>
              <w:rPr>
                <w:spacing w:val="80"/>
                <w:sz w:val="24"/>
              </w:rPr>
              <w:t> </w:t>
            </w:r>
            <w:r>
              <w:rPr>
                <w:sz w:val="24"/>
              </w:rPr>
              <w:t>is safe for hot food.</w:t>
            </w:r>
          </w:p>
        </w:tc>
        <w:tc>
          <w:tcPr>
            <w:tcW w:w="1477" w:type="dxa"/>
            <w:tcBorders>
              <w:top w:val="single" w:sz="4" w:space="0" w:color="000000"/>
              <w:bottom w:val="single" w:sz="4" w:space="0" w:color="000000"/>
            </w:tcBorders>
          </w:tcPr>
          <w:p>
            <w:pPr>
              <w:pStyle w:val="TableParagraph"/>
              <w:spacing w:before="258"/>
              <w:ind w:left="3" w:right="224"/>
              <w:jc w:val="center"/>
              <w:rPr>
                <w:sz w:val="24"/>
              </w:rPr>
            </w:pPr>
            <w:r>
              <w:rPr>
                <w:spacing w:val="-4"/>
                <w:sz w:val="24"/>
              </w:rPr>
              <w:t>2.60</w:t>
            </w:r>
          </w:p>
        </w:tc>
        <w:tc>
          <w:tcPr>
            <w:tcW w:w="1247" w:type="dxa"/>
            <w:tcBorders>
              <w:top w:val="single" w:sz="4" w:space="0" w:color="000000"/>
              <w:bottom w:val="single" w:sz="4" w:space="0" w:color="000000"/>
            </w:tcBorders>
          </w:tcPr>
          <w:p>
            <w:pPr>
              <w:pStyle w:val="TableParagraph"/>
              <w:spacing w:before="258"/>
              <w:ind w:right="264"/>
              <w:jc w:val="right"/>
              <w:rPr>
                <w:sz w:val="24"/>
              </w:rPr>
            </w:pPr>
            <w:r>
              <w:rPr>
                <w:spacing w:val="-4"/>
                <w:sz w:val="24"/>
              </w:rPr>
              <w:t>0.72</w:t>
            </w:r>
          </w:p>
        </w:tc>
        <w:tc>
          <w:tcPr>
            <w:tcW w:w="2948" w:type="dxa"/>
            <w:tcBorders>
              <w:top w:val="single" w:sz="4" w:space="0" w:color="000000"/>
              <w:bottom w:val="single" w:sz="4" w:space="0" w:color="000000"/>
            </w:tcBorders>
          </w:tcPr>
          <w:p>
            <w:pPr>
              <w:pStyle w:val="TableParagraph"/>
              <w:spacing w:before="237"/>
              <w:ind w:left="189" w:right="4"/>
              <w:jc w:val="center"/>
              <w:rPr>
                <w:sz w:val="24"/>
              </w:rPr>
            </w:pPr>
            <w:r>
              <w:rPr>
                <w:spacing w:val="-2"/>
                <w:sz w:val="24"/>
              </w:rPr>
              <w:t>Agree</w:t>
            </w:r>
          </w:p>
        </w:tc>
      </w:tr>
      <w:tr>
        <w:trPr>
          <w:trHeight w:val="827" w:hRule="atLeast"/>
        </w:trPr>
        <w:tc>
          <w:tcPr>
            <w:tcW w:w="3707" w:type="dxa"/>
            <w:tcBorders>
              <w:top w:val="single" w:sz="4" w:space="0" w:color="000000"/>
              <w:bottom w:val="single" w:sz="4" w:space="0" w:color="000000"/>
            </w:tcBorders>
          </w:tcPr>
          <w:p>
            <w:pPr>
              <w:pStyle w:val="TableParagraph"/>
              <w:spacing w:before="275"/>
              <w:ind w:left="14"/>
              <w:rPr>
                <w:b/>
                <w:i/>
                <w:sz w:val="24"/>
              </w:rPr>
            </w:pPr>
            <w:r>
              <w:rPr>
                <w:b/>
                <w:i/>
                <w:sz w:val="24"/>
              </w:rPr>
              <w:t>Practicality</w:t>
            </w:r>
            <w:r>
              <w:rPr>
                <w:b/>
                <w:i/>
                <w:spacing w:val="-1"/>
                <w:sz w:val="24"/>
              </w:rPr>
              <w:t> </w:t>
            </w:r>
            <w:r>
              <w:rPr>
                <w:b/>
                <w:i/>
                <w:sz w:val="24"/>
              </w:rPr>
              <w:t>–</w:t>
            </w:r>
            <w:r>
              <w:rPr>
                <w:b/>
                <w:i/>
                <w:spacing w:val="-1"/>
                <w:sz w:val="24"/>
              </w:rPr>
              <w:t> </w:t>
            </w:r>
            <w:r>
              <w:rPr>
                <w:b/>
                <w:i/>
                <w:spacing w:val="-2"/>
                <w:sz w:val="24"/>
              </w:rPr>
              <w:t>Total**</w:t>
            </w:r>
          </w:p>
        </w:tc>
        <w:tc>
          <w:tcPr>
            <w:tcW w:w="1477" w:type="dxa"/>
            <w:tcBorders>
              <w:top w:val="single" w:sz="4" w:space="0" w:color="000000"/>
              <w:bottom w:val="single" w:sz="4" w:space="0" w:color="000000"/>
            </w:tcBorders>
          </w:tcPr>
          <w:p>
            <w:pPr>
              <w:pStyle w:val="TableParagraph"/>
              <w:spacing w:before="275"/>
              <w:ind w:left="3" w:right="224"/>
              <w:jc w:val="center"/>
              <w:rPr>
                <w:b/>
                <w:sz w:val="24"/>
              </w:rPr>
            </w:pPr>
            <w:r>
              <w:rPr>
                <w:b/>
                <w:spacing w:val="-4"/>
                <w:sz w:val="24"/>
              </w:rPr>
              <w:t>2.99</w:t>
            </w:r>
          </w:p>
        </w:tc>
        <w:tc>
          <w:tcPr>
            <w:tcW w:w="1247" w:type="dxa"/>
            <w:tcBorders>
              <w:top w:val="single" w:sz="4" w:space="0" w:color="000000"/>
              <w:bottom w:val="single" w:sz="4" w:space="0" w:color="000000"/>
            </w:tcBorders>
          </w:tcPr>
          <w:p>
            <w:pPr>
              <w:pStyle w:val="TableParagraph"/>
              <w:spacing w:before="239"/>
              <w:ind w:right="264"/>
              <w:jc w:val="right"/>
              <w:rPr>
                <w:b/>
                <w:sz w:val="24"/>
              </w:rPr>
            </w:pPr>
            <w:r>
              <w:rPr>
                <w:b/>
                <w:spacing w:val="-4"/>
                <w:sz w:val="24"/>
              </w:rPr>
              <w:t>0.97</w:t>
            </w:r>
          </w:p>
        </w:tc>
        <w:tc>
          <w:tcPr>
            <w:tcW w:w="2948" w:type="dxa"/>
            <w:tcBorders>
              <w:top w:val="single" w:sz="4" w:space="0" w:color="000000"/>
              <w:bottom w:val="single" w:sz="4" w:space="0" w:color="000000"/>
            </w:tcBorders>
          </w:tcPr>
          <w:p>
            <w:pPr>
              <w:pStyle w:val="TableParagraph"/>
              <w:ind w:left="189"/>
              <w:jc w:val="center"/>
              <w:rPr>
                <w:sz w:val="24"/>
              </w:rPr>
            </w:pPr>
            <w:r>
              <w:rPr>
                <w:sz w:val="24"/>
              </w:rPr>
              <w:t>The</w:t>
            </w:r>
            <w:r>
              <w:rPr>
                <w:spacing w:val="-12"/>
                <w:sz w:val="24"/>
              </w:rPr>
              <w:t> </w:t>
            </w:r>
            <w:r>
              <w:rPr>
                <w:sz w:val="24"/>
              </w:rPr>
              <w:t>level</w:t>
            </w:r>
            <w:r>
              <w:rPr>
                <w:spacing w:val="-10"/>
                <w:sz w:val="24"/>
              </w:rPr>
              <w:t> </w:t>
            </w:r>
            <w:r>
              <w:rPr>
                <w:sz w:val="24"/>
              </w:rPr>
              <w:t>of</w:t>
            </w:r>
            <w:r>
              <w:rPr>
                <w:spacing w:val="-10"/>
                <w:sz w:val="24"/>
              </w:rPr>
              <w:t> </w:t>
            </w:r>
            <w:r>
              <w:rPr>
                <w:sz w:val="24"/>
              </w:rPr>
              <w:t>Operational</w:t>
            </w:r>
            <w:r>
              <w:rPr>
                <w:spacing w:val="-8"/>
                <w:sz w:val="24"/>
              </w:rPr>
              <w:t> </w:t>
            </w:r>
            <w:r>
              <w:rPr>
                <w:sz w:val="24"/>
              </w:rPr>
              <w:t>&amp; Environmental Benefits is</w:t>
            </w:r>
          </w:p>
          <w:p>
            <w:pPr>
              <w:pStyle w:val="TableParagraph"/>
              <w:spacing w:line="261" w:lineRule="exact"/>
              <w:ind w:left="189" w:right="5"/>
              <w:jc w:val="center"/>
              <w:rPr>
                <w:sz w:val="24"/>
              </w:rPr>
            </w:pPr>
            <w:r>
              <w:rPr>
                <w:b/>
                <w:sz w:val="24"/>
              </w:rPr>
              <w:t>Highly</w:t>
            </w:r>
            <w:r>
              <w:rPr>
                <w:b/>
                <w:spacing w:val="1"/>
                <w:sz w:val="24"/>
              </w:rPr>
              <w:t> </w:t>
            </w:r>
            <w:r>
              <w:rPr>
                <w:spacing w:val="-2"/>
                <w:sz w:val="24"/>
              </w:rPr>
              <w:t>Practical.</w:t>
            </w:r>
          </w:p>
        </w:tc>
      </w:tr>
    </w:tbl>
    <w:p>
      <w:pPr>
        <w:spacing w:before="0"/>
        <w:ind w:left="0" w:right="753" w:firstLine="0"/>
        <w:jc w:val="center"/>
        <w:rPr>
          <w:i/>
          <w:sz w:val="20"/>
        </w:rPr>
      </w:pPr>
      <w:r>
        <w:rPr>
          <w:i/>
          <w:sz w:val="20"/>
        </w:rPr>
        <w:t>*3.26-4.00</w:t>
      </w:r>
      <w:r>
        <w:rPr>
          <w:i/>
          <w:spacing w:val="-3"/>
          <w:sz w:val="20"/>
        </w:rPr>
        <w:t> </w:t>
      </w:r>
      <w:r>
        <w:rPr>
          <w:i/>
          <w:sz w:val="20"/>
        </w:rPr>
        <w:t>–</w:t>
      </w:r>
      <w:r>
        <w:rPr>
          <w:i/>
          <w:spacing w:val="-6"/>
          <w:sz w:val="20"/>
        </w:rPr>
        <w:t> </w:t>
      </w:r>
      <w:r>
        <w:rPr>
          <w:i/>
          <w:sz w:val="20"/>
        </w:rPr>
        <w:t>Strongly</w:t>
      </w:r>
      <w:r>
        <w:rPr>
          <w:i/>
          <w:spacing w:val="-5"/>
          <w:sz w:val="20"/>
        </w:rPr>
        <w:t> </w:t>
      </w:r>
      <w:r>
        <w:rPr>
          <w:i/>
          <w:sz w:val="20"/>
        </w:rPr>
        <w:t>Agree,</w:t>
      </w:r>
      <w:r>
        <w:rPr>
          <w:i/>
          <w:spacing w:val="-6"/>
          <w:sz w:val="20"/>
        </w:rPr>
        <w:t> </w:t>
      </w:r>
      <w:r>
        <w:rPr>
          <w:i/>
          <w:sz w:val="20"/>
        </w:rPr>
        <w:t>2.51-3.25</w:t>
      </w:r>
      <w:r>
        <w:rPr>
          <w:i/>
          <w:spacing w:val="-3"/>
          <w:sz w:val="20"/>
        </w:rPr>
        <w:t> </w:t>
      </w:r>
      <w:r>
        <w:rPr>
          <w:i/>
          <w:sz w:val="20"/>
        </w:rPr>
        <w:t>–</w:t>
      </w:r>
      <w:r>
        <w:rPr>
          <w:i/>
          <w:spacing w:val="-4"/>
          <w:sz w:val="20"/>
        </w:rPr>
        <w:t> </w:t>
      </w:r>
      <w:r>
        <w:rPr>
          <w:i/>
          <w:sz w:val="20"/>
        </w:rPr>
        <w:t>Agree,</w:t>
      </w:r>
      <w:r>
        <w:rPr>
          <w:i/>
          <w:spacing w:val="-5"/>
          <w:sz w:val="20"/>
        </w:rPr>
        <w:t> </w:t>
      </w:r>
      <w:r>
        <w:rPr>
          <w:i/>
          <w:sz w:val="20"/>
        </w:rPr>
        <w:t>1.76-2.50</w:t>
      </w:r>
      <w:r>
        <w:rPr>
          <w:i/>
          <w:spacing w:val="-5"/>
          <w:sz w:val="20"/>
        </w:rPr>
        <w:t> </w:t>
      </w:r>
      <w:r>
        <w:rPr>
          <w:i/>
          <w:sz w:val="20"/>
        </w:rPr>
        <w:t>–</w:t>
      </w:r>
      <w:r>
        <w:rPr>
          <w:i/>
          <w:spacing w:val="-4"/>
          <w:sz w:val="20"/>
        </w:rPr>
        <w:t> </w:t>
      </w:r>
      <w:r>
        <w:rPr>
          <w:i/>
          <w:sz w:val="20"/>
        </w:rPr>
        <w:t>Disagree,</w:t>
      </w:r>
      <w:r>
        <w:rPr>
          <w:i/>
          <w:spacing w:val="-5"/>
          <w:sz w:val="20"/>
        </w:rPr>
        <w:t> </w:t>
      </w:r>
      <w:r>
        <w:rPr>
          <w:i/>
          <w:sz w:val="20"/>
        </w:rPr>
        <w:t>1.00-1.75</w:t>
      </w:r>
      <w:r>
        <w:rPr>
          <w:i/>
          <w:spacing w:val="-3"/>
          <w:sz w:val="20"/>
        </w:rPr>
        <w:t> </w:t>
      </w:r>
      <w:r>
        <w:rPr>
          <w:i/>
          <w:sz w:val="20"/>
        </w:rPr>
        <w:t>–</w:t>
      </w:r>
      <w:r>
        <w:rPr>
          <w:i/>
          <w:spacing w:val="-5"/>
          <w:sz w:val="20"/>
        </w:rPr>
        <w:t> </w:t>
      </w:r>
      <w:r>
        <w:rPr>
          <w:i/>
          <w:sz w:val="20"/>
        </w:rPr>
        <w:t>Strongly</w:t>
      </w:r>
      <w:r>
        <w:rPr>
          <w:i/>
          <w:spacing w:val="-5"/>
          <w:sz w:val="20"/>
        </w:rPr>
        <w:t> </w:t>
      </w:r>
      <w:r>
        <w:rPr>
          <w:i/>
          <w:spacing w:val="-2"/>
          <w:sz w:val="20"/>
        </w:rPr>
        <w:t>Disagree</w:t>
      </w:r>
    </w:p>
    <w:p>
      <w:pPr>
        <w:spacing w:before="0"/>
        <w:ind w:left="5" w:right="754" w:firstLine="0"/>
        <w:jc w:val="center"/>
        <w:rPr>
          <w:i/>
          <w:sz w:val="20"/>
        </w:rPr>
      </w:pPr>
      <w:r>
        <w:rPr>
          <w:i/>
          <w:sz w:val="20"/>
        </w:rPr>
        <w:t>**3.26-4.00</w:t>
      </w:r>
      <w:r>
        <w:rPr>
          <w:i/>
          <w:spacing w:val="-5"/>
          <w:sz w:val="20"/>
        </w:rPr>
        <w:t> </w:t>
      </w:r>
      <w:r>
        <w:rPr>
          <w:i/>
          <w:sz w:val="20"/>
        </w:rPr>
        <w:t>–</w:t>
      </w:r>
      <w:r>
        <w:rPr>
          <w:i/>
          <w:spacing w:val="-3"/>
          <w:sz w:val="20"/>
        </w:rPr>
        <w:t> </w:t>
      </w:r>
      <w:r>
        <w:rPr>
          <w:i/>
          <w:sz w:val="20"/>
        </w:rPr>
        <w:t>Very</w:t>
      </w:r>
      <w:r>
        <w:rPr>
          <w:i/>
          <w:spacing w:val="-4"/>
          <w:sz w:val="20"/>
        </w:rPr>
        <w:t> </w:t>
      </w:r>
      <w:r>
        <w:rPr>
          <w:i/>
          <w:sz w:val="20"/>
        </w:rPr>
        <w:t>High,</w:t>
      </w:r>
      <w:r>
        <w:rPr>
          <w:i/>
          <w:spacing w:val="-6"/>
          <w:sz w:val="20"/>
        </w:rPr>
        <w:t> </w:t>
      </w:r>
      <w:r>
        <w:rPr>
          <w:i/>
          <w:sz w:val="20"/>
        </w:rPr>
        <w:t>2.51-3.25</w:t>
      </w:r>
      <w:r>
        <w:rPr>
          <w:i/>
          <w:spacing w:val="-5"/>
          <w:sz w:val="20"/>
        </w:rPr>
        <w:t> </w:t>
      </w:r>
      <w:r>
        <w:rPr>
          <w:i/>
          <w:sz w:val="20"/>
        </w:rPr>
        <w:t>–</w:t>
      </w:r>
      <w:r>
        <w:rPr>
          <w:i/>
          <w:spacing w:val="-3"/>
          <w:sz w:val="20"/>
        </w:rPr>
        <w:t> </w:t>
      </w:r>
      <w:r>
        <w:rPr>
          <w:i/>
          <w:sz w:val="20"/>
        </w:rPr>
        <w:t>High,</w:t>
      </w:r>
      <w:r>
        <w:rPr>
          <w:i/>
          <w:spacing w:val="-3"/>
          <w:sz w:val="20"/>
        </w:rPr>
        <w:t> </w:t>
      </w:r>
      <w:r>
        <w:rPr>
          <w:i/>
          <w:sz w:val="20"/>
        </w:rPr>
        <w:t>1.76-2.50</w:t>
      </w:r>
      <w:r>
        <w:rPr>
          <w:i/>
          <w:spacing w:val="-5"/>
          <w:sz w:val="20"/>
        </w:rPr>
        <w:t> </w:t>
      </w:r>
      <w:r>
        <w:rPr>
          <w:i/>
          <w:sz w:val="20"/>
        </w:rPr>
        <w:t>–</w:t>
      </w:r>
      <w:r>
        <w:rPr>
          <w:i/>
          <w:spacing w:val="-3"/>
          <w:sz w:val="20"/>
        </w:rPr>
        <w:t> </w:t>
      </w:r>
      <w:r>
        <w:rPr>
          <w:i/>
          <w:sz w:val="20"/>
        </w:rPr>
        <w:t>Low,</w:t>
      </w:r>
      <w:r>
        <w:rPr>
          <w:i/>
          <w:spacing w:val="-4"/>
          <w:sz w:val="20"/>
        </w:rPr>
        <w:t> </w:t>
      </w:r>
      <w:r>
        <w:rPr>
          <w:i/>
          <w:sz w:val="20"/>
        </w:rPr>
        <w:t>1.00-1.75</w:t>
      </w:r>
      <w:r>
        <w:rPr>
          <w:i/>
          <w:spacing w:val="-3"/>
          <w:sz w:val="20"/>
        </w:rPr>
        <w:t> </w:t>
      </w:r>
      <w:r>
        <w:rPr>
          <w:i/>
          <w:sz w:val="20"/>
        </w:rPr>
        <w:t>–</w:t>
      </w:r>
      <w:r>
        <w:rPr>
          <w:i/>
          <w:spacing w:val="-5"/>
          <w:sz w:val="20"/>
        </w:rPr>
        <w:t> </w:t>
      </w:r>
      <w:r>
        <w:rPr>
          <w:i/>
          <w:sz w:val="20"/>
        </w:rPr>
        <w:t>Very</w:t>
      </w:r>
      <w:r>
        <w:rPr>
          <w:i/>
          <w:spacing w:val="-4"/>
          <w:sz w:val="20"/>
        </w:rPr>
        <w:t> </w:t>
      </w:r>
      <w:r>
        <w:rPr>
          <w:i/>
          <w:spacing w:val="-5"/>
          <w:sz w:val="20"/>
        </w:rPr>
        <w:t>Low</w:t>
      </w:r>
    </w:p>
    <w:p>
      <w:pPr>
        <w:pStyle w:val="BodyText"/>
        <w:spacing w:before="8"/>
        <w:rPr>
          <w:i/>
          <w:sz w:val="20"/>
        </w:rPr>
      </w:pPr>
    </w:p>
    <w:p>
      <w:pPr>
        <w:pStyle w:val="BodyText"/>
        <w:spacing w:line="480" w:lineRule="auto"/>
        <w:ind w:left="326" w:right="1079" w:firstLine="720"/>
        <w:jc w:val="both"/>
      </w:pPr>
      <w:r>
        <w:rPr/>
        <w:t>In the table 3.3.1. the results revealed that compostable packaging is considered highly</w:t>
      </w:r>
      <w:r>
        <w:rPr>
          <w:spacing w:val="-5"/>
        </w:rPr>
        <w:t> </w:t>
      </w:r>
      <w:r>
        <w:rPr/>
        <w:t>practical (M</w:t>
      </w:r>
      <w:r>
        <w:rPr>
          <w:spacing w:val="-1"/>
        </w:rPr>
        <w:t> </w:t>
      </w:r>
      <w:r>
        <w:rPr/>
        <w:t>=</w:t>
      </w:r>
      <w:r>
        <w:rPr>
          <w:spacing w:val="-1"/>
        </w:rPr>
        <w:t> </w:t>
      </w:r>
      <w:r>
        <w:rPr/>
        <w:t>2.99,</w:t>
      </w:r>
      <w:r>
        <w:rPr>
          <w:spacing w:val="-1"/>
        </w:rPr>
        <w:t> </w:t>
      </w:r>
      <w:r>
        <w:rPr/>
        <w:t>SD</w:t>
      </w:r>
      <w:r>
        <w:rPr>
          <w:spacing w:val="-1"/>
        </w:rPr>
        <w:t> </w:t>
      </w:r>
      <w:r>
        <w:rPr/>
        <w:t>=</w:t>
      </w:r>
      <w:r>
        <w:rPr>
          <w:spacing w:val="-1"/>
        </w:rPr>
        <w:t> </w:t>
      </w:r>
      <w:r>
        <w:rPr/>
        <w:t>0.97). Canteen</w:t>
      </w:r>
      <w:r>
        <w:rPr>
          <w:spacing w:val="-1"/>
        </w:rPr>
        <w:t> </w:t>
      </w:r>
      <w:r>
        <w:rPr/>
        <w:t>staffs agreed</w:t>
      </w:r>
      <w:r>
        <w:rPr>
          <w:spacing w:val="-1"/>
        </w:rPr>
        <w:t> </w:t>
      </w:r>
      <w:r>
        <w:rPr/>
        <w:t>that</w:t>
      </w:r>
      <w:r>
        <w:rPr>
          <w:spacing w:val="-1"/>
        </w:rPr>
        <w:t> </w:t>
      </w:r>
      <w:r>
        <w:rPr/>
        <w:t>compostable</w:t>
      </w:r>
      <w:r>
        <w:rPr>
          <w:spacing w:val="-1"/>
        </w:rPr>
        <w:t> </w:t>
      </w:r>
      <w:r>
        <w:rPr/>
        <w:t>packaging is</w:t>
      </w:r>
      <w:r>
        <w:rPr>
          <w:spacing w:val="-8"/>
        </w:rPr>
        <w:t> </w:t>
      </w:r>
      <w:r>
        <w:rPr/>
        <w:t>strong</w:t>
      </w:r>
      <w:r>
        <w:rPr>
          <w:spacing w:val="-11"/>
        </w:rPr>
        <w:t> </w:t>
      </w:r>
      <w:r>
        <w:rPr/>
        <w:t>enough</w:t>
      </w:r>
      <w:r>
        <w:rPr>
          <w:spacing w:val="-6"/>
        </w:rPr>
        <w:t> </w:t>
      </w:r>
      <w:r>
        <w:rPr/>
        <w:t>and</w:t>
      </w:r>
      <w:r>
        <w:rPr>
          <w:spacing w:val="-8"/>
        </w:rPr>
        <w:t> </w:t>
      </w:r>
      <w:r>
        <w:rPr/>
        <w:t>safe</w:t>
      </w:r>
      <w:r>
        <w:rPr>
          <w:spacing w:val="-8"/>
        </w:rPr>
        <w:t> </w:t>
      </w:r>
      <w:r>
        <w:rPr/>
        <w:t>for</w:t>
      </w:r>
      <w:r>
        <w:rPr>
          <w:spacing w:val="-10"/>
        </w:rPr>
        <w:t> </w:t>
      </w:r>
      <w:r>
        <w:rPr/>
        <w:t>use,</w:t>
      </w:r>
      <w:r>
        <w:rPr>
          <w:spacing w:val="-8"/>
        </w:rPr>
        <w:t> </w:t>
      </w:r>
      <w:r>
        <w:rPr/>
        <w:t>though</w:t>
      </w:r>
      <w:r>
        <w:rPr>
          <w:spacing w:val="-8"/>
        </w:rPr>
        <w:t> </w:t>
      </w:r>
      <w:r>
        <w:rPr/>
        <w:t>some</w:t>
      </w:r>
      <w:r>
        <w:rPr>
          <w:spacing w:val="-9"/>
        </w:rPr>
        <w:t> </w:t>
      </w:r>
      <w:r>
        <w:rPr/>
        <w:t>concerns</w:t>
      </w:r>
      <w:r>
        <w:rPr>
          <w:spacing w:val="-9"/>
        </w:rPr>
        <w:t> </w:t>
      </w:r>
      <w:r>
        <w:rPr/>
        <w:t>were</w:t>
      </w:r>
      <w:r>
        <w:rPr>
          <w:spacing w:val="-10"/>
        </w:rPr>
        <w:t> </w:t>
      </w:r>
      <w:r>
        <w:rPr/>
        <w:t>raised</w:t>
      </w:r>
      <w:r>
        <w:rPr>
          <w:spacing w:val="-9"/>
        </w:rPr>
        <w:t> </w:t>
      </w:r>
      <w:r>
        <w:rPr/>
        <w:t>regarding</w:t>
      </w:r>
      <w:r>
        <w:rPr>
          <w:spacing w:val="-11"/>
        </w:rPr>
        <w:t> </w:t>
      </w:r>
      <w:r>
        <w:rPr/>
        <w:t>its</w:t>
      </w:r>
      <w:r>
        <w:rPr>
          <w:spacing w:val="-8"/>
        </w:rPr>
        <w:t> </w:t>
      </w:r>
      <w:r>
        <w:rPr/>
        <w:t>effect</w:t>
      </w:r>
      <w:r>
        <w:rPr>
          <w:spacing w:val="-8"/>
        </w:rPr>
        <w:t> </w:t>
      </w:r>
      <w:r>
        <w:rPr/>
        <w:t>on serving</w:t>
      </w:r>
      <w:r>
        <w:rPr>
          <w:spacing w:val="-13"/>
        </w:rPr>
        <w:t> </w:t>
      </w:r>
      <w:r>
        <w:rPr/>
        <w:t>speed.</w:t>
      </w:r>
      <w:r>
        <w:rPr>
          <w:spacing w:val="-11"/>
        </w:rPr>
        <w:t> </w:t>
      </w:r>
      <w:r>
        <w:rPr/>
        <w:t>These</w:t>
      </w:r>
      <w:r>
        <w:rPr>
          <w:spacing w:val="-11"/>
        </w:rPr>
        <w:t> </w:t>
      </w:r>
      <w:r>
        <w:rPr/>
        <w:t>findings</w:t>
      </w:r>
      <w:r>
        <w:rPr>
          <w:spacing w:val="-10"/>
        </w:rPr>
        <w:t> </w:t>
      </w:r>
      <w:r>
        <w:rPr/>
        <w:t>suggest</w:t>
      </w:r>
      <w:r>
        <w:rPr>
          <w:spacing w:val="-10"/>
        </w:rPr>
        <w:t> </w:t>
      </w:r>
      <w:r>
        <w:rPr/>
        <w:t>that</w:t>
      </w:r>
      <w:r>
        <w:rPr>
          <w:spacing w:val="-11"/>
        </w:rPr>
        <w:t> </w:t>
      </w:r>
      <w:r>
        <w:rPr/>
        <w:t>while</w:t>
      </w:r>
      <w:r>
        <w:rPr>
          <w:spacing w:val="-9"/>
        </w:rPr>
        <w:t> </w:t>
      </w:r>
      <w:r>
        <w:rPr/>
        <w:t>generally</w:t>
      </w:r>
      <w:r>
        <w:rPr>
          <w:spacing w:val="-15"/>
        </w:rPr>
        <w:t> </w:t>
      </w:r>
      <w:r>
        <w:rPr/>
        <w:t>practical,</w:t>
      </w:r>
      <w:r>
        <w:rPr>
          <w:spacing w:val="-10"/>
        </w:rPr>
        <w:t> </w:t>
      </w:r>
      <w:r>
        <w:rPr/>
        <w:t>workflow</w:t>
      </w:r>
      <w:r>
        <w:rPr>
          <w:spacing w:val="-11"/>
        </w:rPr>
        <w:t> </w:t>
      </w:r>
      <w:r>
        <w:rPr/>
        <w:t>adjustments may be needed to maintain service efficiency.</w:t>
      </w:r>
    </w:p>
    <w:p>
      <w:pPr>
        <w:pStyle w:val="BodyText"/>
        <w:spacing w:before="241"/>
        <w:ind w:left="326"/>
        <w:jc w:val="both"/>
      </w:pPr>
      <w:r>
        <w:rPr>
          <w:b/>
        </w:rPr>
        <w:t>Table</w:t>
      </w:r>
      <w:r>
        <w:rPr>
          <w:b/>
          <w:spacing w:val="-4"/>
        </w:rPr>
        <w:t> </w:t>
      </w:r>
      <w:r>
        <w:rPr>
          <w:b/>
        </w:rPr>
        <w:t>3.3.2.</w:t>
      </w:r>
      <w:r>
        <w:rPr>
          <w:b/>
          <w:spacing w:val="1"/>
        </w:rPr>
        <w:t> </w:t>
      </w:r>
      <w:r>
        <w:rPr/>
        <w:t>Level</w:t>
      </w:r>
      <w:r>
        <w:rPr>
          <w:spacing w:val="-1"/>
        </w:rPr>
        <w:t> </w:t>
      </w:r>
      <w:r>
        <w:rPr/>
        <w:t>of Operational</w:t>
      </w:r>
      <w:r>
        <w:rPr>
          <w:spacing w:val="1"/>
        </w:rPr>
        <w:t> </w:t>
      </w:r>
      <w:r>
        <w:rPr/>
        <w:t>&amp;</w:t>
      </w:r>
      <w:r>
        <w:rPr>
          <w:spacing w:val="-3"/>
        </w:rPr>
        <w:t> </w:t>
      </w:r>
      <w:r>
        <w:rPr/>
        <w:t>Environmental</w:t>
      </w:r>
      <w:r>
        <w:rPr>
          <w:spacing w:val="-2"/>
        </w:rPr>
        <w:t> </w:t>
      </w:r>
      <w:r>
        <w:rPr/>
        <w:t>Benefits</w:t>
      </w:r>
      <w:r>
        <w:rPr>
          <w:spacing w:val="1"/>
        </w:rPr>
        <w:t> </w:t>
      </w:r>
      <w:r>
        <w:rPr/>
        <w:t>-</w:t>
      </w:r>
      <w:r>
        <w:rPr>
          <w:spacing w:val="-2"/>
        </w:rPr>
        <w:t> </w:t>
      </w:r>
      <w:r>
        <w:rPr/>
        <w:t>Waste</w:t>
      </w:r>
      <w:r>
        <w:rPr>
          <w:spacing w:val="-2"/>
        </w:rPr>
        <w:t> Segregation</w:t>
      </w:r>
    </w:p>
    <w:p>
      <w:pPr>
        <w:pStyle w:val="BodyText"/>
        <w:spacing w:before="4"/>
        <w:rPr>
          <w:sz w:val="12"/>
        </w:rPr>
      </w:pPr>
    </w:p>
    <w:tbl>
      <w:tblPr>
        <w:tblW w:w="0" w:type="auto"/>
        <w:jc w:val="left"/>
        <w:tblInd w:w="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07"/>
        <w:gridCol w:w="1478"/>
        <w:gridCol w:w="1208"/>
        <w:gridCol w:w="2989"/>
      </w:tblGrid>
      <w:tr>
        <w:trPr>
          <w:trHeight w:val="345" w:hRule="atLeast"/>
        </w:trPr>
        <w:tc>
          <w:tcPr>
            <w:tcW w:w="3707" w:type="dxa"/>
            <w:tcBorders>
              <w:top w:val="single" w:sz="6" w:space="0" w:color="000000"/>
              <w:bottom w:val="single" w:sz="6" w:space="0" w:color="000000"/>
            </w:tcBorders>
          </w:tcPr>
          <w:p>
            <w:pPr>
              <w:pStyle w:val="TableParagraph"/>
              <w:spacing w:before="1"/>
              <w:ind w:left="81"/>
              <w:rPr>
                <w:b/>
                <w:i/>
                <w:sz w:val="24"/>
              </w:rPr>
            </w:pPr>
            <w:r>
              <w:rPr>
                <w:b/>
                <w:i/>
                <w:sz w:val="24"/>
              </w:rPr>
              <w:t>Item </w:t>
            </w:r>
            <w:r>
              <w:rPr>
                <w:b/>
                <w:i/>
                <w:spacing w:val="-2"/>
                <w:sz w:val="24"/>
              </w:rPr>
              <w:t>Statements</w:t>
            </w:r>
          </w:p>
        </w:tc>
        <w:tc>
          <w:tcPr>
            <w:tcW w:w="1478" w:type="dxa"/>
            <w:tcBorders>
              <w:top w:val="single" w:sz="6" w:space="0" w:color="000000"/>
              <w:bottom w:val="single" w:sz="6" w:space="0" w:color="000000"/>
            </w:tcBorders>
          </w:tcPr>
          <w:p>
            <w:pPr>
              <w:pStyle w:val="TableParagraph"/>
              <w:spacing w:before="1"/>
              <w:ind w:right="225"/>
              <w:jc w:val="center"/>
              <w:rPr>
                <w:b/>
                <w:sz w:val="24"/>
              </w:rPr>
            </w:pPr>
            <w:r>
              <w:rPr>
                <w:b/>
                <w:spacing w:val="-4"/>
                <w:sz w:val="24"/>
              </w:rPr>
              <w:t>Mean</w:t>
            </w:r>
          </w:p>
        </w:tc>
        <w:tc>
          <w:tcPr>
            <w:tcW w:w="1208" w:type="dxa"/>
            <w:tcBorders>
              <w:top w:val="single" w:sz="6" w:space="0" w:color="000000"/>
              <w:bottom w:val="single" w:sz="6" w:space="0" w:color="000000"/>
            </w:tcBorders>
          </w:tcPr>
          <w:p>
            <w:pPr>
              <w:pStyle w:val="TableParagraph"/>
              <w:spacing w:before="1"/>
              <w:ind w:right="282"/>
              <w:jc w:val="right"/>
              <w:rPr>
                <w:b/>
                <w:sz w:val="24"/>
              </w:rPr>
            </w:pPr>
            <w:r>
              <w:rPr>
                <w:b/>
                <w:spacing w:val="-5"/>
                <w:sz w:val="24"/>
              </w:rPr>
              <w:t>SD</w:t>
            </w:r>
          </w:p>
        </w:tc>
        <w:tc>
          <w:tcPr>
            <w:tcW w:w="2989" w:type="dxa"/>
            <w:tcBorders>
              <w:top w:val="single" w:sz="6" w:space="0" w:color="000000"/>
              <w:bottom w:val="single" w:sz="6" w:space="0" w:color="000000"/>
            </w:tcBorders>
          </w:tcPr>
          <w:p>
            <w:pPr>
              <w:pStyle w:val="TableParagraph"/>
              <w:spacing w:before="1"/>
              <w:ind w:left="220" w:right="3"/>
              <w:jc w:val="center"/>
              <w:rPr>
                <w:b/>
                <w:sz w:val="24"/>
              </w:rPr>
            </w:pPr>
            <w:r>
              <w:rPr>
                <w:b/>
                <w:sz w:val="24"/>
              </w:rPr>
              <w:t>Descriptive</w:t>
            </w:r>
            <w:r>
              <w:rPr>
                <w:b/>
                <w:spacing w:val="-7"/>
                <w:sz w:val="24"/>
              </w:rPr>
              <w:t> </w:t>
            </w:r>
            <w:r>
              <w:rPr>
                <w:b/>
                <w:spacing w:val="-4"/>
                <w:sz w:val="24"/>
              </w:rPr>
              <w:t>Level</w:t>
            </w:r>
          </w:p>
        </w:tc>
      </w:tr>
      <w:tr>
        <w:trPr>
          <w:trHeight w:val="828" w:hRule="atLeast"/>
        </w:trPr>
        <w:tc>
          <w:tcPr>
            <w:tcW w:w="3707" w:type="dxa"/>
            <w:tcBorders>
              <w:top w:val="single" w:sz="6" w:space="0" w:color="000000"/>
              <w:bottom w:val="single" w:sz="4" w:space="0" w:color="000000"/>
            </w:tcBorders>
          </w:tcPr>
          <w:p>
            <w:pPr>
              <w:pStyle w:val="TableParagraph"/>
              <w:tabs>
                <w:tab w:pos="842" w:val="left" w:leader="none"/>
                <w:tab w:pos="2387" w:val="left" w:leader="none"/>
              </w:tabs>
              <w:ind w:left="14" w:right="332"/>
              <w:rPr>
                <w:sz w:val="24"/>
              </w:rPr>
            </w:pPr>
            <w:r>
              <w:rPr>
                <w:spacing w:val="-4"/>
                <w:sz w:val="24"/>
              </w:rPr>
              <w:t>WS1:</w:t>
            </w:r>
            <w:r>
              <w:rPr>
                <w:sz w:val="24"/>
              </w:rPr>
              <w:tab/>
            </w:r>
            <w:r>
              <w:rPr>
                <w:spacing w:val="-2"/>
                <w:sz w:val="24"/>
              </w:rPr>
              <w:t>Compostable</w:t>
            </w:r>
            <w:r>
              <w:rPr>
                <w:sz w:val="24"/>
              </w:rPr>
              <w:tab/>
            </w:r>
            <w:r>
              <w:rPr>
                <w:spacing w:val="-2"/>
                <w:sz w:val="24"/>
              </w:rPr>
              <w:t>packaging </w:t>
            </w:r>
            <w:r>
              <w:rPr>
                <w:sz w:val="24"/>
              </w:rPr>
              <w:t>reduces</w:t>
            </w:r>
            <w:r>
              <w:rPr>
                <w:spacing w:val="59"/>
                <w:sz w:val="24"/>
              </w:rPr>
              <w:t> </w:t>
            </w:r>
            <w:r>
              <w:rPr>
                <w:sz w:val="24"/>
              </w:rPr>
              <w:t>visible</w:t>
            </w:r>
            <w:r>
              <w:rPr>
                <w:spacing w:val="58"/>
                <w:sz w:val="24"/>
              </w:rPr>
              <w:t> </w:t>
            </w:r>
            <w:r>
              <w:rPr>
                <w:sz w:val="24"/>
              </w:rPr>
              <w:t>waste</w:t>
            </w:r>
            <w:r>
              <w:rPr>
                <w:spacing w:val="58"/>
                <w:sz w:val="24"/>
              </w:rPr>
              <w:t> </w:t>
            </w:r>
            <w:r>
              <w:rPr>
                <w:sz w:val="24"/>
              </w:rPr>
              <w:t>around</w:t>
            </w:r>
            <w:r>
              <w:rPr>
                <w:spacing w:val="59"/>
                <w:sz w:val="24"/>
              </w:rPr>
              <w:t> </w:t>
            </w:r>
            <w:r>
              <w:rPr>
                <w:spacing w:val="-5"/>
                <w:sz w:val="24"/>
              </w:rPr>
              <w:t>the</w:t>
            </w:r>
          </w:p>
          <w:p>
            <w:pPr>
              <w:pStyle w:val="TableParagraph"/>
              <w:spacing w:line="261" w:lineRule="exact"/>
              <w:ind w:left="14"/>
              <w:rPr>
                <w:sz w:val="24"/>
              </w:rPr>
            </w:pPr>
            <w:r>
              <w:rPr>
                <w:spacing w:val="-2"/>
                <w:sz w:val="24"/>
              </w:rPr>
              <w:t>canteen.</w:t>
            </w:r>
          </w:p>
        </w:tc>
        <w:tc>
          <w:tcPr>
            <w:tcW w:w="1478" w:type="dxa"/>
            <w:tcBorders>
              <w:top w:val="single" w:sz="6" w:space="0" w:color="000000"/>
              <w:bottom w:val="single" w:sz="4" w:space="0" w:color="000000"/>
            </w:tcBorders>
          </w:tcPr>
          <w:p>
            <w:pPr>
              <w:pStyle w:val="TableParagraph"/>
              <w:spacing w:before="253"/>
              <w:ind w:left="3" w:right="225"/>
              <w:jc w:val="center"/>
              <w:rPr>
                <w:sz w:val="24"/>
              </w:rPr>
            </w:pPr>
            <w:r>
              <w:rPr>
                <w:spacing w:val="-4"/>
                <w:sz w:val="24"/>
              </w:rPr>
              <w:t>2.60</w:t>
            </w:r>
          </w:p>
        </w:tc>
        <w:tc>
          <w:tcPr>
            <w:tcW w:w="1208" w:type="dxa"/>
            <w:tcBorders>
              <w:top w:val="single" w:sz="6" w:space="0" w:color="000000"/>
              <w:bottom w:val="single" w:sz="4" w:space="0" w:color="000000"/>
            </w:tcBorders>
          </w:tcPr>
          <w:p>
            <w:pPr>
              <w:pStyle w:val="TableParagraph"/>
              <w:spacing w:before="270"/>
              <w:ind w:right="226"/>
              <w:jc w:val="right"/>
              <w:rPr>
                <w:sz w:val="24"/>
              </w:rPr>
            </w:pPr>
            <w:r>
              <w:rPr>
                <w:spacing w:val="-4"/>
                <w:sz w:val="24"/>
              </w:rPr>
              <w:t>0.86</w:t>
            </w:r>
          </w:p>
        </w:tc>
        <w:tc>
          <w:tcPr>
            <w:tcW w:w="2989" w:type="dxa"/>
            <w:tcBorders>
              <w:top w:val="single" w:sz="6" w:space="0" w:color="000000"/>
              <w:bottom w:val="single" w:sz="4" w:space="0" w:color="000000"/>
            </w:tcBorders>
          </w:tcPr>
          <w:p>
            <w:pPr>
              <w:pStyle w:val="TableParagraph"/>
              <w:spacing w:before="234"/>
              <w:ind w:left="220"/>
              <w:jc w:val="center"/>
              <w:rPr>
                <w:sz w:val="24"/>
              </w:rPr>
            </w:pPr>
            <w:r>
              <w:rPr>
                <w:spacing w:val="-2"/>
                <w:sz w:val="24"/>
              </w:rPr>
              <w:t>Agree</w:t>
            </w:r>
          </w:p>
        </w:tc>
      </w:tr>
      <w:tr>
        <w:trPr>
          <w:trHeight w:val="827" w:hRule="atLeast"/>
        </w:trPr>
        <w:tc>
          <w:tcPr>
            <w:tcW w:w="3707" w:type="dxa"/>
            <w:tcBorders>
              <w:top w:val="single" w:sz="4" w:space="0" w:color="000000"/>
              <w:bottom w:val="single" w:sz="4" w:space="0" w:color="000000"/>
            </w:tcBorders>
          </w:tcPr>
          <w:p>
            <w:pPr>
              <w:pStyle w:val="TableParagraph"/>
              <w:ind w:left="14"/>
              <w:rPr>
                <w:sz w:val="24"/>
              </w:rPr>
            </w:pPr>
            <w:r>
              <w:rPr>
                <w:sz w:val="24"/>
              </w:rPr>
              <w:t>WS2:</w:t>
            </w:r>
            <w:r>
              <w:rPr>
                <w:spacing w:val="40"/>
                <w:sz w:val="24"/>
              </w:rPr>
              <w:t> </w:t>
            </w:r>
            <w:r>
              <w:rPr>
                <w:sz w:val="24"/>
              </w:rPr>
              <w:t>Switching</w:t>
            </w:r>
            <w:r>
              <w:rPr>
                <w:spacing w:val="40"/>
                <w:sz w:val="24"/>
              </w:rPr>
              <w:t> </w:t>
            </w:r>
            <w:r>
              <w:rPr>
                <w:sz w:val="24"/>
              </w:rPr>
              <w:t>to</w:t>
            </w:r>
            <w:r>
              <w:rPr>
                <w:spacing w:val="40"/>
                <w:sz w:val="24"/>
              </w:rPr>
              <w:t> </w:t>
            </w:r>
            <w:r>
              <w:rPr>
                <w:sz w:val="24"/>
              </w:rPr>
              <w:t>compostable packaging</w:t>
            </w:r>
            <w:r>
              <w:rPr>
                <w:spacing w:val="67"/>
                <w:w w:val="150"/>
                <w:sz w:val="24"/>
              </w:rPr>
              <w:t> </w:t>
            </w:r>
            <w:r>
              <w:rPr>
                <w:sz w:val="24"/>
              </w:rPr>
              <w:t>encourages</w:t>
            </w:r>
            <w:r>
              <w:rPr>
                <w:spacing w:val="69"/>
                <w:w w:val="150"/>
                <w:sz w:val="24"/>
              </w:rPr>
              <w:t> </w:t>
            </w:r>
            <w:r>
              <w:rPr>
                <w:spacing w:val="-2"/>
                <w:sz w:val="24"/>
              </w:rPr>
              <w:t>customers</w:t>
            </w:r>
          </w:p>
          <w:p>
            <w:pPr>
              <w:pStyle w:val="TableParagraph"/>
              <w:spacing w:line="261" w:lineRule="exact"/>
              <w:ind w:left="14"/>
              <w:rPr>
                <w:sz w:val="24"/>
              </w:rPr>
            </w:pPr>
            <w:r>
              <w:rPr>
                <w:sz w:val="24"/>
              </w:rPr>
              <w:t>to dispose </w:t>
            </w:r>
            <w:r>
              <w:rPr>
                <w:spacing w:val="-2"/>
                <w:sz w:val="24"/>
              </w:rPr>
              <w:t>properly.</w:t>
            </w:r>
          </w:p>
        </w:tc>
        <w:tc>
          <w:tcPr>
            <w:tcW w:w="1478" w:type="dxa"/>
            <w:tcBorders>
              <w:top w:val="single" w:sz="4" w:space="0" w:color="000000"/>
              <w:bottom w:val="single" w:sz="4" w:space="0" w:color="000000"/>
            </w:tcBorders>
          </w:tcPr>
          <w:p>
            <w:pPr>
              <w:pStyle w:val="TableParagraph"/>
              <w:spacing w:before="270"/>
              <w:ind w:left="3" w:right="225"/>
              <w:jc w:val="center"/>
              <w:rPr>
                <w:sz w:val="24"/>
              </w:rPr>
            </w:pPr>
            <w:r>
              <w:rPr>
                <w:spacing w:val="-4"/>
                <w:sz w:val="24"/>
              </w:rPr>
              <w:t>3.27</w:t>
            </w:r>
          </w:p>
        </w:tc>
        <w:tc>
          <w:tcPr>
            <w:tcW w:w="1208" w:type="dxa"/>
            <w:tcBorders>
              <w:top w:val="single" w:sz="4" w:space="0" w:color="000000"/>
              <w:bottom w:val="single" w:sz="4" w:space="0" w:color="000000"/>
            </w:tcBorders>
          </w:tcPr>
          <w:p>
            <w:pPr>
              <w:pStyle w:val="TableParagraph"/>
              <w:spacing w:before="270"/>
              <w:ind w:right="226"/>
              <w:jc w:val="right"/>
              <w:rPr>
                <w:sz w:val="24"/>
              </w:rPr>
            </w:pPr>
            <w:r>
              <w:rPr>
                <w:spacing w:val="-4"/>
                <w:sz w:val="24"/>
              </w:rPr>
              <w:t>1.05</w:t>
            </w:r>
          </w:p>
        </w:tc>
        <w:tc>
          <w:tcPr>
            <w:tcW w:w="2989" w:type="dxa"/>
            <w:tcBorders>
              <w:top w:val="single" w:sz="4" w:space="0" w:color="000000"/>
              <w:bottom w:val="single" w:sz="4" w:space="0" w:color="000000"/>
            </w:tcBorders>
          </w:tcPr>
          <w:p>
            <w:pPr>
              <w:pStyle w:val="TableParagraph"/>
              <w:spacing w:before="234"/>
              <w:ind w:left="220" w:right="1"/>
              <w:jc w:val="center"/>
              <w:rPr>
                <w:sz w:val="24"/>
              </w:rPr>
            </w:pPr>
            <w:r>
              <w:rPr>
                <w:sz w:val="24"/>
              </w:rPr>
              <w:t>Strongly</w:t>
            </w:r>
            <w:r>
              <w:rPr>
                <w:spacing w:val="-3"/>
                <w:sz w:val="24"/>
              </w:rPr>
              <w:t> </w:t>
            </w:r>
            <w:r>
              <w:rPr>
                <w:spacing w:val="-2"/>
                <w:sz w:val="24"/>
              </w:rPr>
              <w:t>Agree</w:t>
            </w:r>
          </w:p>
        </w:tc>
      </w:tr>
      <w:tr>
        <w:trPr>
          <w:trHeight w:val="830" w:hRule="atLeast"/>
        </w:trPr>
        <w:tc>
          <w:tcPr>
            <w:tcW w:w="3707" w:type="dxa"/>
            <w:tcBorders>
              <w:top w:val="single" w:sz="4" w:space="0" w:color="000000"/>
              <w:bottom w:val="single" w:sz="4" w:space="0" w:color="000000"/>
            </w:tcBorders>
          </w:tcPr>
          <w:p>
            <w:pPr>
              <w:pStyle w:val="TableParagraph"/>
              <w:spacing w:before="239"/>
              <w:ind w:left="14"/>
              <w:rPr>
                <w:b/>
                <w:i/>
                <w:sz w:val="24"/>
              </w:rPr>
            </w:pPr>
            <w:r>
              <w:rPr>
                <w:b/>
                <w:i/>
                <w:sz w:val="24"/>
              </w:rPr>
              <w:t>Waste</w:t>
            </w:r>
            <w:r>
              <w:rPr>
                <w:b/>
                <w:i/>
                <w:spacing w:val="-2"/>
                <w:sz w:val="24"/>
              </w:rPr>
              <w:t> </w:t>
            </w:r>
            <w:r>
              <w:rPr>
                <w:b/>
                <w:i/>
                <w:sz w:val="24"/>
              </w:rPr>
              <w:t>Segregation</w:t>
            </w:r>
            <w:r>
              <w:rPr>
                <w:b/>
                <w:i/>
                <w:spacing w:val="1"/>
                <w:sz w:val="24"/>
              </w:rPr>
              <w:t> </w:t>
            </w:r>
            <w:r>
              <w:rPr>
                <w:b/>
                <w:i/>
                <w:sz w:val="24"/>
              </w:rPr>
              <w:t>– </w:t>
            </w:r>
            <w:r>
              <w:rPr>
                <w:b/>
                <w:i/>
                <w:spacing w:val="-2"/>
                <w:sz w:val="24"/>
              </w:rPr>
              <w:t>Total**</w:t>
            </w:r>
          </w:p>
        </w:tc>
        <w:tc>
          <w:tcPr>
            <w:tcW w:w="1478" w:type="dxa"/>
            <w:tcBorders>
              <w:top w:val="single" w:sz="4" w:space="0" w:color="000000"/>
              <w:bottom w:val="single" w:sz="4" w:space="0" w:color="000000"/>
            </w:tcBorders>
          </w:tcPr>
          <w:p>
            <w:pPr>
              <w:pStyle w:val="TableParagraph"/>
              <w:spacing w:before="258"/>
              <w:ind w:left="3" w:right="225"/>
              <w:jc w:val="center"/>
              <w:rPr>
                <w:b/>
                <w:sz w:val="24"/>
              </w:rPr>
            </w:pPr>
            <w:r>
              <w:rPr>
                <w:b/>
                <w:spacing w:val="-4"/>
                <w:sz w:val="24"/>
              </w:rPr>
              <w:t>2.93</w:t>
            </w:r>
          </w:p>
        </w:tc>
        <w:tc>
          <w:tcPr>
            <w:tcW w:w="1208" w:type="dxa"/>
            <w:tcBorders>
              <w:top w:val="single" w:sz="4" w:space="0" w:color="000000"/>
              <w:bottom w:val="single" w:sz="4" w:space="0" w:color="000000"/>
            </w:tcBorders>
          </w:tcPr>
          <w:p>
            <w:pPr>
              <w:pStyle w:val="TableParagraph"/>
              <w:spacing w:before="239"/>
              <w:ind w:right="226"/>
              <w:jc w:val="right"/>
              <w:rPr>
                <w:b/>
                <w:sz w:val="24"/>
              </w:rPr>
            </w:pPr>
            <w:r>
              <w:rPr>
                <w:b/>
                <w:spacing w:val="-4"/>
                <w:sz w:val="24"/>
              </w:rPr>
              <w:t>0.96</w:t>
            </w:r>
          </w:p>
        </w:tc>
        <w:tc>
          <w:tcPr>
            <w:tcW w:w="2989" w:type="dxa"/>
            <w:tcBorders>
              <w:top w:val="single" w:sz="4" w:space="0" w:color="000000"/>
              <w:bottom w:val="single" w:sz="4" w:space="0" w:color="000000"/>
            </w:tcBorders>
          </w:tcPr>
          <w:p>
            <w:pPr>
              <w:pStyle w:val="TableParagraph"/>
              <w:spacing w:line="270" w:lineRule="exact"/>
              <w:ind w:left="356" w:hanging="111"/>
              <w:rPr>
                <w:sz w:val="24"/>
              </w:rPr>
            </w:pPr>
            <w:r>
              <w:rPr>
                <w:sz w:val="24"/>
              </w:rPr>
              <w:t>Waste</w:t>
            </w:r>
            <w:r>
              <w:rPr>
                <w:spacing w:val="-3"/>
                <w:sz w:val="24"/>
              </w:rPr>
              <w:t> </w:t>
            </w:r>
            <w:r>
              <w:rPr>
                <w:sz w:val="24"/>
              </w:rPr>
              <w:t>Segregation</w:t>
            </w:r>
            <w:r>
              <w:rPr>
                <w:spacing w:val="-2"/>
                <w:sz w:val="24"/>
              </w:rPr>
              <w:t> practices</w:t>
            </w:r>
          </w:p>
          <w:p>
            <w:pPr>
              <w:pStyle w:val="TableParagraph"/>
              <w:spacing w:line="270" w:lineRule="atLeast"/>
              <w:ind w:left="227" w:firstLine="129"/>
              <w:rPr>
                <w:sz w:val="24"/>
              </w:rPr>
            </w:pPr>
            <w:r>
              <w:rPr>
                <w:sz w:val="24"/>
              </w:rPr>
              <w:t>provide </w:t>
            </w:r>
            <w:r>
              <w:rPr>
                <w:b/>
                <w:sz w:val="24"/>
              </w:rPr>
              <w:t>High </w:t>
            </w:r>
            <w:r>
              <w:rPr>
                <w:sz w:val="24"/>
              </w:rPr>
              <w:t>Operational and</w:t>
            </w:r>
            <w:r>
              <w:rPr>
                <w:spacing w:val="-1"/>
                <w:sz w:val="24"/>
              </w:rPr>
              <w:t> </w:t>
            </w:r>
            <w:r>
              <w:rPr>
                <w:sz w:val="24"/>
              </w:rPr>
              <w:t>Environmental</w:t>
            </w:r>
            <w:r>
              <w:rPr>
                <w:spacing w:val="-1"/>
                <w:sz w:val="24"/>
              </w:rPr>
              <w:t> </w:t>
            </w:r>
            <w:r>
              <w:rPr>
                <w:spacing w:val="-2"/>
                <w:sz w:val="24"/>
              </w:rPr>
              <w:t>Benefits.</w:t>
            </w:r>
          </w:p>
        </w:tc>
      </w:tr>
    </w:tbl>
    <w:p>
      <w:pPr>
        <w:spacing w:before="0"/>
        <w:ind w:left="0" w:right="753" w:firstLine="0"/>
        <w:jc w:val="center"/>
        <w:rPr>
          <w:i/>
          <w:sz w:val="20"/>
        </w:rPr>
      </w:pPr>
      <w:r>
        <w:rPr>
          <w:i/>
          <w:sz w:val="20"/>
        </w:rPr>
        <w:t>*3.26-4.00</w:t>
      </w:r>
      <w:r>
        <w:rPr>
          <w:i/>
          <w:spacing w:val="-3"/>
          <w:sz w:val="20"/>
        </w:rPr>
        <w:t> </w:t>
      </w:r>
      <w:r>
        <w:rPr>
          <w:i/>
          <w:sz w:val="20"/>
        </w:rPr>
        <w:t>–</w:t>
      </w:r>
      <w:r>
        <w:rPr>
          <w:i/>
          <w:spacing w:val="-6"/>
          <w:sz w:val="20"/>
        </w:rPr>
        <w:t> </w:t>
      </w:r>
      <w:r>
        <w:rPr>
          <w:i/>
          <w:sz w:val="20"/>
        </w:rPr>
        <w:t>Strongly</w:t>
      </w:r>
      <w:r>
        <w:rPr>
          <w:i/>
          <w:spacing w:val="-5"/>
          <w:sz w:val="20"/>
        </w:rPr>
        <w:t> </w:t>
      </w:r>
      <w:r>
        <w:rPr>
          <w:i/>
          <w:sz w:val="20"/>
        </w:rPr>
        <w:t>Agree,</w:t>
      </w:r>
      <w:r>
        <w:rPr>
          <w:i/>
          <w:spacing w:val="-6"/>
          <w:sz w:val="20"/>
        </w:rPr>
        <w:t> </w:t>
      </w:r>
      <w:r>
        <w:rPr>
          <w:i/>
          <w:sz w:val="20"/>
        </w:rPr>
        <w:t>2.51-3.25</w:t>
      </w:r>
      <w:r>
        <w:rPr>
          <w:i/>
          <w:spacing w:val="-3"/>
          <w:sz w:val="20"/>
        </w:rPr>
        <w:t> </w:t>
      </w:r>
      <w:r>
        <w:rPr>
          <w:i/>
          <w:sz w:val="20"/>
        </w:rPr>
        <w:t>–</w:t>
      </w:r>
      <w:r>
        <w:rPr>
          <w:i/>
          <w:spacing w:val="-4"/>
          <w:sz w:val="20"/>
        </w:rPr>
        <w:t> </w:t>
      </w:r>
      <w:r>
        <w:rPr>
          <w:i/>
          <w:sz w:val="20"/>
        </w:rPr>
        <w:t>Agree,</w:t>
      </w:r>
      <w:r>
        <w:rPr>
          <w:i/>
          <w:spacing w:val="-5"/>
          <w:sz w:val="20"/>
        </w:rPr>
        <w:t> </w:t>
      </w:r>
      <w:r>
        <w:rPr>
          <w:i/>
          <w:sz w:val="20"/>
        </w:rPr>
        <w:t>1.76-2.50</w:t>
      </w:r>
      <w:r>
        <w:rPr>
          <w:i/>
          <w:spacing w:val="-5"/>
          <w:sz w:val="20"/>
        </w:rPr>
        <w:t> </w:t>
      </w:r>
      <w:r>
        <w:rPr>
          <w:i/>
          <w:sz w:val="20"/>
        </w:rPr>
        <w:t>–</w:t>
      </w:r>
      <w:r>
        <w:rPr>
          <w:i/>
          <w:spacing w:val="-4"/>
          <w:sz w:val="20"/>
        </w:rPr>
        <w:t> </w:t>
      </w:r>
      <w:r>
        <w:rPr>
          <w:i/>
          <w:sz w:val="20"/>
        </w:rPr>
        <w:t>Disagree,</w:t>
      </w:r>
      <w:r>
        <w:rPr>
          <w:i/>
          <w:spacing w:val="-5"/>
          <w:sz w:val="20"/>
        </w:rPr>
        <w:t> </w:t>
      </w:r>
      <w:r>
        <w:rPr>
          <w:i/>
          <w:sz w:val="20"/>
        </w:rPr>
        <w:t>1.00-1.75</w:t>
      </w:r>
      <w:r>
        <w:rPr>
          <w:i/>
          <w:spacing w:val="-3"/>
          <w:sz w:val="20"/>
        </w:rPr>
        <w:t> </w:t>
      </w:r>
      <w:r>
        <w:rPr>
          <w:i/>
          <w:sz w:val="20"/>
        </w:rPr>
        <w:t>–</w:t>
      </w:r>
      <w:r>
        <w:rPr>
          <w:i/>
          <w:spacing w:val="-5"/>
          <w:sz w:val="20"/>
        </w:rPr>
        <w:t> </w:t>
      </w:r>
      <w:r>
        <w:rPr>
          <w:i/>
          <w:sz w:val="20"/>
        </w:rPr>
        <w:t>Strongly</w:t>
      </w:r>
      <w:r>
        <w:rPr>
          <w:i/>
          <w:spacing w:val="-5"/>
          <w:sz w:val="20"/>
        </w:rPr>
        <w:t> </w:t>
      </w:r>
      <w:r>
        <w:rPr>
          <w:i/>
          <w:spacing w:val="-2"/>
          <w:sz w:val="20"/>
        </w:rPr>
        <w:t>Disagree</w:t>
      </w:r>
    </w:p>
    <w:p>
      <w:pPr>
        <w:spacing w:before="0"/>
        <w:ind w:left="5" w:right="754" w:firstLine="0"/>
        <w:jc w:val="center"/>
        <w:rPr>
          <w:i/>
          <w:sz w:val="20"/>
        </w:rPr>
      </w:pPr>
      <w:r>
        <w:rPr>
          <w:i/>
          <w:sz w:val="20"/>
        </w:rPr>
        <w:t>**3.26-4.00</w:t>
      </w:r>
      <w:r>
        <w:rPr>
          <w:i/>
          <w:spacing w:val="-5"/>
          <w:sz w:val="20"/>
        </w:rPr>
        <w:t> </w:t>
      </w:r>
      <w:r>
        <w:rPr>
          <w:i/>
          <w:sz w:val="20"/>
        </w:rPr>
        <w:t>–</w:t>
      </w:r>
      <w:r>
        <w:rPr>
          <w:i/>
          <w:spacing w:val="-3"/>
          <w:sz w:val="20"/>
        </w:rPr>
        <w:t> </w:t>
      </w:r>
      <w:r>
        <w:rPr>
          <w:i/>
          <w:sz w:val="20"/>
        </w:rPr>
        <w:t>Very</w:t>
      </w:r>
      <w:r>
        <w:rPr>
          <w:i/>
          <w:spacing w:val="-4"/>
          <w:sz w:val="20"/>
        </w:rPr>
        <w:t> </w:t>
      </w:r>
      <w:r>
        <w:rPr>
          <w:i/>
          <w:sz w:val="20"/>
        </w:rPr>
        <w:t>High,</w:t>
      </w:r>
      <w:r>
        <w:rPr>
          <w:i/>
          <w:spacing w:val="-5"/>
          <w:sz w:val="20"/>
        </w:rPr>
        <w:t> </w:t>
      </w:r>
      <w:r>
        <w:rPr>
          <w:i/>
          <w:sz w:val="20"/>
        </w:rPr>
        <w:t>2.51-3.25</w:t>
      </w:r>
      <w:r>
        <w:rPr>
          <w:i/>
          <w:spacing w:val="-5"/>
          <w:sz w:val="20"/>
        </w:rPr>
        <w:t> </w:t>
      </w:r>
      <w:r>
        <w:rPr>
          <w:i/>
          <w:sz w:val="20"/>
        </w:rPr>
        <w:t>–</w:t>
      </w:r>
      <w:r>
        <w:rPr>
          <w:i/>
          <w:spacing w:val="-3"/>
          <w:sz w:val="20"/>
        </w:rPr>
        <w:t> </w:t>
      </w:r>
      <w:r>
        <w:rPr>
          <w:i/>
          <w:sz w:val="20"/>
        </w:rPr>
        <w:t>High,</w:t>
      </w:r>
      <w:r>
        <w:rPr>
          <w:i/>
          <w:spacing w:val="-4"/>
          <w:sz w:val="20"/>
        </w:rPr>
        <w:t> </w:t>
      </w:r>
      <w:r>
        <w:rPr>
          <w:i/>
          <w:sz w:val="20"/>
        </w:rPr>
        <w:t>1.76-2.50</w:t>
      </w:r>
      <w:r>
        <w:rPr>
          <w:i/>
          <w:spacing w:val="-5"/>
          <w:sz w:val="20"/>
        </w:rPr>
        <w:t> </w:t>
      </w:r>
      <w:r>
        <w:rPr>
          <w:i/>
          <w:sz w:val="20"/>
        </w:rPr>
        <w:t>–</w:t>
      </w:r>
      <w:r>
        <w:rPr>
          <w:i/>
          <w:spacing w:val="-4"/>
          <w:sz w:val="20"/>
        </w:rPr>
        <w:t> </w:t>
      </w:r>
      <w:r>
        <w:rPr>
          <w:i/>
          <w:sz w:val="20"/>
        </w:rPr>
        <w:t>Low,</w:t>
      </w:r>
      <w:r>
        <w:rPr>
          <w:i/>
          <w:spacing w:val="-4"/>
          <w:sz w:val="20"/>
        </w:rPr>
        <w:t> </w:t>
      </w:r>
      <w:r>
        <w:rPr>
          <w:i/>
          <w:sz w:val="20"/>
        </w:rPr>
        <w:t>1.00-1.75</w:t>
      </w:r>
      <w:r>
        <w:rPr>
          <w:i/>
          <w:spacing w:val="-2"/>
          <w:sz w:val="20"/>
        </w:rPr>
        <w:t> </w:t>
      </w:r>
      <w:r>
        <w:rPr>
          <w:i/>
          <w:sz w:val="20"/>
        </w:rPr>
        <w:t>–</w:t>
      </w:r>
      <w:r>
        <w:rPr>
          <w:i/>
          <w:spacing w:val="-5"/>
          <w:sz w:val="20"/>
        </w:rPr>
        <w:t> </w:t>
      </w:r>
      <w:r>
        <w:rPr>
          <w:i/>
          <w:sz w:val="20"/>
        </w:rPr>
        <w:t>Very</w:t>
      </w:r>
      <w:r>
        <w:rPr>
          <w:i/>
          <w:spacing w:val="-4"/>
          <w:sz w:val="20"/>
        </w:rPr>
        <w:t> </w:t>
      </w:r>
      <w:r>
        <w:rPr>
          <w:i/>
          <w:spacing w:val="-5"/>
          <w:sz w:val="20"/>
        </w:rPr>
        <w:t>Low</w:t>
      </w:r>
    </w:p>
    <w:p>
      <w:pPr>
        <w:spacing w:after="0"/>
        <w:jc w:val="center"/>
        <w:rPr>
          <w:i/>
          <w:sz w:val="20"/>
        </w:rPr>
        <w:sectPr>
          <w:pgSz w:w="12240" w:h="15840"/>
          <w:pgMar w:header="763" w:footer="0" w:top="1340" w:bottom="280" w:left="1800" w:right="360"/>
        </w:sectPr>
      </w:pPr>
    </w:p>
    <w:p>
      <w:pPr>
        <w:pStyle w:val="BodyText"/>
        <w:spacing w:line="480" w:lineRule="auto" w:before="80"/>
        <w:ind w:left="326" w:right="1079" w:firstLine="720"/>
        <w:jc w:val="both"/>
      </w:pPr>
      <w:r>
        <w:rPr/>
        <w:t>In</w:t>
      </w:r>
      <w:r>
        <w:rPr>
          <w:spacing w:val="-9"/>
        </w:rPr>
        <w:t> </w:t>
      </w:r>
      <w:r>
        <w:rPr/>
        <w:t>the</w:t>
      </w:r>
      <w:r>
        <w:rPr>
          <w:spacing w:val="-10"/>
        </w:rPr>
        <w:t> </w:t>
      </w:r>
      <w:r>
        <w:rPr/>
        <w:t>table</w:t>
      </w:r>
      <w:r>
        <w:rPr>
          <w:spacing w:val="-10"/>
        </w:rPr>
        <w:t> </w:t>
      </w:r>
      <w:r>
        <w:rPr/>
        <w:t>3.3.2</w:t>
      </w:r>
      <w:r>
        <w:rPr>
          <w:spacing w:val="-9"/>
        </w:rPr>
        <w:t> </w:t>
      </w:r>
      <w:r>
        <w:rPr/>
        <w:t>was</w:t>
      </w:r>
      <w:r>
        <w:rPr>
          <w:spacing w:val="-6"/>
        </w:rPr>
        <w:t> </w:t>
      </w:r>
      <w:r>
        <w:rPr/>
        <w:t>found</w:t>
      </w:r>
      <w:r>
        <w:rPr>
          <w:spacing w:val="-9"/>
        </w:rPr>
        <w:t> </w:t>
      </w:r>
      <w:r>
        <w:rPr/>
        <w:t>to</w:t>
      </w:r>
      <w:r>
        <w:rPr>
          <w:spacing w:val="-9"/>
        </w:rPr>
        <w:t> </w:t>
      </w:r>
      <w:r>
        <w:rPr/>
        <w:t>provide</w:t>
      </w:r>
      <w:r>
        <w:rPr>
          <w:spacing w:val="-10"/>
        </w:rPr>
        <w:t> </w:t>
      </w:r>
      <w:r>
        <w:rPr/>
        <w:t>high</w:t>
      </w:r>
      <w:r>
        <w:rPr>
          <w:spacing w:val="-9"/>
        </w:rPr>
        <w:t> </w:t>
      </w:r>
      <w:r>
        <w:rPr/>
        <w:t>operational</w:t>
      </w:r>
      <w:r>
        <w:rPr>
          <w:spacing w:val="-9"/>
        </w:rPr>
        <w:t> </w:t>
      </w:r>
      <w:r>
        <w:rPr/>
        <w:t>and</w:t>
      </w:r>
      <w:r>
        <w:rPr>
          <w:spacing w:val="-9"/>
        </w:rPr>
        <w:t> </w:t>
      </w:r>
      <w:r>
        <w:rPr/>
        <w:t>environmental</w:t>
      </w:r>
      <w:r>
        <w:rPr>
          <w:spacing w:val="-7"/>
        </w:rPr>
        <w:t> </w:t>
      </w:r>
      <w:r>
        <w:rPr/>
        <w:t>benefits (M</w:t>
      </w:r>
      <w:r>
        <w:rPr>
          <w:spacing w:val="-6"/>
        </w:rPr>
        <w:t> </w:t>
      </w:r>
      <w:r>
        <w:rPr/>
        <w:t>=</w:t>
      </w:r>
      <w:r>
        <w:rPr>
          <w:spacing w:val="-7"/>
        </w:rPr>
        <w:t> </w:t>
      </w:r>
      <w:r>
        <w:rPr/>
        <w:t>2.93,</w:t>
      </w:r>
      <w:r>
        <w:rPr>
          <w:spacing w:val="-6"/>
        </w:rPr>
        <w:t> </w:t>
      </w:r>
      <w:r>
        <w:rPr/>
        <w:t>SD</w:t>
      </w:r>
      <w:r>
        <w:rPr>
          <w:spacing w:val="-6"/>
        </w:rPr>
        <w:t> </w:t>
      </w:r>
      <w:r>
        <w:rPr/>
        <w:t>=</w:t>
      </w:r>
      <w:r>
        <w:rPr>
          <w:spacing w:val="-7"/>
        </w:rPr>
        <w:t> </w:t>
      </w:r>
      <w:r>
        <w:rPr/>
        <w:t>0.96).</w:t>
      </w:r>
      <w:r>
        <w:rPr>
          <w:spacing w:val="-5"/>
        </w:rPr>
        <w:t> </w:t>
      </w:r>
      <w:r>
        <w:rPr/>
        <w:t>Canteen</w:t>
      </w:r>
      <w:r>
        <w:rPr>
          <w:spacing w:val="-6"/>
        </w:rPr>
        <w:t> </w:t>
      </w:r>
      <w:r>
        <w:rPr/>
        <w:t>stafffs</w:t>
      </w:r>
      <w:r>
        <w:rPr>
          <w:spacing w:val="-6"/>
        </w:rPr>
        <w:t> </w:t>
      </w:r>
      <w:r>
        <w:rPr/>
        <w:t>recognized</w:t>
      </w:r>
      <w:r>
        <w:rPr>
          <w:spacing w:val="-6"/>
        </w:rPr>
        <w:t> </w:t>
      </w:r>
      <w:r>
        <w:rPr/>
        <w:t>that</w:t>
      </w:r>
      <w:r>
        <w:rPr>
          <w:spacing w:val="-6"/>
        </w:rPr>
        <w:t> </w:t>
      </w:r>
      <w:r>
        <w:rPr/>
        <w:t>compostable</w:t>
      </w:r>
      <w:r>
        <w:rPr>
          <w:spacing w:val="-7"/>
        </w:rPr>
        <w:t> </w:t>
      </w:r>
      <w:r>
        <w:rPr/>
        <w:t>packaging</w:t>
      </w:r>
      <w:r>
        <w:rPr>
          <w:spacing w:val="-8"/>
        </w:rPr>
        <w:t> </w:t>
      </w:r>
      <w:r>
        <w:rPr/>
        <w:t>encourages proper disposal habits and reduces visible waste, with customer behavior seen as a key factor.</w:t>
      </w:r>
      <w:r>
        <w:rPr>
          <w:spacing w:val="-4"/>
        </w:rPr>
        <w:t> </w:t>
      </w:r>
      <w:r>
        <w:rPr/>
        <w:t>This</w:t>
      </w:r>
      <w:r>
        <w:rPr>
          <w:spacing w:val="-4"/>
        </w:rPr>
        <w:t> </w:t>
      </w:r>
      <w:r>
        <w:rPr/>
        <w:t>suggests</w:t>
      </w:r>
      <w:r>
        <w:rPr>
          <w:spacing w:val="-4"/>
        </w:rPr>
        <w:t> </w:t>
      </w:r>
      <w:r>
        <w:rPr/>
        <w:t>that</w:t>
      </w:r>
      <w:r>
        <w:rPr>
          <w:spacing w:val="-2"/>
        </w:rPr>
        <w:t> </w:t>
      </w:r>
      <w:r>
        <w:rPr/>
        <w:t>the</w:t>
      </w:r>
      <w:r>
        <w:rPr>
          <w:spacing w:val="-4"/>
        </w:rPr>
        <w:t> </w:t>
      </w:r>
      <w:r>
        <w:rPr/>
        <w:t>transition</w:t>
      </w:r>
      <w:r>
        <w:rPr>
          <w:spacing w:val="-4"/>
        </w:rPr>
        <w:t> </w:t>
      </w:r>
      <w:r>
        <w:rPr/>
        <w:t>supports</w:t>
      </w:r>
      <w:r>
        <w:rPr>
          <w:spacing w:val="-4"/>
        </w:rPr>
        <w:t> </w:t>
      </w:r>
      <w:r>
        <w:rPr/>
        <w:t>the</w:t>
      </w:r>
      <w:r>
        <w:rPr>
          <w:spacing w:val="-4"/>
        </w:rPr>
        <w:t> </w:t>
      </w:r>
      <w:r>
        <w:rPr/>
        <w:t>school’s</w:t>
      </w:r>
      <w:r>
        <w:rPr>
          <w:spacing w:val="-4"/>
        </w:rPr>
        <w:t> </w:t>
      </w:r>
      <w:r>
        <w:rPr/>
        <w:t>waste</w:t>
      </w:r>
      <w:r>
        <w:rPr>
          <w:spacing w:val="-5"/>
        </w:rPr>
        <w:t> </w:t>
      </w:r>
      <w:r>
        <w:rPr/>
        <w:t>management</w:t>
      </w:r>
      <w:r>
        <w:rPr>
          <w:spacing w:val="-4"/>
        </w:rPr>
        <w:t> </w:t>
      </w:r>
      <w:r>
        <w:rPr/>
        <w:t>goals</w:t>
      </w:r>
      <w:r>
        <w:rPr>
          <w:spacing w:val="-2"/>
        </w:rPr>
        <w:t> </w:t>
      </w:r>
      <w:r>
        <w:rPr/>
        <w:t>and helps promote cleaner surroundings.</w:t>
      </w:r>
    </w:p>
    <w:p>
      <w:pPr>
        <w:pStyle w:val="BodyText"/>
        <w:spacing w:before="242"/>
        <w:ind w:left="326"/>
        <w:jc w:val="both"/>
      </w:pPr>
      <w:r>
        <w:rPr>
          <w:b/>
        </w:rPr>
        <w:t>Table</w:t>
      </w:r>
      <w:r>
        <w:rPr>
          <w:b/>
          <w:spacing w:val="-2"/>
        </w:rPr>
        <w:t> </w:t>
      </w:r>
      <w:r>
        <w:rPr>
          <w:b/>
        </w:rPr>
        <w:t>3.3.3.</w:t>
      </w:r>
      <w:r>
        <w:rPr>
          <w:b/>
          <w:spacing w:val="1"/>
        </w:rPr>
        <w:t> </w:t>
      </w:r>
      <w:r>
        <w:rPr/>
        <w:t>Level</w:t>
      </w:r>
      <w:r>
        <w:rPr>
          <w:spacing w:val="-2"/>
        </w:rPr>
        <w:t> </w:t>
      </w:r>
      <w:r>
        <w:rPr/>
        <w:t>of</w:t>
      </w:r>
      <w:r>
        <w:rPr>
          <w:spacing w:val="1"/>
        </w:rPr>
        <w:t> </w:t>
      </w:r>
      <w:r>
        <w:rPr/>
        <w:t>Operational &amp;</w:t>
      </w:r>
      <w:r>
        <w:rPr>
          <w:spacing w:val="-3"/>
        </w:rPr>
        <w:t> </w:t>
      </w:r>
      <w:r>
        <w:rPr/>
        <w:t>Environmental</w:t>
      </w:r>
      <w:r>
        <w:rPr>
          <w:spacing w:val="-2"/>
        </w:rPr>
        <w:t> </w:t>
      </w:r>
      <w:r>
        <w:rPr/>
        <w:t>Benefits</w:t>
      </w:r>
      <w:r>
        <w:rPr>
          <w:spacing w:val="1"/>
        </w:rPr>
        <w:t> </w:t>
      </w:r>
      <w:r>
        <w:rPr/>
        <w:t>-</w:t>
      </w:r>
      <w:r>
        <w:rPr>
          <w:spacing w:val="-2"/>
        </w:rPr>
        <w:t> Sustainability</w:t>
      </w:r>
    </w:p>
    <w:p>
      <w:pPr>
        <w:pStyle w:val="BodyText"/>
        <w:spacing w:before="2"/>
        <w:rPr>
          <w:sz w:val="12"/>
        </w:rPr>
      </w:pPr>
    </w:p>
    <w:tbl>
      <w:tblPr>
        <w:tblW w:w="0" w:type="auto"/>
        <w:jc w:val="left"/>
        <w:tblInd w:w="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07"/>
        <w:gridCol w:w="1404"/>
        <w:gridCol w:w="1162"/>
        <w:gridCol w:w="3161"/>
      </w:tblGrid>
      <w:tr>
        <w:trPr>
          <w:trHeight w:val="345" w:hRule="atLeast"/>
        </w:trPr>
        <w:tc>
          <w:tcPr>
            <w:tcW w:w="3707" w:type="dxa"/>
            <w:tcBorders>
              <w:top w:val="single" w:sz="6" w:space="0" w:color="000000"/>
              <w:bottom w:val="single" w:sz="6" w:space="0" w:color="000000"/>
            </w:tcBorders>
          </w:tcPr>
          <w:p>
            <w:pPr>
              <w:pStyle w:val="TableParagraph"/>
              <w:spacing w:before="2"/>
              <w:ind w:left="81"/>
              <w:rPr>
                <w:b/>
                <w:i/>
                <w:sz w:val="24"/>
              </w:rPr>
            </w:pPr>
            <w:r>
              <w:rPr>
                <w:b/>
                <w:i/>
                <w:sz w:val="24"/>
              </w:rPr>
              <w:t>Item </w:t>
            </w:r>
            <w:r>
              <w:rPr>
                <w:b/>
                <w:i/>
                <w:spacing w:val="-2"/>
                <w:sz w:val="24"/>
              </w:rPr>
              <w:t>Statements</w:t>
            </w:r>
          </w:p>
        </w:tc>
        <w:tc>
          <w:tcPr>
            <w:tcW w:w="1404" w:type="dxa"/>
            <w:tcBorders>
              <w:top w:val="single" w:sz="6" w:space="0" w:color="000000"/>
              <w:bottom w:val="single" w:sz="6" w:space="0" w:color="000000"/>
            </w:tcBorders>
          </w:tcPr>
          <w:p>
            <w:pPr>
              <w:pStyle w:val="TableParagraph"/>
              <w:spacing w:before="2"/>
              <w:ind w:right="151"/>
              <w:jc w:val="center"/>
              <w:rPr>
                <w:b/>
                <w:sz w:val="24"/>
              </w:rPr>
            </w:pPr>
            <w:r>
              <w:rPr>
                <w:b/>
                <w:spacing w:val="-4"/>
                <w:sz w:val="24"/>
              </w:rPr>
              <w:t>Mean</w:t>
            </w:r>
          </w:p>
        </w:tc>
        <w:tc>
          <w:tcPr>
            <w:tcW w:w="1162" w:type="dxa"/>
            <w:tcBorders>
              <w:top w:val="single" w:sz="6" w:space="0" w:color="000000"/>
              <w:bottom w:val="single" w:sz="6" w:space="0" w:color="000000"/>
            </w:tcBorders>
          </w:tcPr>
          <w:p>
            <w:pPr>
              <w:pStyle w:val="TableParagraph"/>
              <w:spacing w:before="2"/>
              <w:ind w:left="225"/>
              <w:jc w:val="center"/>
              <w:rPr>
                <w:b/>
                <w:sz w:val="24"/>
              </w:rPr>
            </w:pPr>
            <w:r>
              <w:rPr>
                <w:b/>
                <w:spacing w:val="-5"/>
                <w:sz w:val="24"/>
              </w:rPr>
              <w:t>SD</w:t>
            </w:r>
          </w:p>
        </w:tc>
        <w:tc>
          <w:tcPr>
            <w:tcW w:w="3161" w:type="dxa"/>
            <w:tcBorders>
              <w:top w:val="single" w:sz="6" w:space="0" w:color="000000"/>
              <w:bottom w:val="single" w:sz="6" w:space="0" w:color="000000"/>
            </w:tcBorders>
          </w:tcPr>
          <w:p>
            <w:pPr>
              <w:pStyle w:val="TableParagraph"/>
              <w:spacing w:before="2"/>
              <w:ind w:left="3" w:right="12"/>
              <w:jc w:val="center"/>
              <w:rPr>
                <w:b/>
                <w:sz w:val="24"/>
              </w:rPr>
            </w:pPr>
            <w:r>
              <w:rPr>
                <w:b/>
                <w:sz w:val="24"/>
              </w:rPr>
              <w:t>Descriptive</w:t>
            </w:r>
            <w:r>
              <w:rPr>
                <w:b/>
                <w:spacing w:val="-7"/>
                <w:sz w:val="24"/>
              </w:rPr>
              <w:t> </w:t>
            </w:r>
            <w:r>
              <w:rPr>
                <w:b/>
                <w:spacing w:val="-4"/>
                <w:sz w:val="24"/>
              </w:rPr>
              <w:t>Level</w:t>
            </w:r>
          </w:p>
        </w:tc>
      </w:tr>
      <w:tr>
        <w:trPr>
          <w:trHeight w:val="827" w:hRule="atLeast"/>
        </w:trPr>
        <w:tc>
          <w:tcPr>
            <w:tcW w:w="3707" w:type="dxa"/>
            <w:tcBorders>
              <w:top w:val="single" w:sz="6" w:space="0" w:color="000000"/>
              <w:bottom w:val="single" w:sz="4" w:space="0" w:color="000000"/>
            </w:tcBorders>
          </w:tcPr>
          <w:p>
            <w:pPr>
              <w:pStyle w:val="TableParagraph"/>
              <w:ind w:left="14" w:right="330"/>
              <w:rPr>
                <w:sz w:val="24"/>
              </w:rPr>
            </w:pPr>
            <w:r>
              <w:rPr>
                <w:sz w:val="24"/>
              </w:rPr>
              <w:t>S1:</w:t>
            </w:r>
            <w:r>
              <w:rPr>
                <w:spacing w:val="80"/>
                <w:sz w:val="24"/>
              </w:rPr>
              <w:t> </w:t>
            </w:r>
            <w:r>
              <w:rPr>
                <w:sz w:val="24"/>
              </w:rPr>
              <w:t>Customers</w:t>
            </w:r>
            <w:r>
              <w:rPr>
                <w:spacing w:val="80"/>
                <w:sz w:val="24"/>
              </w:rPr>
              <w:t> </w:t>
            </w:r>
            <w:r>
              <w:rPr>
                <w:sz w:val="24"/>
              </w:rPr>
              <w:t>appreciate</w:t>
            </w:r>
            <w:r>
              <w:rPr>
                <w:spacing w:val="80"/>
                <w:sz w:val="24"/>
              </w:rPr>
              <w:t> </w:t>
            </w:r>
            <w:r>
              <w:rPr>
                <w:sz w:val="24"/>
              </w:rPr>
              <w:t>when food</w:t>
            </w:r>
            <w:r>
              <w:rPr>
                <w:spacing w:val="30"/>
                <w:sz w:val="24"/>
              </w:rPr>
              <w:t>  </w:t>
            </w:r>
            <w:r>
              <w:rPr>
                <w:sz w:val="24"/>
              </w:rPr>
              <w:t>is</w:t>
            </w:r>
            <w:r>
              <w:rPr>
                <w:spacing w:val="31"/>
                <w:sz w:val="24"/>
              </w:rPr>
              <w:t>  </w:t>
            </w:r>
            <w:r>
              <w:rPr>
                <w:sz w:val="24"/>
              </w:rPr>
              <w:t>served</w:t>
            </w:r>
            <w:r>
              <w:rPr>
                <w:spacing w:val="31"/>
                <w:sz w:val="24"/>
              </w:rPr>
              <w:t>  </w:t>
            </w:r>
            <w:r>
              <w:rPr>
                <w:sz w:val="24"/>
              </w:rPr>
              <w:t>in</w:t>
            </w:r>
            <w:r>
              <w:rPr>
                <w:spacing w:val="32"/>
                <w:sz w:val="24"/>
              </w:rPr>
              <w:t>  </w:t>
            </w:r>
            <w:r>
              <w:rPr>
                <w:spacing w:val="-2"/>
                <w:sz w:val="24"/>
              </w:rPr>
              <w:t>compostable</w:t>
            </w:r>
          </w:p>
          <w:p>
            <w:pPr>
              <w:pStyle w:val="TableParagraph"/>
              <w:spacing w:line="261" w:lineRule="exact"/>
              <w:ind w:left="14"/>
              <w:rPr>
                <w:sz w:val="24"/>
              </w:rPr>
            </w:pPr>
            <w:r>
              <w:rPr>
                <w:spacing w:val="-2"/>
                <w:sz w:val="24"/>
              </w:rPr>
              <w:t>packaging.</w:t>
            </w:r>
          </w:p>
        </w:tc>
        <w:tc>
          <w:tcPr>
            <w:tcW w:w="1404" w:type="dxa"/>
            <w:tcBorders>
              <w:top w:val="single" w:sz="6" w:space="0" w:color="000000"/>
              <w:bottom w:val="single" w:sz="4" w:space="0" w:color="000000"/>
            </w:tcBorders>
          </w:tcPr>
          <w:p>
            <w:pPr>
              <w:pStyle w:val="TableParagraph"/>
              <w:spacing w:before="253"/>
              <w:ind w:left="3" w:right="151"/>
              <w:jc w:val="center"/>
              <w:rPr>
                <w:sz w:val="24"/>
              </w:rPr>
            </w:pPr>
            <w:r>
              <w:rPr>
                <w:spacing w:val="-4"/>
                <w:sz w:val="24"/>
              </w:rPr>
              <w:t>2.80</w:t>
            </w:r>
          </w:p>
        </w:tc>
        <w:tc>
          <w:tcPr>
            <w:tcW w:w="1162" w:type="dxa"/>
            <w:tcBorders>
              <w:top w:val="single" w:sz="6" w:space="0" w:color="000000"/>
              <w:bottom w:val="single" w:sz="4" w:space="0" w:color="000000"/>
            </w:tcBorders>
          </w:tcPr>
          <w:p>
            <w:pPr>
              <w:pStyle w:val="TableParagraph"/>
              <w:spacing w:before="270"/>
              <w:ind w:left="226"/>
              <w:jc w:val="center"/>
              <w:rPr>
                <w:sz w:val="24"/>
              </w:rPr>
            </w:pPr>
            <w:r>
              <w:rPr>
                <w:spacing w:val="-4"/>
                <w:sz w:val="24"/>
              </w:rPr>
              <w:t>0.87</w:t>
            </w:r>
          </w:p>
        </w:tc>
        <w:tc>
          <w:tcPr>
            <w:tcW w:w="3161" w:type="dxa"/>
            <w:tcBorders>
              <w:top w:val="single" w:sz="6" w:space="0" w:color="000000"/>
              <w:bottom w:val="single" w:sz="4" w:space="0" w:color="000000"/>
            </w:tcBorders>
          </w:tcPr>
          <w:p>
            <w:pPr>
              <w:pStyle w:val="TableParagraph"/>
              <w:spacing w:before="234"/>
              <w:ind w:right="12"/>
              <w:jc w:val="center"/>
              <w:rPr>
                <w:sz w:val="24"/>
              </w:rPr>
            </w:pPr>
            <w:r>
              <w:rPr>
                <w:spacing w:val="-2"/>
                <w:sz w:val="24"/>
              </w:rPr>
              <w:t>Agree</w:t>
            </w:r>
          </w:p>
        </w:tc>
      </w:tr>
      <w:tr>
        <w:trPr>
          <w:trHeight w:val="736" w:hRule="atLeast"/>
        </w:trPr>
        <w:tc>
          <w:tcPr>
            <w:tcW w:w="3707" w:type="dxa"/>
            <w:tcBorders>
              <w:top w:val="single" w:sz="4" w:space="0" w:color="000000"/>
              <w:bottom w:val="single" w:sz="4" w:space="0" w:color="000000"/>
            </w:tcBorders>
          </w:tcPr>
          <w:p>
            <w:pPr>
              <w:pStyle w:val="TableParagraph"/>
              <w:ind w:left="14" w:right="331"/>
              <w:rPr>
                <w:sz w:val="24"/>
              </w:rPr>
            </w:pPr>
            <w:r>
              <w:rPr>
                <w:sz w:val="24"/>
              </w:rPr>
              <w:t>S2:</w:t>
            </w:r>
            <w:r>
              <w:rPr>
                <w:spacing w:val="-15"/>
                <w:sz w:val="24"/>
              </w:rPr>
              <w:t> </w:t>
            </w:r>
            <w:r>
              <w:rPr>
                <w:sz w:val="24"/>
              </w:rPr>
              <w:t>Compostable</w:t>
            </w:r>
            <w:r>
              <w:rPr>
                <w:spacing w:val="-15"/>
                <w:sz w:val="24"/>
              </w:rPr>
              <w:t> </w:t>
            </w:r>
            <w:r>
              <w:rPr>
                <w:sz w:val="24"/>
              </w:rPr>
              <w:t>packaging</w:t>
            </w:r>
            <w:r>
              <w:rPr>
                <w:spacing w:val="-15"/>
                <w:sz w:val="24"/>
              </w:rPr>
              <w:t> </w:t>
            </w:r>
            <w:r>
              <w:rPr>
                <w:sz w:val="24"/>
              </w:rPr>
              <w:t>makes </w:t>
            </w:r>
            <w:r>
              <w:rPr>
                <w:spacing w:val="-2"/>
                <w:sz w:val="24"/>
              </w:rPr>
              <w:t>the</w:t>
            </w:r>
            <w:r>
              <w:rPr>
                <w:spacing w:val="-5"/>
                <w:sz w:val="24"/>
              </w:rPr>
              <w:t> </w:t>
            </w:r>
            <w:r>
              <w:rPr>
                <w:spacing w:val="-2"/>
                <w:sz w:val="24"/>
              </w:rPr>
              <w:t>canteen</w:t>
            </w:r>
            <w:r>
              <w:rPr>
                <w:spacing w:val="-4"/>
                <w:sz w:val="24"/>
              </w:rPr>
              <w:t> </w:t>
            </w:r>
            <w:r>
              <w:rPr>
                <w:spacing w:val="-2"/>
                <w:sz w:val="24"/>
              </w:rPr>
              <w:t>look</w:t>
            </w:r>
            <w:r>
              <w:rPr>
                <w:spacing w:val="-4"/>
                <w:sz w:val="24"/>
              </w:rPr>
              <w:t> </w:t>
            </w:r>
            <w:r>
              <w:rPr>
                <w:spacing w:val="-2"/>
                <w:sz w:val="24"/>
              </w:rPr>
              <w:t>more</w:t>
            </w:r>
            <w:r>
              <w:rPr>
                <w:spacing w:val="-5"/>
                <w:sz w:val="24"/>
              </w:rPr>
              <w:t> </w:t>
            </w:r>
            <w:r>
              <w:rPr>
                <w:spacing w:val="-2"/>
                <w:sz w:val="24"/>
              </w:rPr>
              <w:t>eco-friendly.</w:t>
            </w:r>
          </w:p>
        </w:tc>
        <w:tc>
          <w:tcPr>
            <w:tcW w:w="1404" w:type="dxa"/>
            <w:tcBorders>
              <w:top w:val="single" w:sz="4" w:space="0" w:color="000000"/>
              <w:bottom w:val="single" w:sz="4" w:space="0" w:color="000000"/>
            </w:tcBorders>
          </w:tcPr>
          <w:p>
            <w:pPr>
              <w:pStyle w:val="TableParagraph"/>
              <w:spacing w:before="224"/>
              <w:ind w:left="3" w:right="151"/>
              <w:jc w:val="center"/>
              <w:rPr>
                <w:sz w:val="24"/>
              </w:rPr>
            </w:pPr>
            <w:r>
              <w:rPr>
                <w:spacing w:val="-4"/>
                <w:sz w:val="24"/>
              </w:rPr>
              <w:t>3.07</w:t>
            </w:r>
          </w:p>
        </w:tc>
        <w:tc>
          <w:tcPr>
            <w:tcW w:w="1162" w:type="dxa"/>
            <w:tcBorders>
              <w:top w:val="single" w:sz="4" w:space="0" w:color="000000"/>
              <w:bottom w:val="single" w:sz="4" w:space="0" w:color="000000"/>
            </w:tcBorders>
          </w:tcPr>
          <w:p>
            <w:pPr>
              <w:pStyle w:val="TableParagraph"/>
              <w:spacing w:before="224"/>
              <w:ind w:left="226"/>
              <w:jc w:val="center"/>
              <w:rPr>
                <w:sz w:val="24"/>
              </w:rPr>
            </w:pPr>
            <w:r>
              <w:rPr>
                <w:spacing w:val="-4"/>
                <w:sz w:val="24"/>
              </w:rPr>
              <w:t>0.80</w:t>
            </w:r>
          </w:p>
        </w:tc>
        <w:tc>
          <w:tcPr>
            <w:tcW w:w="3161" w:type="dxa"/>
            <w:tcBorders>
              <w:top w:val="single" w:sz="4" w:space="0" w:color="000000"/>
              <w:bottom w:val="single" w:sz="4" w:space="0" w:color="000000"/>
            </w:tcBorders>
          </w:tcPr>
          <w:p>
            <w:pPr>
              <w:pStyle w:val="TableParagraph"/>
              <w:spacing w:before="234"/>
              <w:ind w:right="12"/>
              <w:jc w:val="center"/>
              <w:rPr>
                <w:sz w:val="24"/>
              </w:rPr>
            </w:pPr>
            <w:r>
              <w:rPr>
                <w:spacing w:val="-2"/>
                <w:sz w:val="24"/>
              </w:rPr>
              <w:t>Agree</w:t>
            </w:r>
          </w:p>
        </w:tc>
      </w:tr>
      <w:tr>
        <w:trPr>
          <w:trHeight w:val="830" w:hRule="atLeast"/>
        </w:trPr>
        <w:tc>
          <w:tcPr>
            <w:tcW w:w="3707" w:type="dxa"/>
            <w:tcBorders>
              <w:top w:val="single" w:sz="4" w:space="0" w:color="000000"/>
              <w:bottom w:val="single" w:sz="4" w:space="0" w:color="000000"/>
            </w:tcBorders>
          </w:tcPr>
          <w:p>
            <w:pPr>
              <w:pStyle w:val="TableParagraph"/>
              <w:spacing w:line="273" w:lineRule="exact"/>
              <w:ind w:left="14"/>
              <w:rPr>
                <w:sz w:val="24"/>
              </w:rPr>
            </w:pPr>
            <w:r>
              <w:rPr>
                <w:sz w:val="24"/>
              </w:rPr>
              <w:t>S3:</w:t>
            </w:r>
            <w:r>
              <w:rPr>
                <w:spacing w:val="28"/>
                <w:sz w:val="24"/>
              </w:rPr>
              <w:t> </w:t>
            </w:r>
            <w:r>
              <w:rPr>
                <w:sz w:val="24"/>
              </w:rPr>
              <w:t>Using</w:t>
            </w:r>
            <w:r>
              <w:rPr>
                <w:spacing w:val="26"/>
                <w:sz w:val="24"/>
              </w:rPr>
              <w:t> </w:t>
            </w:r>
            <w:r>
              <w:rPr>
                <w:sz w:val="24"/>
              </w:rPr>
              <w:t>compostable</w:t>
            </w:r>
            <w:r>
              <w:rPr>
                <w:spacing w:val="30"/>
                <w:sz w:val="24"/>
              </w:rPr>
              <w:t> </w:t>
            </w:r>
            <w:r>
              <w:rPr>
                <w:spacing w:val="-2"/>
                <w:sz w:val="24"/>
              </w:rPr>
              <w:t>packaging</w:t>
            </w:r>
          </w:p>
          <w:p>
            <w:pPr>
              <w:pStyle w:val="TableParagraph"/>
              <w:spacing w:line="270" w:lineRule="atLeast"/>
              <w:ind w:left="14"/>
              <w:rPr>
                <w:sz w:val="24"/>
              </w:rPr>
            </w:pPr>
            <w:r>
              <w:rPr>
                <w:sz w:val="24"/>
              </w:rPr>
              <w:t>helps</w:t>
            </w:r>
            <w:r>
              <w:rPr>
                <w:spacing w:val="80"/>
                <w:sz w:val="24"/>
              </w:rPr>
              <w:t> </w:t>
            </w:r>
            <w:r>
              <w:rPr>
                <w:sz w:val="24"/>
              </w:rPr>
              <w:t>reduce</w:t>
            </w:r>
            <w:r>
              <w:rPr>
                <w:spacing w:val="40"/>
                <w:sz w:val="24"/>
              </w:rPr>
              <w:t> </w:t>
            </w:r>
            <w:r>
              <w:rPr>
                <w:sz w:val="24"/>
              </w:rPr>
              <w:t>harmful</w:t>
            </w:r>
            <w:r>
              <w:rPr>
                <w:spacing w:val="80"/>
                <w:sz w:val="24"/>
              </w:rPr>
              <w:t> </w:t>
            </w:r>
            <w:r>
              <w:rPr>
                <w:sz w:val="24"/>
              </w:rPr>
              <w:t>effects</w:t>
            </w:r>
            <w:r>
              <w:rPr>
                <w:spacing w:val="80"/>
                <w:sz w:val="24"/>
              </w:rPr>
              <w:t> </w:t>
            </w:r>
            <w:r>
              <w:rPr>
                <w:sz w:val="24"/>
              </w:rPr>
              <w:t>of plastic on the environment.</w:t>
            </w:r>
          </w:p>
        </w:tc>
        <w:tc>
          <w:tcPr>
            <w:tcW w:w="1404" w:type="dxa"/>
            <w:tcBorders>
              <w:top w:val="single" w:sz="4" w:space="0" w:color="000000"/>
              <w:bottom w:val="single" w:sz="4" w:space="0" w:color="000000"/>
            </w:tcBorders>
          </w:tcPr>
          <w:p>
            <w:pPr>
              <w:pStyle w:val="TableParagraph"/>
              <w:spacing w:before="272"/>
              <w:ind w:left="3" w:right="151"/>
              <w:jc w:val="center"/>
              <w:rPr>
                <w:sz w:val="24"/>
              </w:rPr>
            </w:pPr>
            <w:r>
              <w:rPr>
                <w:spacing w:val="-4"/>
                <w:sz w:val="24"/>
              </w:rPr>
              <w:t>3.20</w:t>
            </w:r>
          </w:p>
        </w:tc>
        <w:tc>
          <w:tcPr>
            <w:tcW w:w="1162" w:type="dxa"/>
            <w:tcBorders>
              <w:top w:val="single" w:sz="4" w:space="0" w:color="000000"/>
              <w:bottom w:val="single" w:sz="4" w:space="0" w:color="000000"/>
            </w:tcBorders>
          </w:tcPr>
          <w:p>
            <w:pPr>
              <w:pStyle w:val="TableParagraph"/>
              <w:spacing w:before="272"/>
              <w:ind w:left="226"/>
              <w:jc w:val="center"/>
              <w:rPr>
                <w:sz w:val="24"/>
              </w:rPr>
            </w:pPr>
            <w:r>
              <w:rPr>
                <w:spacing w:val="-4"/>
                <w:sz w:val="24"/>
              </w:rPr>
              <w:t>0.77</w:t>
            </w:r>
          </w:p>
        </w:tc>
        <w:tc>
          <w:tcPr>
            <w:tcW w:w="3161" w:type="dxa"/>
            <w:tcBorders>
              <w:top w:val="single" w:sz="4" w:space="0" w:color="000000"/>
              <w:bottom w:val="single" w:sz="4" w:space="0" w:color="000000"/>
            </w:tcBorders>
          </w:tcPr>
          <w:p>
            <w:pPr>
              <w:pStyle w:val="TableParagraph"/>
              <w:spacing w:before="236"/>
              <w:ind w:right="12"/>
              <w:jc w:val="center"/>
              <w:rPr>
                <w:sz w:val="24"/>
              </w:rPr>
            </w:pPr>
            <w:r>
              <w:rPr>
                <w:spacing w:val="-2"/>
                <w:sz w:val="24"/>
              </w:rPr>
              <w:t>Agree</w:t>
            </w:r>
          </w:p>
        </w:tc>
      </w:tr>
      <w:tr>
        <w:trPr>
          <w:trHeight w:val="828" w:hRule="atLeast"/>
        </w:trPr>
        <w:tc>
          <w:tcPr>
            <w:tcW w:w="3707" w:type="dxa"/>
            <w:tcBorders>
              <w:top w:val="single" w:sz="4" w:space="0" w:color="000000"/>
              <w:bottom w:val="single" w:sz="4" w:space="0" w:color="000000"/>
            </w:tcBorders>
          </w:tcPr>
          <w:p>
            <w:pPr>
              <w:pStyle w:val="TableParagraph"/>
              <w:spacing w:before="239"/>
              <w:ind w:left="14"/>
              <w:rPr>
                <w:b/>
                <w:i/>
                <w:sz w:val="24"/>
              </w:rPr>
            </w:pPr>
            <w:r>
              <w:rPr>
                <w:b/>
                <w:i/>
                <w:sz w:val="24"/>
              </w:rPr>
              <w:t>Sustainability</w:t>
            </w:r>
            <w:r>
              <w:rPr>
                <w:b/>
                <w:i/>
                <w:spacing w:val="-1"/>
                <w:sz w:val="24"/>
              </w:rPr>
              <w:t> </w:t>
            </w:r>
            <w:r>
              <w:rPr>
                <w:b/>
                <w:i/>
                <w:sz w:val="24"/>
              </w:rPr>
              <w:t>–</w:t>
            </w:r>
            <w:r>
              <w:rPr>
                <w:b/>
                <w:i/>
                <w:spacing w:val="-1"/>
                <w:sz w:val="24"/>
              </w:rPr>
              <w:t> </w:t>
            </w:r>
            <w:r>
              <w:rPr>
                <w:b/>
                <w:i/>
                <w:spacing w:val="-2"/>
                <w:sz w:val="24"/>
              </w:rPr>
              <w:t>Total**</w:t>
            </w:r>
          </w:p>
        </w:tc>
        <w:tc>
          <w:tcPr>
            <w:tcW w:w="1404" w:type="dxa"/>
            <w:tcBorders>
              <w:top w:val="single" w:sz="4" w:space="0" w:color="000000"/>
              <w:bottom w:val="single" w:sz="4" w:space="0" w:color="000000"/>
            </w:tcBorders>
          </w:tcPr>
          <w:p>
            <w:pPr>
              <w:pStyle w:val="TableParagraph"/>
              <w:spacing w:before="263"/>
              <w:ind w:left="3" w:right="151"/>
              <w:jc w:val="center"/>
              <w:rPr>
                <w:b/>
                <w:sz w:val="24"/>
              </w:rPr>
            </w:pPr>
            <w:r>
              <w:rPr>
                <w:b/>
                <w:spacing w:val="-4"/>
                <w:sz w:val="24"/>
              </w:rPr>
              <w:t>3.02</w:t>
            </w:r>
          </w:p>
        </w:tc>
        <w:tc>
          <w:tcPr>
            <w:tcW w:w="1162" w:type="dxa"/>
            <w:tcBorders>
              <w:top w:val="single" w:sz="4" w:space="0" w:color="000000"/>
              <w:bottom w:val="single" w:sz="4" w:space="0" w:color="000000"/>
            </w:tcBorders>
          </w:tcPr>
          <w:p>
            <w:pPr>
              <w:pStyle w:val="TableParagraph"/>
              <w:spacing w:before="239"/>
              <w:ind w:left="226"/>
              <w:jc w:val="center"/>
              <w:rPr>
                <w:b/>
                <w:sz w:val="24"/>
              </w:rPr>
            </w:pPr>
            <w:r>
              <w:rPr>
                <w:b/>
                <w:spacing w:val="-4"/>
                <w:sz w:val="24"/>
              </w:rPr>
              <w:t>0.81</w:t>
            </w:r>
          </w:p>
        </w:tc>
        <w:tc>
          <w:tcPr>
            <w:tcW w:w="3161" w:type="dxa"/>
            <w:tcBorders>
              <w:top w:val="single" w:sz="4" w:space="0" w:color="000000"/>
              <w:bottom w:val="single" w:sz="4" w:space="0" w:color="000000"/>
            </w:tcBorders>
          </w:tcPr>
          <w:p>
            <w:pPr>
              <w:pStyle w:val="TableParagraph"/>
              <w:spacing w:line="270" w:lineRule="exact"/>
              <w:ind w:right="12"/>
              <w:jc w:val="center"/>
              <w:rPr>
                <w:sz w:val="24"/>
              </w:rPr>
            </w:pPr>
            <w:r>
              <w:rPr>
                <w:sz w:val="24"/>
              </w:rPr>
              <w:t>The Sustainability</w:t>
            </w:r>
            <w:r>
              <w:rPr>
                <w:spacing w:val="-4"/>
                <w:sz w:val="24"/>
              </w:rPr>
              <w:t> </w:t>
            </w:r>
            <w:r>
              <w:rPr>
                <w:spacing w:val="-2"/>
                <w:sz w:val="24"/>
              </w:rPr>
              <w:t>provides</w:t>
            </w:r>
          </w:p>
          <w:p>
            <w:pPr>
              <w:pStyle w:val="TableParagraph"/>
              <w:spacing w:line="276" w:lineRule="exact"/>
              <w:ind w:left="431" w:right="444" w:firstLine="4"/>
              <w:jc w:val="center"/>
              <w:rPr>
                <w:sz w:val="24"/>
              </w:rPr>
            </w:pPr>
            <w:r>
              <w:rPr>
                <w:b/>
                <w:sz w:val="24"/>
              </w:rPr>
              <w:t>High </w:t>
            </w:r>
            <w:r>
              <w:rPr>
                <w:sz w:val="24"/>
              </w:rPr>
              <w:t>Operational and Environmental</w:t>
            </w:r>
            <w:r>
              <w:rPr>
                <w:spacing w:val="-1"/>
                <w:sz w:val="24"/>
              </w:rPr>
              <w:t> </w:t>
            </w:r>
            <w:r>
              <w:rPr>
                <w:spacing w:val="-2"/>
                <w:sz w:val="24"/>
              </w:rPr>
              <w:t>Benefits</w:t>
            </w:r>
          </w:p>
        </w:tc>
      </w:tr>
    </w:tbl>
    <w:p>
      <w:pPr>
        <w:spacing w:before="0"/>
        <w:ind w:left="0" w:right="753" w:firstLine="0"/>
        <w:jc w:val="center"/>
        <w:rPr>
          <w:i/>
          <w:sz w:val="20"/>
        </w:rPr>
      </w:pPr>
      <w:r>
        <w:rPr>
          <w:i/>
          <w:sz w:val="20"/>
        </w:rPr>
        <w:t>*3.26-4.00</w:t>
      </w:r>
      <w:r>
        <w:rPr>
          <w:i/>
          <w:spacing w:val="-3"/>
          <w:sz w:val="20"/>
        </w:rPr>
        <w:t> </w:t>
      </w:r>
      <w:r>
        <w:rPr>
          <w:i/>
          <w:sz w:val="20"/>
        </w:rPr>
        <w:t>–</w:t>
      </w:r>
      <w:r>
        <w:rPr>
          <w:i/>
          <w:spacing w:val="-6"/>
          <w:sz w:val="20"/>
        </w:rPr>
        <w:t> </w:t>
      </w:r>
      <w:r>
        <w:rPr>
          <w:i/>
          <w:sz w:val="20"/>
        </w:rPr>
        <w:t>Strongly</w:t>
      </w:r>
      <w:r>
        <w:rPr>
          <w:i/>
          <w:spacing w:val="-5"/>
          <w:sz w:val="20"/>
        </w:rPr>
        <w:t> </w:t>
      </w:r>
      <w:r>
        <w:rPr>
          <w:i/>
          <w:sz w:val="20"/>
        </w:rPr>
        <w:t>Agree,</w:t>
      </w:r>
      <w:r>
        <w:rPr>
          <w:i/>
          <w:spacing w:val="-6"/>
          <w:sz w:val="20"/>
        </w:rPr>
        <w:t> </w:t>
      </w:r>
      <w:r>
        <w:rPr>
          <w:i/>
          <w:sz w:val="20"/>
        </w:rPr>
        <w:t>2.51-3.25</w:t>
      </w:r>
      <w:r>
        <w:rPr>
          <w:i/>
          <w:spacing w:val="-3"/>
          <w:sz w:val="20"/>
        </w:rPr>
        <w:t> </w:t>
      </w:r>
      <w:r>
        <w:rPr>
          <w:i/>
          <w:sz w:val="20"/>
        </w:rPr>
        <w:t>–</w:t>
      </w:r>
      <w:r>
        <w:rPr>
          <w:i/>
          <w:spacing w:val="-4"/>
          <w:sz w:val="20"/>
        </w:rPr>
        <w:t> </w:t>
      </w:r>
      <w:r>
        <w:rPr>
          <w:i/>
          <w:sz w:val="20"/>
        </w:rPr>
        <w:t>Agree,</w:t>
      </w:r>
      <w:r>
        <w:rPr>
          <w:i/>
          <w:spacing w:val="-5"/>
          <w:sz w:val="20"/>
        </w:rPr>
        <w:t> </w:t>
      </w:r>
      <w:r>
        <w:rPr>
          <w:i/>
          <w:sz w:val="20"/>
        </w:rPr>
        <w:t>1.76-2.50</w:t>
      </w:r>
      <w:r>
        <w:rPr>
          <w:i/>
          <w:spacing w:val="-5"/>
          <w:sz w:val="20"/>
        </w:rPr>
        <w:t> </w:t>
      </w:r>
      <w:r>
        <w:rPr>
          <w:i/>
          <w:sz w:val="20"/>
        </w:rPr>
        <w:t>–</w:t>
      </w:r>
      <w:r>
        <w:rPr>
          <w:i/>
          <w:spacing w:val="-4"/>
          <w:sz w:val="20"/>
        </w:rPr>
        <w:t> </w:t>
      </w:r>
      <w:r>
        <w:rPr>
          <w:i/>
          <w:sz w:val="20"/>
        </w:rPr>
        <w:t>Disagree,</w:t>
      </w:r>
      <w:r>
        <w:rPr>
          <w:i/>
          <w:spacing w:val="-5"/>
          <w:sz w:val="20"/>
        </w:rPr>
        <w:t> </w:t>
      </w:r>
      <w:r>
        <w:rPr>
          <w:i/>
          <w:sz w:val="20"/>
        </w:rPr>
        <w:t>1.00-1.75</w:t>
      </w:r>
      <w:r>
        <w:rPr>
          <w:i/>
          <w:spacing w:val="-3"/>
          <w:sz w:val="20"/>
        </w:rPr>
        <w:t> </w:t>
      </w:r>
      <w:r>
        <w:rPr>
          <w:i/>
          <w:sz w:val="20"/>
        </w:rPr>
        <w:t>–</w:t>
      </w:r>
      <w:r>
        <w:rPr>
          <w:i/>
          <w:spacing w:val="-5"/>
          <w:sz w:val="20"/>
        </w:rPr>
        <w:t> </w:t>
      </w:r>
      <w:r>
        <w:rPr>
          <w:i/>
          <w:sz w:val="20"/>
        </w:rPr>
        <w:t>Strongly</w:t>
      </w:r>
      <w:r>
        <w:rPr>
          <w:i/>
          <w:spacing w:val="-5"/>
          <w:sz w:val="20"/>
        </w:rPr>
        <w:t> </w:t>
      </w:r>
      <w:r>
        <w:rPr>
          <w:i/>
          <w:spacing w:val="-2"/>
          <w:sz w:val="20"/>
        </w:rPr>
        <w:t>Disagree</w:t>
      </w:r>
    </w:p>
    <w:p>
      <w:pPr>
        <w:spacing w:before="0"/>
        <w:ind w:left="5" w:right="754" w:firstLine="0"/>
        <w:jc w:val="center"/>
        <w:rPr>
          <w:i/>
          <w:sz w:val="20"/>
        </w:rPr>
      </w:pPr>
      <w:r>
        <w:rPr>
          <w:i/>
          <w:sz w:val="20"/>
        </w:rPr>
        <w:t>**3.26-4.00</w:t>
      </w:r>
      <w:r>
        <w:rPr>
          <w:i/>
          <w:spacing w:val="-5"/>
          <w:sz w:val="20"/>
        </w:rPr>
        <w:t> </w:t>
      </w:r>
      <w:r>
        <w:rPr>
          <w:i/>
          <w:sz w:val="20"/>
        </w:rPr>
        <w:t>–</w:t>
      </w:r>
      <w:r>
        <w:rPr>
          <w:i/>
          <w:spacing w:val="-3"/>
          <w:sz w:val="20"/>
        </w:rPr>
        <w:t> </w:t>
      </w:r>
      <w:r>
        <w:rPr>
          <w:i/>
          <w:sz w:val="20"/>
        </w:rPr>
        <w:t>Very</w:t>
      </w:r>
      <w:r>
        <w:rPr>
          <w:i/>
          <w:spacing w:val="-4"/>
          <w:sz w:val="20"/>
        </w:rPr>
        <w:t> </w:t>
      </w:r>
      <w:r>
        <w:rPr>
          <w:i/>
          <w:sz w:val="20"/>
        </w:rPr>
        <w:t>High,</w:t>
      </w:r>
      <w:r>
        <w:rPr>
          <w:i/>
          <w:spacing w:val="-5"/>
          <w:sz w:val="20"/>
        </w:rPr>
        <w:t> </w:t>
      </w:r>
      <w:r>
        <w:rPr>
          <w:i/>
          <w:sz w:val="20"/>
        </w:rPr>
        <w:t>2.51-3.25</w:t>
      </w:r>
      <w:r>
        <w:rPr>
          <w:i/>
          <w:spacing w:val="-5"/>
          <w:sz w:val="20"/>
        </w:rPr>
        <w:t> </w:t>
      </w:r>
      <w:r>
        <w:rPr>
          <w:i/>
          <w:sz w:val="20"/>
        </w:rPr>
        <w:t>–</w:t>
      </w:r>
      <w:r>
        <w:rPr>
          <w:i/>
          <w:spacing w:val="-3"/>
          <w:sz w:val="20"/>
        </w:rPr>
        <w:t> </w:t>
      </w:r>
      <w:r>
        <w:rPr>
          <w:i/>
          <w:sz w:val="20"/>
        </w:rPr>
        <w:t>High,</w:t>
      </w:r>
      <w:r>
        <w:rPr>
          <w:i/>
          <w:spacing w:val="-4"/>
          <w:sz w:val="20"/>
        </w:rPr>
        <w:t> </w:t>
      </w:r>
      <w:r>
        <w:rPr>
          <w:i/>
          <w:sz w:val="20"/>
        </w:rPr>
        <w:t>1.76-2.50</w:t>
      </w:r>
      <w:r>
        <w:rPr>
          <w:i/>
          <w:spacing w:val="-5"/>
          <w:sz w:val="20"/>
        </w:rPr>
        <w:t> </w:t>
      </w:r>
      <w:r>
        <w:rPr>
          <w:i/>
          <w:sz w:val="20"/>
        </w:rPr>
        <w:t>–</w:t>
      </w:r>
      <w:r>
        <w:rPr>
          <w:i/>
          <w:spacing w:val="-4"/>
          <w:sz w:val="20"/>
        </w:rPr>
        <w:t> </w:t>
      </w:r>
      <w:r>
        <w:rPr>
          <w:i/>
          <w:sz w:val="20"/>
        </w:rPr>
        <w:t>Low,</w:t>
      </w:r>
      <w:r>
        <w:rPr>
          <w:i/>
          <w:spacing w:val="-4"/>
          <w:sz w:val="20"/>
        </w:rPr>
        <w:t> </w:t>
      </w:r>
      <w:r>
        <w:rPr>
          <w:i/>
          <w:sz w:val="20"/>
        </w:rPr>
        <w:t>1.00-1.75</w:t>
      </w:r>
      <w:r>
        <w:rPr>
          <w:i/>
          <w:spacing w:val="-2"/>
          <w:sz w:val="20"/>
        </w:rPr>
        <w:t> </w:t>
      </w:r>
      <w:r>
        <w:rPr>
          <w:i/>
          <w:sz w:val="20"/>
        </w:rPr>
        <w:t>–</w:t>
      </w:r>
      <w:r>
        <w:rPr>
          <w:i/>
          <w:spacing w:val="-5"/>
          <w:sz w:val="20"/>
        </w:rPr>
        <w:t> </w:t>
      </w:r>
      <w:r>
        <w:rPr>
          <w:i/>
          <w:sz w:val="20"/>
        </w:rPr>
        <w:t>Very</w:t>
      </w:r>
      <w:r>
        <w:rPr>
          <w:i/>
          <w:spacing w:val="-4"/>
          <w:sz w:val="20"/>
        </w:rPr>
        <w:t> </w:t>
      </w:r>
      <w:r>
        <w:rPr>
          <w:i/>
          <w:spacing w:val="-5"/>
          <w:sz w:val="20"/>
        </w:rPr>
        <w:t>Low</w:t>
      </w:r>
    </w:p>
    <w:p>
      <w:pPr>
        <w:pStyle w:val="BodyText"/>
        <w:spacing w:before="6"/>
        <w:rPr>
          <w:i/>
          <w:sz w:val="20"/>
        </w:rPr>
      </w:pPr>
    </w:p>
    <w:p>
      <w:pPr>
        <w:pStyle w:val="BodyText"/>
        <w:spacing w:line="480" w:lineRule="auto"/>
        <w:ind w:left="326" w:right="1075" w:firstLine="720"/>
        <w:jc w:val="both"/>
      </w:pPr>
      <w:r>
        <w:rPr/>
        <w:t>Table 3.3.3. sustainability also registered a high rating (M = 3.02, SD = 0.81). Canteen staffs acknowledged that compostable packaging enhances the canteen’s eco- friendly image, reduces environmental harm from plastics, and is valued by customers. These results emphasize the role of compostable packaging in aligning operations with sustainability goals and in improving the school’s environmental responsibility.</w:t>
      </w:r>
    </w:p>
    <w:p>
      <w:pPr>
        <w:pStyle w:val="BodyText"/>
        <w:spacing w:before="159"/>
        <w:ind w:left="326"/>
        <w:jc w:val="both"/>
      </w:pPr>
      <w:r>
        <w:rPr>
          <w:b/>
        </w:rPr>
        <w:t>Table</w:t>
      </w:r>
      <w:r>
        <w:rPr>
          <w:b/>
          <w:spacing w:val="-4"/>
        </w:rPr>
        <w:t> </w:t>
      </w:r>
      <w:r>
        <w:rPr>
          <w:b/>
        </w:rPr>
        <w:t>3.3.4. </w:t>
      </w:r>
      <w:r>
        <w:rPr/>
        <w:t>Level</w:t>
      </w:r>
      <w:r>
        <w:rPr>
          <w:spacing w:val="-1"/>
        </w:rPr>
        <w:t> </w:t>
      </w:r>
      <w:r>
        <w:rPr/>
        <w:t>of Operational</w:t>
      </w:r>
      <w:r>
        <w:rPr>
          <w:spacing w:val="1"/>
        </w:rPr>
        <w:t> </w:t>
      </w:r>
      <w:r>
        <w:rPr/>
        <w:t>&amp;</w:t>
      </w:r>
      <w:r>
        <w:rPr>
          <w:spacing w:val="-3"/>
        </w:rPr>
        <w:t> </w:t>
      </w:r>
      <w:r>
        <w:rPr/>
        <w:t>Environmental</w:t>
      </w:r>
      <w:r>
        <w:rPr>
          <w:spacing w:val="-2"/>
        </w:rPr>
        <w:t> </w:t>
      </w:r>
      <w:r>
        <w:rPr/>
        <w:t>Benefits –</w:t>
      </w:r>
      <w:r>
        <w:rPr>
          <w:spacing w:val="-1"/>
        </w:rPr>
        <w:t> </w:t>
      </w:r>
      <w:r>
        <w:rPr/>
        <w:t>Overall</w:t>
      </w:r>
      <w:r>
        <w:rPr>
          <w:spacing w:val="-1"/>
        </w:rPr>
        <w:t> </w:t>
      </w:r>
      <w:r>
        <w:rPr>
          <w:spacing w:val="-2"/>
        </w:rPr>
        <w:t>Summary</w:t>
      </w:r>
    </w:p>
    <w:p>
      <w:pPr>
        <w:pStyle w:val="BodyText"/>
        <w:spacing w:before="7"/>
        <w:rPr>
          <w:sz w:val="12"/>
        </w:rPr>
      </w:pPr>
    </w:p>
    <w:tbl>
      <w:tblPr>
        <w:tblW w:w="0" w:type="auto"/>
        <w:jc w:val="left"/>
        <w:tblInd w:w="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18"/>
        <w:gridCol w:w="1394"/>
        <w:gridCol w:w="1205"/>
        <w:gridCol w:w="3617"/>
      </w:tblGrid>
      <w:tr>
        <w:trPr>
          <w:trHeight w:val="299" w:hRule="atLeast"/>
        </w:trPr>
        <w:tc>
          <w:tcPr>
            <w:tcW w:w="3218" w:type="dxa"/>
            <w:tcBorders>
              <w:top w:val="single" w:sz="6" w:space="0" w:color="000000"/>
              <w:bottom w:val="single" w:sz="4" w:space="0" w:color="000000"/>
            </w:tcBorders>
          </w:tcPr>
          <w:p>
            <w:pPr>
              <w:pStyle w:val="TableParagraph"/>
              <w:rPr>
                <w:sz w:val="22"/>
              </w:rPr>
            </w:pPr>
          </w:p>
        </w:tc>
        <w:tc>
          <w:tcPr>
            <w:tcW w:w="1394" w:type="dxa"/>
            <w:tcBorders>
              <w:top w:val="single" w:sz="6" w:space="0" w:color="000000"/>
              <w:bottom w:val="single" w:sz="4" w:space="0" w:color="000000"/>
            </w:tcBorders>
          </w:tcPr>
          <w:p>
            <w:pPr>
              <w:pStyle w:val="TableParagraph"/>
              <w:spacing w:line="275" w:lineRule="exact"/>
              <w:ind w:left="257"/>
              <w:rPr>
                <w:b/>
                <w:sz w:val="24"/>
              </w:rPr>
            </w:pPr>
            <w:r>
              <w:rPr>
                <w:b/>
                <w:spacing w:val="-4"/>
                <w:sz w:val="24"/>
              </w:rPr>
              <w:t>Mean</w:t>
            </w:r>
          </w:p>
        </w:tc>
        <w:tc>
          <w:tcPr>
            <w:tcW w:w="1205" w:type="dxa"/>
            <w:tcBorders>
              <w:top w:val="single" w:sz="6" w:space="0" w:color="000000"/>
              <w:bottom w:val="single" w:sz="4" w:space="0" w:color="000000"/>
            </w:tcBorders>
          </w:tcPr>
          <w:p>
            <w:pPr>
              <w:pStyle w:val="TableParagraph"/>
              <w:spacing w:line="275" w:lineRule="exact"/>
              <w:ind w:left="575"/>
              <w:rPr>
                <w:b/>
                <w:sz w:val="24"/>
              </w:rPr>
            </w:pPr>
            <w:r>
              <w:rPr>
                <w:b/>
                <w:spacing w:val="-5"/>
                <w:sz w:val="24"/>
              </w:rPr>
              <w:t>SD</w:t>
            </w:r>
          </w:p>
        </w:tc>
        <w:tc>
          <w:tcPr>
            <w:tcW w:w="3617" w:type="dxa"/>
            <w:tcBorders>
              <w:top w:val="single" w:sz="6" w:space="0" w:color="000000"/>
              <w:bottom w:val="single" w:sz="4" w:space="0" w:color="000000"/>
            </w:tcBorders>
          </w:tcPr>
          <w:p>
            <w:pPr>
              <w:pStyle w:val="TableParagraph"/>
              <w:spacing w:line="275" w:lineRule="exact"/>
              <w:ind w:left="228"/>
              <w:jc w:val="center"/>
              <w:rPr>
                <w:b/>
                <w:sz w:val="24"/>
              </w:rPr>
            </w:pPr>
            <w:r>
              <w:rPr>
                <w:b/>
                <w:spacing w:val="-2"/>
                <w:sz w:val="24"/>
              </w:rPr>
              <w:t>Interpretation</w:t>
            </w:r>
          </w:p>
        </w:tc>
      </w:tr>
      <w:tr>
        <w:trPr>
          <w:trHeight w:val="299" w:hRule="atLeast"/>
        </w:trPr>
        <w:tc>
          <w:tcPr>
            <w:tcW w:w="3218" w:type="dxa"/>
            <w:tcBorders>
              <w:top w:val="single" w:sz="4" w:space="0" w:color="000000"/>
              <w:bottom w:val="single" w:sz="4" w:space="0" w:color="000000"/>
            </w:tcBorders>
          </w:tcPr>
          <w:p>
            <w:pPr>
              <w:pStyle w:val="TableParagraph"/>
              <w:spacing w:line="270" w:lineRule="exact"/>
              <w:ind w:left="14"/>
              <w:rPr>
                <w:sz w:val="24"/>
              </w:rPr>
            </w:pPr>
            <w:r>
              <w:rPr>
                <w:spacing w:val="-2"/>
                <w:sz w:val="24"/>
              </w:rPr>
              <w:t>Practicality</w:t>
            </w:r>
          </w:p>
        </w:tc>
        <w:tc>
          <w:tcPr>
            <w:tcW w:w="1394" w:type="dxa"/>
            <w:tcBorders>
              <w:top w:val="single" w:sz="4" w:space="0" w:color="000000"/>
              <w:bottom w:val="single" w:sz="4" w:space="0" w:color="000000"/>
            </w:tcBorders>
          </w:tcPr>
          <w:p>
            <w:pPr>
              <w:pStyle w:val="TableParagraph"/>
              <w:spacing w:line="261" w:lineRule="exact" w:before="18"/>
              <w:ind w:left="217"/>
              <w:rPr>
                <w:sz w:val="24"/>
              </w:rPr>
            </w:pPr>
            <w:r>
              <w:rPr>
                <w:spacing w:val="-4"/>
                <w:sz w:val="24"/>
              </w:rPr>
              <w:t>2.99</w:t>
            </w:r>
          </w:p>
        </w:tc>
        <w:tc>
          <w:tcPr>
            <w:tcW w:w="1205" w:type="dxa"/>
            <w:tcBorders>
              <w:top w:val="single" w:sz="4" w:space="0" w:color="000000"/>
              <w:bottom w:val="single" w:sz="4" w:space="0" w:color="000000"/>
            </w:tcBorders>
          </w:tcPr>
          <w:p>
            <w:pPr>
              <w:pStyle w:val="TableParagraph"/>
              <w:spacing w:line="270" w:lineRule="exact"/>
              <w:ind w:left="549"/>
              <w:rPr>
                <w:sz w:val="24"/>
              </w:rPr>
            </w:pPr>
            <w:r>
              <w:rPr>
                <w:spacing w:val="-4"/>
                <w:sz w:val="24"/>
              </w:rPr>
              <w:t>0.97</w:t>
            </w:r>
          </w:p>
        </w:tc>
        <w:tc>
          <w:tcPr>
            <w:tcW w:w="3617" w:type="dxa"/>
            <w:tcBorders>
              <w:top w:val="single" w:sz="4" w:space="0" w:color="000000"/>
              <w:bottom w:val="single" w:sz="4" w:space="0" w:color="000000"/>
            </w:tcBorders>
          </w:tcPr>
          <w:p>
            <w:pPr>
              <w:pStyle w:val="TableParagraph"/>
              <w:spacing w:line="270" w:lineRule="exact"/>
              <w:ind w:left="228" w:right="3"/>
              <w:jc w:val="center"/>
              <w:rPr>
                <w:sz w:val="24"/>
              </w:rPr>
            </w:pPr>
            <w:r>
              <w:rPr>
                <w:spacing w:val="-4"/>
                <w:sz w:val="24"/>
              </w:rPr>
              <w:t>High</w:t>
            </w:r>
          </w:p>
        </w:tc>
      </w:tr>
      <w:tr>
        <w:trPr>
          <w:trHeight w:val="299" w:hRule="atLeast"/>
        </w:trPr>
        <w:tc>
          <w:tcPr>
            <w:tcW w:w="3218" w:type="dxa"/>
            <w:tcBorders>
              <w:top w:val="single" w:sz="4" w:space="0" w:color="000000"/>
              <w:bottom w:val="single" w:sz="4" w:space="0" w:color="000000"/>
            </w:tcBorders>
          </w:tcPr>
          <w:p>
            <w:pPr>
              <w:pStyle w:val="TableParagraph"/>
              <w:spacing w:line="270" w:lineRule="exact"/>
              <w:ind w:left="14"/>
              <w:rPr>
                <w:sz w:val="24"/>
              </w:rPr>
            </w:pPr>
            <w:r>
              <w:rPr>
                <w:sz w:val="24"/>
              </w:rPr>
              <w:t>Waste </w:t>
            </w:r>
            <w:r>
              <w:rPr>
                <w:spacing w:val="-2"/>
                <w:sz w:val="24"/>
              </w:rPr>
              <w:t>segregation</w:t>
            </w:r>
          </w:p>
        </w:tc>
        <w:tc>
          <w:tcPr>
            <w:tcW w:w="1394" w:type="dxa"/>
            <w:tcBorders>
              <w:top w:val="single" w:sz="4" w:space="0" w:color="000000"/>
              <w:bottom w:val="single" w:sz="4" w:space="0" w:color="000000"/>
            </w:tcBorders>
          </w:tcPr>
          <w:p>
            <w:pPr>
              <w:pStyle w:val="TableParagraph"/>
              <w:spacing w:line="261" w:lineRule="exact" w:before="18"/>
              <w:ind w:left="217"/>
              <w:rPr>
                <w:sz w:val="24"/>
              </w:rPr>
            </w:pPr>
            <w:r>
              <w:rPr>
                <w:spacing w:val="-4"/>
                <w:sz w:val="24"/>
              </w:rPr>
              <w:t>2.93</w:t>
            </w:r>
          </w:p>
        </w:tc>
        <w:tc>
          <w:tcPr>
            <w:tcW w:w="1205" w:type="dxa"/>
            <w:tcBorders>
              <w:top w:val="single" w:sz="4" w:space="0" w:color="000000"/>
              <w:bottom w:val="single" w:sz="4" w:space="0" w:color="000000"/>
            </w:tcBorders>
          </w:tcPr>
          <w:p>
            <w:pPr>
              <w:pStyle w:val="TableParagraph"/>
              <w:spacing w:line="270" w:lineRule="exact"/>
              <w:ind w:left="549"/>
              <w:rPr>
                <w:sz w:val="24"/>
              </w:rPr>
            </w:pPr>
            <w:r>
              <w:rPr>
                <w:spacing w:val="-4"/>
                <w:sz w:val="24"/>
              </w:rPr>
              <w:t>0.96</w:t>
            </w:r>
          </w:p>
        </w:tc>
        <w:tc>
          <w:tcPr>
            <w:tcW w:w="3617" w:type="dxa"/>
            <w:tcBorders>
              <w:top w:val="single" w:sz="4" w:space="0" w:color="000000"/>
              <w:bottom w:val="single" w:sz="4" w:space="0" w:color="000000"/>
            </w:tcBorders>
          </w:tcPr>
          <w:p>
            <w:pPr>
              <w:pStyle w:val="TableParagraph"/>
              <w:spacing w:line="270" w:lineRule="exact"/>
              <w:ind w:left="228" w:right="3"/>
              <w:jc w:val="center"/>
              <w:rPr>
                <w:sz w:val="24"/>
              </w:rPr>
            </w:pPr>
            <w:r>
              <w:rPr>
                <w:spacing w:val="-4"/>
                <w:sz w:val="24"/>
              </w:rPr>
              <w:t>High</w:t>
            </w:r>
          </w:p>
        </w:tc>
      </w:tr>
      <w:tr>
        <w:trPr>
          <w:trHeight w:val="299" w:hRule="atLeast"/>
        </w:trPr>
        <w:tc>
          <w:tcPr>
            <w:tcW w:w="3218" w:type="dxa"/>
            <w:tcBorders>
              <w:top w:val="single" w:sz="4" w:space="0" w:color="000000"/>
              <w:bottom w:val="single" w:sz="4" w:space="0" w:color="000000"/>
            </w:tcBorders>
          </w:tcPr>
          <w:p>
            <w:pPr>
              <w:pStyle w:val="TableParagraph"/>
              <w:spacing w:line="270" w:lineRule="exact"/>
              <w:ind w:left="14"/>
              <w:rPr>
                <w:sz w:val="24"/>
              </w:rPr>
            </w:pPr>
            <w:r>
              <w:rPr>
                <w:spacing w:val="-2"/>
                <w:sz w:val="24"/>
              </w:rPr>
              <w:t>Sustainability</w:t>
            </w:r>
          </w:p>
        </w:tc>
        <w:tc>
          <w:tcPr>
            <w:tcW w:w="1394" w:type="dxa"/>
            <w:tcBorders>
              <w:top w:val="single" w:sz="4" w:space="0" w:color="000000"/>
              <w:bottom w:val="single" w:sz="4" w:space="0" w:color="000000"/>
            </w:tcBorders>
          </w:tcPr>
          <w:p>
            <w:pPr>
              <w:pStyle w:val="TableParagraph"/>
              <w:spacing w:line="261" w:lineRule="exact" w:before="18"/>
              <w:ind w:left="217"/>
              <w:rPr>
                <w:sz w:val="24"/>
              </w:rPr>
            </w:pPr>
            <w:r>
              <w:rPr>
                <w:spacing w:val="-4"/>
                <w:sz w:val="24"/>
              </w:rPr>
              <w:t>3.02</w:t>
            </w:r>
          </w:p>
        </w:tc>
        <w:tc>
          <w:tcPr>
            <w:tcW w:w="1205" w:type="dxa"/>
            <w:tcBorders>
              <w:top w:val="single" w:sz="4" w:space="0" w:color="000000"/>
              <w:bottom w:val="single" w:sz="4" w:space="0" w:color="000000"/>
            </w:tcBorders>
          </w:tcPr>
          <w:p>
            <w:pPr>
              <w:pStyle w:val="TableParagraph"/>
              <w:spacing w:line="270" w:lineRule="exact"/>
              <w:ind w:left="549"/>
              <w:rPr>
                <w:sz w:val="24"/>
              </w:rPr>
            </w:pPr>
            <w:r>
              <w:rPr>
                <w:spacing w:val="-4"/>
                <w:sz w:val="24"/>
              </w:rPr>
              <w:t>0.81</w:t>
            </w:r>
          </w:p>
        </w:tc>
        <w:tc>
          <w:tcPr>
            <w:tcW w:w="3617" w:type="dxa"/>
            <w:tcBorders>
              <w:top w:val="single" w:sz="4" w:space="0" w:color="000000"/>
              <w:bottom w:val="single" w:sz="4" w:space="0" w:color="000000"/>
            </w:tcBorders>
          </w:tcPr>
          <w:p>
            <w:pPr>
              <w:pStyle w:val="TableParagraph"/>
              <w:spacing w:line="270" w:lineRule="exact"/>
              <w:ind w:left="228" w:right="3"/>
              <w:jc w:val="center"/>
              <w:rPr>
                <w:sz w:val="24"/>
              </w:rPr>
            </w:pPr>
            <w:r>
              <w:rPr>
                <w:spacing w:val="-4"/>
                <w:sz w:val="24"/>
              </w:rPr>
              <w:t>High</w:t>
            </w:r>
          </w:p>
        </w:tc>
      </w:tr>
      <w:tr>
        <w:trPr>
          <w:trHeight w:val="553" w:hRule="atLeast"/>
        </w:trPr>
        <w:tc>
          <w:tcPr>
            <w:tcW w:w="3218" w:type="dxa"/>
            <w:tcBorders>
              <w:top w:val="single" w:sz="4" w:space="0" w:color="000000"/>
              <w:bottom w:val="single" w:sz="6" w:space="0" w:color="000000"/>
            </w:tcBorders>
          </w:tcPr>
          <w:p>
            <w:pPr>
              <w:pStyle w:val="TableParagraph"/>
              <w:spacing w:line="276" w:lineRule="exact"/>
              <w:ind w:left="14"/>
              <w:rPr>
                <w:b/>
                <w:i/>
                <w:sz w:val="24"/>
              </w:rPr>
            </w:pPr>
            <w:r>
              <w:rPr>
                <w:b/>
                <w:i/>
                <w:sz w:val="24"/>
              </w:rPr>
              <w:t>Operational</w:t>
            </w:r>
            <w:r>
              <w:rPr>
                <w:b/>
                <w:i/>
                <w:spacing w:val="-15"/>
                <w:sz w:val="24"/>
              </w:rPr>
              <w:t> </w:t>
            </w:r>
            <w:r>
              <w:rPr>
                <w:b/>
                <w:i/>
                <w:sz w:val="24"/>
              </w:rPr>
              <w:t>&amp;</w:t>
            </w:r>
            <w:r>
              <w:rPr>
                <w:b/>
                <w:i/>
                <w:spacing w:val="-15"/>
                <w:sz w:val="24"/>
              </w:rPr>
              <w:t> </w:t>
            </w:r>
            <w:r>
              <w:rPr>
                <w:b/>
                <w:i/>
                <w:sz w:val="24"/>
              </w:rPr>
              <w:t>Environmental Benefits - Overall</w:t>
            </w:r>
          </w:p>
        </w:tc>
        <w:tc>
          <w:tcPr>
            <w:tcW w:w="1394" w:type="dxa"/>
            <w:tcBorders>
              <w:top w:val="single" w:sz="4" w:space="0" w:color="000000"/>
              <w:bottom w:val="single" w:sz="6" w:space="0" w:color="000000"/>
            </w:tcBorders>
          </w:tcPr>
          <w:p>
            <w:pPr>
              <w:pStyle w:val="TableParagraph"/>
              <w:spacing w:line="259" w:lineRule="exact" w:before="275"/>
              <w:ind w:left="217"/>
              <w:rPr>
                <w:b/>
                <w:sz w:val="24"/>
              </w:rPr>
            </w:pPr>
            <w:r>
              <w:rPr>
                <w:b/>
                <w:spacing w:val="-4"/>
                <w:sz w:val="24"/>
              </w:rPr>
              <w:t>2.98</w:t>
            </w:r>
          </w:p>
        </w:tc>
        <w:tc>
          <w:tcPr>
            <w:tcW w:w="1205" w:type="dxa"/>
            <w:tcBorders>
              <w:top w:val="single" w:sz="4" w:space="0" w:color="000000"/>
              <w:bottom w:val="single" w:sz="6" w:space="0" w:color="000000"/>
            </w:tcBorders>
          </w:tcPr>
          <w:p>
            <w:pPr>
              <w:pStyle w:val="TableParagraph"/>
              <w:spacing w:before="239"/>
              <w:ind w:left="549"/>
              <w:rPr>
                <w:b/>
                <w:sz w:val="24"/>
              </w:rPr>
            </w:pPr>
            <w:r>
              <w:rPr>
                <w:b/>
                <w:spacing w:val="-4"/>
                <w:sz w:val="24"/>
              </w:rPr>
              <w:t>0.91</w:t>
            </w:r>
          </w:p>
        </w:tc>
        <w:tc>
          <w:tcPr>
            <w:tcW w:w="3617" w:type="dxa"/>
            <w:tcBorders>
              <w:top w:val="single" w:sz="4" w:space="0" w:color="000000"/>
              <w:bottom w:val="single" w:sz="6" w:space="0" w:color="000000"/>
            </w:tcBorders>
          </w:tcPr>
          <w:p>
            <w:pPr>
              <w:pStyle w:val="TableParagraph"/>
              <w:spacing w:line="270" w:lineRule="exact"/>
              <w:ind w:left="316"/>
              <w:rPr>
                <w:sz w:val="24"/>
              </w:rPr>
            </w:pPr>
            <w:r>
              <w:rPr>
                <w:sz w:val="24"/>
              </w:rPr>
              <w:t>The</w:t>
            </w:r>
            <w:r>
              <w:rPr>
                <w:spacing w:val="-4"/>
                <w:sz w:val="24"/>
              </w:rPr>
              <w:t> </w:t>
            </w:r>
            <w:r>
              <w:rPr>
                <w:sz w:val="24"/>
              </w:rPr>
              <w:t>Overall Level</w:t>
            </w:r>
            <w:r>
              <w:rPr>
                <w:spacing w:val="-2"/>
                <w:sz w:val="24"/>
              </w:rPr>
              <w:t> </w:t>
            </w:r>
            <w:r>
              <w:rPr>
                <w:sz w:val="24"/>
              </w:rPr>
              <w:t>of</w:t>
            </w:r>
            <w:r>
              <w:rPr>
                <w:spacing w:val="2"/>
                <w:sz w:val="24"/>
              </w:rPr>
              <w:t> </w:t>
            </w:r>
            <w:r>
              <w:rPr>
                <w:spacing w:val="-2"/>
                <w:sz w:val="24"/>
              </w:rPr>
              <w:t>Operational</w:t>
            </w:r>
          </w:p>
          <w:p>
            <w:pPr>
              <w:pStyle w:val="TableParagraph"/>
              <w:spacing w:line="264" w:lineRule="exact"/>
              <w:ind w:left="232"/>
              <w:rPr>
                <w:b/>
                <w:sz w:val="24"/>
              </w:rPr>
            </w:pPr>
            <w:r>
              <w:rPr>
                <w:sz w:val="24"/>
              </w:rPr>
              <w:t>&amp;</w:t>
            </w:r>
            <w:r>
              <w:rPr>
                <w:spacing w:val="-3"/>
                <w:sz w:val="24"/>
              </w:rPr>
              <w:t> </w:t>
            </w:r>
            <w:r>
              <w:rPr>
                <w:sz w:val="24"/>
              </w:rPr>
              <w:t>Environmental</w:t>
            </w:r>
            <w:r>
              <w:rPr>
                <w:spacing w:val="1"/>
                <w:sz w:val="24"/>
              </w:rPr>
              <w:t> </w:t>
            </w:r>
            <w:r>
              <w:rPr>
                <w:sz w:val="24"/>
              </w:rPr>
              <w:t>Benefits is </w:t>
            </w:r>
            <w:r>
              <w:rPr>
                <w:b/>
                <w:spacing w:val="-2"/>
                <w:sz w:val="24"/>
              </w:rPr>
              <w:t>High.</w:t>
            </w:r>
          </w:p>
        </w:tc>
      </w:tr>
    </w:tbl>
    <w:p>
      <w:pPr>
        <w:pStyle w:val="TableParagraph"/>
        <w:spacing w:after="0" w:line="264" w:lineRule="exact"/>
        <w:rPr>
          <w:b/>
          <w:sz w:val="24"/>
        </w:rPr>
        <w:sectPr>
          <w:pgSz w:w="12240" w:h="15840"/>
          <w:pgMar w:header="763" w:footer="0" w:top="1340" w:bottom="280" w:left="1800" w:right="360"/>
        </w:sectPr>
      </w:pPr>
    </w:p>
    <w:p>
      <w:pPr>
        <w:pStyle w:val="BodyText"/>
        <w:spacing w:line="480" w:lineRule="auto" w:before="80"/>
        <w:ind w:left="326" w:right="1077" w:firstLine="720"/>
        <w:jc w:val="both"/>
      </w:pPr>
      <w:r>
        <w:rPr/>
        <w:t>The overall results in the table 3.3.4. show that compostable packaging provides high</w:t>
      </w:r>
      <w:r>
        <w:rPr>
          <w:spacing w:val="-8"/>
        </w:rPr>
        <w:t> </w:t>
      </w:r>
      <w:r>
        <w:rPr/>
        <w:t>operational</w:t>
      </w:r>
      <w:r>
        <w:rPr>
          <w:spacing w:val="-8"/>
        </w:rPr>
        <w:t> </w:t>
      </w:r>
      <w:r>
        <w:rPr/>
        <w:t>and</w:t>
      </w:r>
      <w:r>
        <w:rPr>
          <w:spacing w:val="-8"/>
        </w:rPr>
        <w:t> </w:t>
      </w:r>
      <w:r>
        <w:rPr/>
        <w:t>environmental</w:t>
      </w:r>
      <w:r>
        <w:rPr>
          <w:spacing w:val="-8"/>
        </w:rPr>
        <w:t> </w:t>
      </w:r>
      <w:r>
        <w:rPr/>
        <w:t>benefits</w:t>
      </w:r>
      <w:r>
        <w:rPr>
          <w:spacing w:val="-8"/>
        </w:rPr>
        <w:t> </w:t>
      </w:r>
      <w:r>
        <w:rPr/>
        <w:t>(M</w:t>
      </w:r>
      <w:r>
        <w:rPr>
          <w:spacing w:val="-9"/>
        </w:rPr>
        <w:t> </w:t>
      </w:r>
      <w:r>
        <w:rPr/>
        <w:t>=</w:t>
      </w:r>
      <w:r>
        <w:rPr>
          <w:spacing w:val="-7"/>
        </w:rPr>
        <w:t> </w:t>
      </w:r>
      <w:r>
        <w:rPr/>
        <w:t>2.98,</w:t>
      </w:r>
      <w:r>
        <w:rPr>
          <w:spacing w:val="-8"/>
        </w:rPr>
        <w:t> </w:t>
      </w:r>
      <w:r>
        <w:rPr/>
        <w:t>SD</w:t>
      </w:r>
      <w:r>
        <w:rPr>
          <w:spacing w:val="-9"/>
        </w:rPr>
        <w:t> </w:t>
      </w:r>
      <w:r>
        <w:rPr/>
        <w:t>=</w:t>
      </w:r>
      <w:r>
        <w:rPr>
          <w:spacing w:val="-9"/>
        </w:rPr>
        <w:t> </w:t>
      </w:r>
      <w:r>
        <w:rPr/>
        <w:t>0.91).</w:t>
      </w:r>
      <w:r>
        <w:rPr>
          <w:spacing w:val="-8"/>
        </w:rPr>
        <w:t> </w:t>
      </w:r>
      <w:r>
        <w:rPr/>
        <w:t>This</w:t>
      </w:r>
      <w:r>
        <w:rPr>
          <w:spacing w:val="-8"/>
        </w:rPr>
        <w:t> </w:t>
      </w:r>
      <w:r>
        <w:rPr/>
        <w:t>demonstrates</w:t>
      </w:r>
      <w:r>
        <w:rPr>
          <w:spacing w:val="-9"/>
        </w:rPr>
        <w:t> </w:t>
      </w:r>
      <w:r>
        <w:rPr/>
        <w:t>that despite cost implications, the practical, environmental, and sustainability advantages are strongly recognized by canteen staff, making the transition beneficial in the long term.</w:t>
      </w:r>
    </w:p>
    <w:p>
      <w:pPr>
        <w:pStyle w:val="Heading1"/>
        <w:numPr>
          <w:ilvl w:val="1"/>
          <w:numId w:val="1"/>
        </w:numPr>
        <w:tabs>
          <w:tab w:pos="686" w:val="left" w:leader="none"/>
        </w:tabs>
        <w:spacing w:line="240" w:lineRule="auto" w:before="165" w:after="0"/>
        <w:ind w:left="686" w:right="0" w:hanging="360"/>
        <w:jc w:val="both"/>
      </w:pPr>
      <w:r>
        <w:rPr/>
        <w:t>Descriptive</w:t>
      </w:r>
      <w:r>
        <w:rPr>
          <w:spacing w:val="-4"/>
        </w:rPr>
        <w:t> </w:t>
      </w:r>
      <w:r>
        <w:rPr/>
        <w:t>Analysis</w:t>
      </w:r>
      <w:r>
        <w:rPr>
          <w:spacing w:val="-1"/>
        </w:rPr>
        <w:t> </w:t>
      </w:r>
      <w:r>
        <w:rPr/>
        <w:t>on</w:t>
      </w:r>
      <w:r>
        <w:rPr>
          <w:spacing w:val="-2"/>
        </w:rPr>
        <w:t> </w:t>
      </w:r>
      <w:r>
        <w:rPr/>
        <w:t>the</w:t>
      </w:r>
      <w:r>
        <w:rPr>
          <w:spacing w:val="-1"/>
        </w:rPr>
        <w:t> </w:t>
      </w:r>
      <w:r>
        <w:rPr/>
        <w:t>Overall</w:t>
      </w:r>
      <w:r>
        <w:rPr>
          <w:spacing w:val="-1"/>
        </w:rPr>
        <w:t> </w:t>
      </w:r>
      <w:r>
        <w:rPr/>
        <w:t>Cost-</w:t>
      </w:r>
      <w:r>
        <w:rPr>
          <w:spacing w:val="-2"/>
        </w:rPr>
        <w:t>Benefit</w:t>
      </w:r>
    </w:p>
    <w:p>
      <w:pPr>
        <w:pStyle w:val="BodyText"/>
        <w:spacing w:before="272"/>
        <w:ind w:left="326"/>
      </w:pPr>
      <w:r>
        <w:rPr>
          <w:b/>
        </w:rPr>
        <w:t>Table</w:t>
      </w:r>
      <w:r>
        <w:rPr>
          <w:b/>
          <w:spacing w:val="-4"/>
        </w:rPr>
        <w:t> </w:t>
      </w:r>
      <w:r>
        <w:rPr>
          <w:b/>
        </w:rPr>
        <w:t>3.4.</w:t>
      </w:r>
      <w:r>
        <w:rPr>
          <w:b/>
          <w:spacing w:val="1"/>
        </w:rPr>
        <w:t> </w:t>
      </w:r>
      <w:r>
        <w:rPr/>
        <w:t>Level</w:t>
      </w:r>
      <w:r>
        <w:rPr>
          <w:spacing w:val="-2"/>
        </w:rPr>
        <w:t> </w:t>
      </w:r>
      <w:r>
        <w:rPr/>
        <w:t>of</w:t>
      </w:r>
      <w:r>
        <w:rPr>
          <w:spacing w:val="-1"/>
        </w:rPr>
        <w:t> </w:t>
      </w:r>
      <w:r>
        <w:rPr/>
        <w:t>Cost-Benefit</w:t>
      </w:r>
      <w:r>
        <w:rPr>
          <w:spacing w:val="-2"/>
        </w:rPr>
        <w:t> </w:t>
      </w:r>
      <w:r>
        <w:rPr/>
        <w:t>Between</w:t>
      </w:r>
      <w:r>
        <w:rPr>
          <w:spacing w:val="-1"/>
        </w:rPr>
        <w:t> </w:t>
      </w:r>
      <w:r>
        <w:rPr/>
        <w:t>Plastic</w:t>
      </w:r>
      <w:r>
        <w:rPr>
          <w:spacing w:val="-1"/>
        </w:rPr>
        <w:t> </w:t>
      </w:r>
      <w:r>
        <w:rPr/>
        <w:t>and</w:t>
      </w:r>
      <w:r>
        <w:rPr>
          <w:spacing w:val="-1"/>
        </w:rPr>
        <w:t> </w:t>
      </w:r>
      <w:r>
        <w:rPr/>
        <w:t>Compostable</w:t>
      </w:r>
      <w:r>
        <w:rPr>
          <w:spacing w:val="-2"/>
        </w:rPr>
        <w:t> Packaging</w:t>
      </w:r>
    </w:p>
    <w:p>
      <w:pPr>
        <w:pStyle w:val="BodyText"/>
        <w:spacing w:before="4"/>
        <w:rPr>
          <w:sz w:val="12"/>
        </w:rPr>
      </w:pPr>
    </w:p>
    <w:tbl>
      <w:tblPr>
        <w:tblW w:w="0" w:type="auto"/>
        <w:jc w:val="left"/>
        <w:tblInd w:w="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09"/>
        <w:gridCol w:w="1379"/>
        <w:gridCol w:w="1029"/>
        <w:gridCol w:w="3267"/>
      </w:tblGrid>
      <w:tr>
        <w:trPr>
          <w:trHeight w:val="345" w:hRule="atLeast"/>
        </w:trPr>
        <w:tc>
          <w:tcPr>
            <w:tcW w:w="3709" w:type="dxa"/>
            <w:tcBorders>
              <w:top w:val="single" w:sz="6" w:space="0" w:color="000000"/>
              <w:bottom w:val="single" w:sz="6" w:space="0" w:color="000000"/>
            </w:tcBorders>
          </w:tcPr>
          <w:p>
            <w:pPr>
              <w:pStyle w:val="TableParagraph"/>
              <w:spacing w:line="271" w:lineRule="exact"/>
              <w:ind w:left="74"/>
              <w:rPr>
                <w:b/>
                <w:i/>
                <w:sz w:val="24"/>
              </w:rPr>
            </w:pPr>
            <w:r>
              <w:rPr>
                <w:b/>
                <w:i/>
                <w:sz w:val="24"/>
              </w:rPr>
              <w:t>Item</w:t>
            </w:r>
            <w:r>
              <w:rPr>
                <w:b/>
                <w:i/>
                <w:spacing w:val="2"/>
                <w:sz w:val="24"/>
              </w:rPr>
              <w:t> </w:t>
            </w:r>
            <w:r>
              <w:rPr>
                <w:b/>
                <w:i/>
                <w:spacing w:val="-2"/>
                <w:sz w:val="24"/>
              </w:rPr>
              <w:t>Statements</w:t>
            </w:r>
          </w:p>
        </w:tc>
        <w:tc>
          <w:tcPr>
            <w:tcW w:w="1379" w:type="dxa"/>
            <w:tcBorders>
              <w:top w:val="single" w:sz="6" w:space="0" w:color="000000"/>
              <w:bottom w:val="single" w:sz="6" w:space="0" w:color="000000"/>
            </w:tcBorders>
          </w:tcPr>
          <w:p>
            <w:pPr>
              <w:pStyle w:val="TableParagraph"/>
              <w:spacing w:line="275" w:lineRule="exact"/>
              <w:ind w:right="130"/>
              <w:jc w:val="center"/>
              <w:rPr>
                <w:b/>
                <w:sz w:val="24"/>
              </w:rPr>
            </w:pPr>
            <w:r>
              <w:rPr>
                <w:b/>
                <w:spacing w:val="-4"/>
                <w:sz w:val="24"/>
              </w:rPr>
              <w:t>Mean</w:t>
            </w:r>
          </w:p>
        </w:tc>
        <w:tc>
          <w:tcPr>
            <w:tcW w:w="1029" w:type="dxa"/>
            <w:tcBorders>
              <w:top w:val="single" w:sz="6" w:space="0" w:color="000000"/>
              <w:bottom w:val="single" w:sz="6" w:space="0" w:color="000000"/>
            </w:tcBorders>
          </w:tcPr>
          <w:p>
            <w:pPr>
              <w:pStyle w:val="TableParagraph"/>
              <w:spacing w:line="275" w:lineRule="exact"/>
              <w:ind w:left="517"/>
              <w:rPr>
                <w:b/>
                <w:sz w:val="24"/>
              </w:rPr>
            </w:pPr>
            <w:r>
              <w:rPr>
                <w:b/>
                <w:spacing w:val="-5"/>
                <w:sz w:val="24"/>
              </w:rPr>
              <w:t>SD</w:t>
            </w:r>
          </w:p>
        </w:tc>
        <w:tc>
          <w:tcPr>
            <w:tcW w:w="3267" w:type="dxa"/>
            <w:tcBorders>
              <w:top w:val="single" w:sz="6" w:space="0" w:color="000000"/>
              <w:bottom w:val="single" w:sz="6" w:space="0" w:color="000000"/>
            </w:tcBorders>
          </w:tcPr>
          <w:p>
            <w:pPr>
              <w:pStyle w:val="TableParagraph"/>
              <w:spacing w:line="275" w:lineRule="exact"/>
              <w:ind w:left="105" w:right="2"/>
              <w:jc w:val="center"/>
              <w:rPr>
                <w:b/>
                <w:sz w:val="24"/>
              </w:rPr>
            </w:pPr>
            <w:r>
              <w:rPr>
                <w:b/>
                <w:sz w:val="24"/>
              </w:rPr>
              <w:t>Descriptive</w:t>
            </w:r>
            <w:r>
              <w:rPr>
                <w:b/>
                <w:spacing w:val="-7"/>
                <w:sz w:val="24"/>
              </w:rPr>
              <w:t> </w:t>
            </w:r>
            <w:r>
              <w:rPr>
                <w:b/>
                <w:spacing w:val="-4"/>
                <w:sz w:val="24"/>
              </w:rPr>
              <w:t>Level</w:t>
            </w:r>
          </w:p>
        </w:tc>
      </w:tr>
      <w:tr>
        <w:trPr>
          <w:trHeight w:val="827" w:hRule="atLeast"/>
        </w:trPr>
        <w:tc>
          <w:tcPr>
            <w:tcW w:w="3709" w:type="dxa"/>
            <w:tcBorders>
              <w:top w:val="single" w:sz="6" w:space="0" w:color="000000"/>
              <w:bottom w:val="single" w:sz="4" w:space="0" w:color="000000"/>
            </w:tcBorders>
          </w:tcPr>
          <w:p>
            <w:pPr>
              <w:pStyle w:val="TableParagraph"/>
              <w:tabs>
                <w:tab w:pos="724" w:val="left" w:leader="none"/>
                <w:tab w:pos="1707" w:val="left" w:leader="none"/>
                <w:tab w:pos="2206" w:val="left" w:leader="none"/>
                <w:tab w:pos="3172" w:val="left" w:leader="none"/>
              </w:tabs>
              <w:spacing w:line="270" w:lineRule="exact"/>
              <w:ind w:left="14"/>
              <w:rPr>
                <w:sz w:val="24"/>
              </w:rPr>
            </w:pPr>
            <w:r>
              <w:rPr>
                <w:spacing w:val="-4"/>
                <w:sz w:val="24"/>
              </w:rPr>
              <w:t>CB1:</w:t>
            </w:r>
            <w:r>
              <w:rPr>
                <w:sz w:val="24"/>
              </w:rPr>
              <w:tab/>
            </w:r>
            <w:r>
              <w:rPr>
                <w:spacing w:val="-2"/>
                <w:sz w:val="24"/>
              </w:rPr>
              <w:t>Overall,</w:t>
            </w:r>
            <w:r>
              <w:rPr>
                <w:sz w:val="24"/>
              </w:rPr>
              <w:tab/>
            </w:r>
            <w:r>
              <w:rPr>
                <w:spacing w:val="-5"/>
                <w:sz w:val="24"/>
              </w:rPr>
              <w:t>the</w:t>
            </w:r>
            <w:r>
              <w:rPr>
                <w:sz w:val="24"/>
              </w:rPr>
              <w:tab/>
            </w:r>
            <w:r>
              <w:rPr>
                <w:spacing w:val="-2"/>
                <w:sz w:val="24"/>
              </w:rPr>
              <w:t>benefits</w:t>
            </w:r>
            <w:r>
              <w:rPr>
                <w:sz w:val="24"/>
              </w:rPr>
              <w:tab/>
            </w:r>
            <w:r>
              <w:rPr>
                <w:spacing w:val="-5"/>
                <w:sz w:val="24"/>
              </w:rPr>
              <w:t>of</w:t>
            </w:r>
          </w:p>
          <w:p>
            <w:pPr>
              <w:pStyle w:val="TableParagraph"/>
              <w:spacing w:line="270" w:lineRule="atLeast"/>
              <w:ind w:left="14" w:right="335"/>
              <w:rPr>
                <w:sz w:val="24"/>
              </w:rPr>
            </w:pPr>
            <w:r>
              <w:rPr>
                <w:sz w:val="24"/>
              </w:rPr>
              <w:t>compostable</w:t>
            </w:r>
            <w:r>
              <w:rPr>
                <w:spacing w:val="40"/>
                <w:sz w:val="24"/>
              </w:rPr>
              <w:t> </w:t>
            </w:r>
            <w:r>
              <w:rPr>
                <w:sz w:val="24"/>
              </w:rPr>
              <w:t>packaging</w:t>
            </w:r>
            <w:r>
              <w:rPr>
                <w:spacing w:val="40"/>
                <w:sz w:val="24"/>
              </w:rPr>
              <w:t> </w:t>
            </w:r>
            <w:r>
              <w:rPr>
                <w:sz w:val="24"/>
              </w:rPr>
              <w:t>outweigh its costs.</w:t>
            </w:r>
          </w:p>
        </w:tc>
        <w:tc>
          <w:tcPr>
            <w:tcW w:w="1379" w:type="dxa"/>
            <w:tcBorders>
              <w:top w:val="single" w:sz="6" w:space="0" w:color="000000"/>
              <w:bottom w:val="single" w:sz="4" w:space="0" w:color="000000"/>
            </w:tcBorders>
          </w:tcPr>
          <w:p>
            <w:pPr>
              <w:pStyle w:val="TableParagraph"/>
              <w:spacing w:before="251"/>
              <w:ind w:left="3" w:right="130"/>
              <w:jc w:val="center"/>
              <w:rPr>
                <w:sz w:val="24"/>
              </w:rPr>
            </w:pPr>
            <w:r>
              <w:rPr>
                <w:spacing w:val="-4"/>
                <w:sz w:val="24"/>
              </w:rPr>
              <w:t>3.33</w:t>
            </w:r>
          </w:p>
        </w:tc>
        <w:tc>
          <w:tcPr>
            <w:tcW w:w="1029" w:type="dxa"/>
            <w:tcBorders>
              <w:top w:val="single" w:sz="6" w:space="0" w:color="000000"/>
              <w:bottom w:val="single" w:sz="4" w:space="0" w:color="000000"/>
            </w:tcBorders>
          </w:tcPr>
          <w:p>
            <w:pPr>
              <w:pStyle w:val="TableParagraph"/>
              <w:spacing w:before="270"/>
              <w:ind w:left="461"/>
              <w:rPr>
                <w:sz w:val="24"/>
              </w:rPr>
            </w:pPr>
            <w:r>
              <w:rPr>
                <w:spacing w:val="-4"/>
                <w:sz w:val="24"/>
              </w:rPr>
              <w:t>0.82</w:t>
            </w:r>
          </w:p>
        </w:tc>
        <w:tc>
          <w:tcPr>
            <w:tcW w:w="3267" w:type="dxa"/>
            <w:tcBorders>
              <w:top w:val="single" w:sz="6" w:space="0" w:color="000000"/>
              <w:bottom w:val="single" w:sz="4" w:space="0" w:color="000000"/>
            </w:tcBorders>
          </w:tcPr>
          <w:p>
            <w:pPr>
              <w:pStyle w:val="TableParagraph"/>
              <w:spacing w:before="270"/>
              <w:ind w:left="105" w:right="1"/>
              <w:jc w:val="center"/>
              <w:rPr>
                <w:sz w:val="24"/>
              </w:rPr>
            </w:pPr>
            <w:r>
              <w:rPr>
                <w:sz w:val="24"/>
              </w:rPr>
              <w:t>Strongly</w:t>
            </w:r>
            <w:r>
              <w:rPr>
                <w:spacing w:val="-3"/>
                <w:sz w:val="24"/>
              </w:rPr>
              <w:t> </w:t>
            </w:r>
            <w:r>
              <w:rPr>
                <w:spacing w:val="-2"/>
                <w:sz w:val="24"/>
              </w:rPr>
              <w:t>Agree</w:t>
            </w:r>
          </w:p>
        </w:tc>
      </w:tr>
      <w:tr>
        <w:trPr>
          <w:trHeight w:val="827" w:hRule="atLeast"/>
        </w:trPr>
        <w:tc>
          <w:tcPr>
            <w:tcW w:w="3709" w:type="dxa"/>
            <w:tcBorders>
              <w:top w:val="single" w:sz="4" w:space="0" w:color="000000"/>
              <w:bottom w:val="single" w:sz="4" w:space="0" w:color="000000"/>
            </w:tcBorders>
          </w:tcPr>
          <w:p>
            <w:pPr>
              <w:pStyle w:val="TableParagraph"/>
              <w:tabs>
                <w:tab w:pos="830" w:val="left" w:leader="none"/>
                <w:tab w:pos="1379" w:val="left" w:leader="none"/>
                <w:tab w:pos="2691" w:val="left" w:leader="none"/>
              </w:tabs>
              <w:ind w:left="14" w:right="335"/>
              <w:rPr>
                <w:sz w:val="24"/>
              </w:rPr>
            </w:pPr>
            <w:r>
              <w:rPr>
                <w:sz w:val="24"/>
              </w:rPr>
              <w:t>CB2:</w:t>
            </w:r>
            <w:r>
              <w:rPr>
                <w:spacing w:val="40"/>
                <w:sz w:val="24"/>
              </w:rPr>
              <w:t> </w:t>
            </w:r>
            <w:r>
              <w:rPr>
                <w:sz w:val="24"/>
              </w:rPr>
              <w:t>Compostable</w:t>
            </w:r>
            <w:r>
              <w:rPr>
                <w:spacing w:val="40"/>
                <w:sz w:val="24"/>
              </w:rPr>
              <w:t> </w:t>
            </w:r>
            <w:r>
              <w:rPr>
                <w:sz w:val="24"/>
              </w:rPr>
              <w:t>packaging</w:t>
            </w:r>
            <w:r>
              <w:rPr>
                <w:spacing w:val="40"/>
                <w:sz w:val="24"/>
              </w:rPr>
              <w:t> </w:t>
            </w:r>
            <w:r>
              <w:rPr>
                <w:sz w:val="24"/>
              </w:rPr>
              <w:t>is </w:t>
            </w:r>
            <w:r>
              <w:rPr>
                <w:spacing w:val="-2"/>
                <w:sz w:val="24"/>
              </w:rPr>
              <w:t>worth</w:t>
            </w:r>
            <w:r>
              <w:rPr>
                <w:sz w:val="24"/>
              </w:rPr>
              <w:tab/>
            </w:r>
            <w:r>
              <w:rPr>
                <w:spacing w:val="-5"/>
                <w:sz w:val="24"/>
              </w:rPr>
              <w:t>the</w:t>
            </w:r>
            <w:r>
              <w:rPr>
                <w:sz w:val="24"/>
              </w:rPr>
              <w:tab/>
            </w:r>
            <w:r>
              <w:rPr>
                <w:spacing w:val="-2"/>
                <w:sz w:val="24"/>
              </w:rPr>
              <w:t>investment</w:t>
            </w:r>
            <w:r>
              <w:rPr>
                <w:sz w:val="24"/>
              </w:rPr>
              <w:tab/>
            </w:r>
            <w:r>
              <w:rPr>
                <w:spacing w:val="-2"/>
                <w:sz w:val="24"/>
              </w:rPr>
              <w:t>despite</w:t>
            </w:r>
          </w:p>
          <w:p>
            <w:pPr>
              <w:pStyle w:val="TableParagraph"/>
              <w:spacing w:line="261" w:lineRule="exact"/>
              <w:ind w:left="14"/>
              <w:rPr>
                <w:sz w:val="24"/>
              </w:rPr>
            </w:pPr>
            <w:r>
              <w:rPr>
                <w:sz w:val="24"/>
              </w:rPr>
              <w:t>higher</w:t>
            </w:r>
            <w:r>
              <w:rPr>
                <w:spacing w:val="-2"/>
                <w:sz w:val="24"/>
              </w:rPr>
              <w:t> costs.</w:t>
            </w:r>
          </w:p>
        </w:tc>
        <w:tc>
          <w:tcPr>
            <w:tcW w:w="1379" w:type="dxa"/>
            <w:tcBorders>
              <w:top w:val="single" w:sz="4" w:space="0" w:color="000000"/>
              <w:bottom w:val="single" w:sz="4" w:space="0" w:color="000000"/>
            </w:tcBorders>
          </w:tcPr>
          <w:p>
            <w:pPr>
              <w:pStyle w:val="TableParagraph"/>
              <w:spacing w:before="270"/>
              <w:ind w:left="3" w:right="130"/>
              <w:jc w:val="center"/>
              <w:rPr>
                <w:sz w:val="24"/>
              </w:rPr>
            </w:pPr>
            <w:r>
              <w:rPr>
                <w:spacing w:val="-4"/>
                <w:sz w:val="24"/>
              </w:rPr>
              <w:t>2.87</w:t>
            </w:r>
          </w:p>
        </w:tc>
        <w:tc>
          <w:tcPr>
            <w:tcW w:w="1029" w:type="dxa"/>
            <w:tcBorders>
              <w:top w:val="single" w:sz="4" w:space="0" w:color="000000"/>
              <w:bottom w:val="single" w:sz="4" w:space="0" w:color="000000"/>
            </w:tcBorders>
          </w:tcPr>
          <w:p>
            <w:pPr>
              <w:pStyle w:val="TableParagraph"/>
              <w:spacing w:before="270"/>
              <w:ind w:left="461"/>
              <w:rPr>
                <w:sz w:val="24"/>
              </w:rPr>
            </w:pPr>
            <w:r>
              <w:rPr>
                <w:spacing w:val="-4"/>
                <w:sz w:val="24"/>
              </w:rPr>
              <w:t>0.96</w:t>
            </w:r>
          </w:p>
        </w:tc>
        <w:tc>
          <w:tcPr>
            <w:tcW w:w="3267" w:type="dxa"/>
            <w:tcBorders>
              <w:top w:val="single" w:sz="4" w:space="0" w:color="000000"/>
              <w:bottom w:val="single" w:sz="4" w:space="0" w:color="000000"/>
            </w:tcBorders>
          </w:tcPr>
          <w:p>
            <w:pPr>
              <w:pStyle w:val="TableParagraph"/>
              <w:spacing w:before="270"/>
              <w:ind w:left="105"/>
              <w:jc w:val="center"/>
              <w:rPr>
                <w:sz w:val="24"/>
              </w:rPr>
            </w:pPr>
            <w:r>
              <w:rPr>
                <w:spacing w:val="-2"/>
                <w:sz w:val="24"/>
              </w:rPr>
              <w:t>Agree</w:t>
            </w:r>
          </w:p>
        </w:tc>
      </w:tr>
      <w:tr>
        <w:trPr>
          <w:trHeight w:val="676" w:hRule="atLeast"/>
        </w:trPr>
        <w:tc>
          <w:tcPr>
            <w:tcW w:w="3709" w:type="dxa"/>
            <w:tcBorders>
              <w:top w:val="single" w:sz="4" w:space="0" w:color="000000"/>
              <w:bottom w:val="single" w:sz="4" w:space="0" w:color="000000"/>
            </w:tcBorders>
          </w:tcPr>
          <w:p>
            <w:pPr>
              <w:pStyle w:val="TableParagraph"/>
              <w:ind w:left="14"/>
              <w:rPr>
                <w:sz w:val="24"/>
              </w:rPr>
            </w:pPr>
            <w:r>
              <w:rPr>
                <w:sz w:val="24"/>
              </w:rPr>
              <w:t>CB3:</w:t>
            </w:r>
            <w:r>
              <w:rPr>
                <w:spacing w:val="80"/>
                <w:sz w:val="24"/>
              </w:rPr>
              <w:t> </w:t>
            </w:r>
            <w:r>
              <w:rPr>
                <w:sz w:val="24"/>
              </w:rPr>
              <w:t>The</w:t>
            </w:r>
            <w:r>
              <w:rPr>
                <w:spacing w:val="80"/>
                <w:sz w:val="24"/>
              </w:rPr>
              <w:t> </w:t>
            </w:r>
            <w:r>
              <w:rPr>
                <w:sz w:val="24"/>
              </w:rPr>
              <w:t>switch</w:t>
            </w:r>
            <w:r>
              <w:rPr>
                <w:spacing w:val="80"/>
                <w:sz w:val="24"/>
              </w:rPr>
              <w:t> </w:t>
            </w:r>
            <w:r>
              <w:rPr>
                <w:sz w:val="24"/>
              </w:rPr>
              <w:t>improves</w:t>
            </w:r>
            <w:r>
              <w:rPr>
                <w:spacing w:val="80"/>
                <w:sz w:val="24"/>
              </w:rPr>
              <w:t> </w:t>
            </w:r>
            <w:r>
              <w:rPr>
                <w:sz w:val="24"/>
              </w:rPr>
              <w:t>the canteen’s</w:t>
            </w:r>
            <w:r>
              <w:rPr>
                <w:spacing w:val="-3"/>
                <w:sz w:val="24"/>
              </w:rPr>
              <w:t> </w:t>
            </w:r>
            <w:r>
              <w:rPr>
                <w:sz w:val="24"/>
              </w:rPr>
              <w:t>image</w:t>
            </w:r>
            <w:r>
              <w:rPr>
                <w:spacing w:val="-2"/>
                <w:sz w:val="24"/>
              </w:rPr>
              <w:t> </w:t>
            </w:r>
            <w:r>
              <w:rPr>
                <w:sz w:val="24"/>
              </w:rPr>
              <w:t>among</w:t>
            </w:r>
            <w:r>
              <w:rPr>
                <w:spacing w:val="-2"/>
                <w:sz w:val="24"/>
              </w:rPr>
              <w:t> </w:t>
            </w:r>
            <w:r>
              <w:rPr>
                <w:spacing w:val="-2"/>
                <w:sz w:val="24"/>
              </w:rPr>
              <w:t>customers.</w:t>
            </w:r>
          </w:p>
        </w:tc>
        <w:tc>
          <w:tcPr>
            <w:tcW w:w="1379" w:type="dxa"/>
            <w:tcBorders>
              <w:top w:val="single" w:sz="4" w:space="0" w:color="000000"/>
              <w:bottom w:val="single" w:sz="4" w:space="0" w:color="000000"/>
            </w:tcBorders>
          </w:tcPr>
          <w:p>
            <w:pPr>
              <w:pStyle w:val="TableParagraph"/>
              <w:spacing w:before="193"/>
              <w:ind w:left="3" w:right="130"/>
              <w:jc w:val="center"/>
              <w:rPr>
                <w:sz w:val="24"/>
              </w:rPr>
            </w:pPr>
            <w:r>
              <w:rPr>
                <w:spacing w:val="-4"/>
                <w:sz w:val="24"/>
              </w:rPr>
              <w:t>3.07</w:t>
            </w:r>
          </w:p>
        </w:tc>
        <w:tc>
          <w:tcPr>
            <w:tcW w:w="1029" w:type="dxa"/>
            <w:tcBorders>
              <w:top w:val="single" w:sz="4" w:space="0" w:color="000000"/>
              <w:bottom w:val="single" w:sz="4" w:space="0" w:color="000000"/>
            </w:tcBorders>
          </w:tcPr>
          <w:p>
            <w:pPr>
              <w:pStyle w:val="TableParagraph"/>
              <w:spacing w:before="193"/>
              <w:ind w:left="461"/>
              <w:rPr>
                <w:sz w:val="24"/>
              </w:rPr>
            </w:pPr>
            <w:r>
              <w:rPr>
                <w:spacing w:val="-4"/>
                <w:sz w:val="24"/>
              </w:rPr>
              <w:t>0.96</w:t>
            </w:r>
          </w:p>
        </w:tc>
        <w:tc>
          <w:tcPr>
            <w:tcW w:w="3267" w:type="dxa"/>
            <w:tcBorders>
              <w:top w:val="single" w:sz="4" w:space="0" w:color="000000"/>
              <w:bottom w:val="single" w:sz="4" w:space="0" w:color="000000"/>
            </w:tcBorders>
          </w:tcPr>
          <w:p>
            <w:pPr>
              <w:pStyle w:val="TableParagraph"/>
              <w:spacing w:before="234"/>
              <w:ind w:left="105"/>
              <w:jc w:val="center"/>
              <w:rPr>
                <w:sz w:val="24"/>
              </w:rPr>
            </w:pPr>
            <w:r>
              <w:rPr>
                <w:spacing w:val="-2"/>
                <w:sz w:val="24"/>
              </w:rPr>
              <w:t>Agree</w:t>
            </w:r>
          </w:p>
        </w:tc>
      </w:tr>
      <w:tr>
        <w:trPr>
          <w:trHeight w:val="676" w:hRule="atLeast"/>
        </w:trPr>
        <w:tc>
          <w:tcPr>
            <w:tcW w:w="3709" w:type="dxa"/>
            <w:tcBorders>
              <w:top w:val="single" w:sz="4" w:space="0" w:color="000000"/>
              <w:bottom w:val="single" w:sz="4" w:space="0" w:color="000000"/>
            </w:tcBorders>
          </w:tcPr>
          <w:p>
            <w:pPr>
              <w:pStyle w:val="TableParagraph"/>
              <w:ind w:left="14"/>
              <w:rPr>
                <w:sz w:val="24"/>
              </w:rPr>
            </w:pPr>
            <w:r>
              <w:rPr>
                <w:sz w:val="24"/>
              </w:rPr>
              <w:t>CB4:</w:t>
            </w:r>
            <w:r>
              <w:rPr>
                <w:spacing w:val="40"/>
                <w:sz w:val="24"/>
              </w:rPr>
              <w:t> </w:t>
            </w:r>
            <w:r>
              <w:rPr>
                <w:sz w:val="24"/>
              </w:rPr>
              <w:t>The</w:t>
            </w:r>
            <w:r>
              <w:rPr>
                <w:spacing w:val="40"/>
                <w:sz w:val="24"/>
              </w:rPr>
              <w:t> </w:t>
            </w:r>
            <w:r>
              <w:rPr>
                <w:sz w:val="24"/>
              </w:rPr>
              <w:t>switch</w:t>
            </w:r>
            <w:r>
              <w:rPr>
                <w:spacing w:val="40"/>
                <w:sz w:val="24"/>
              </w:rPr>
              <w:t> </w:t>
            </w:r>
            <w:r>
              <w:rPr>
                <w:sz w:val="24"/>
              </w:rPr>
              <w:t>promotes</w:t>
            </w:r>
            <w:r>
              <w:rPr>
                <w:spacing w:val="40"/>
                <w:sz w:val="24"/>
              </w:rPr>
              <w:t> </w:t>
            </w:r>
            <w:r>
              <w:rPr>
                <w:sz w:val="24"/>
              </w:rPr>
              <w:t>long- term savings for the canteen.</w:t>
            </w:r>
          </w:p>
        </w:tc>
        <w:tc>
          <w:tcPr>
            <w:tcW w:w="1379" w:type="dxa"/>
            <w:tcBorders>
              <w:top w:val="single" w:sz="4" w:space="0" w:color="000000"/>
              <w:bottom w:val="single" w:sz="4" w:space="0" w:color="000000"/>
            </w:tcBorders>
          </w:tcPr>
          <w:p>
            <w:pPr>
              <w:pStyle w:val="TableParagraph"/>
              <w:spacing w:before="193"/>
              <w:ind w:left="3" w:right="130"/>
              <w:jc w:val="center"/>
              <w:rPr>
                <w:sz w:val="24"/>
              </w:rPr>
            </w:pPr>
            <w:r>
              <w:rPr>
                <w:spacing w:val="-4"/>
                <w:sz w:val="24"/>
              </w:rPr>
              <w:t>2.80</w:t>
            </w:r>
          </w:p>
        </w:tc>
        <w:tc>
          <w:tcPr>
            <w:tcW w:w="1029" w:type="dxa"/>
            <w:tcBorders>
              <w:top w:val="single" w:sz="4" w:space="0" w:color="000000"/>
              <w:bottom w:val="single" w:sz="4" w:space="0" w:color="000000"/>
            </w:tcBorders>
          </w:tcPr>
          <w:p>
            <w:pPr>
              <w:pStyle w:val="TableParagraph"/>
              <w:spacing w:before="193"/>
              <w:ind w:left="461"/>
              <w:rPr>
                <w:sz w:val="24"/>
              </w:rPr>
            </w:pPr>
            <w:r>
              <w:rPr>
                <w:spacing w:val="-4"/>
                <w:sz w:val="24"/>
              </w:rPr>
              <w:t>0.41</w:t>
            </w:r>
          </w:p>
        </w:tc>
        <w:tc>
          <w:tcPr>
            <w:tcW w:w="3267" w:type="dxa"/>
            <w:tcBorders>
              <w:top w:val="single" w:sz="4" w:space="0" w:color="000000"/>
              <w:bottom w:val="single" w:sz="4" w:space="0" w:color="000000"/>
            </w:tcBorders>
          </w:tcPr>
          <w:p>
            <w:pPr>
              <w:pStyle w:val="TableParagraph"/>
              <w:spacing w:before="234"/>
              <w:ind w:left="105"/>
              <w:jc w:val="center"/>
              <w:rPr>
                <w:sz w:val="24"/>
              </w:rPr>
            </w:pPr>
            <w:r>
              <w:rPr>
                <w:spacing w:val="-2"/>
                <w:sz w:val="24"/>
              </w:rPr>
              <w:t>Agree</w:t>
            </w:r>
          </w:p>
        </w:tc>
      </w:tr>
      <w:tr>
        <w:trPr>
          <w:trHeight w:val="827" w:hRule="atLeast"/>
        </w:trPr>
        <w:tc>
          <w:tcPr>
            <w:tcW w:w="3709" w:type="dxa"/>
            <w:tcBorders>
              <w:top w:val="single" w:sz="4" w:space="0" w:color="000000"/>
              <w:bottom w:val="single" w:sz="4" w:space="0" w:color="000000"/>
            </w:tcBorders>
          </w:tcPr>
          <w:p>
            <w:pPr>
              <w:pStyle w:val="TableParagraph"/>
              <w:tabs>
                <w:tab w:pos="820" w:val="left" w:leader="none"/>
                <w:tab w:pos="2386" w:val="left" w:leader="none"/>
              </w:tabs>
              <w:ind w:left="14" w:right="334"/>
              <w:rPr>
                <w:sz w:val="24"/>
              </w:rPr>
            </w:pPr>
            <w:r>
              <w:rPr>
                <w:spacing w:val="-4"/>
                <w:sz w:val="24"/>
              </w:rPr>
              <w:t>CB5:</w:t>
            </w:r>
            <w:r>
              <w:rPr>
                <w:sz w:val="24"/>
              </w:rPr>
              <w:tab/>
            </w:r>
            <w:r>
              <w:rPr>
                <w:spacing w:val="-2"/>
                <w:sz w:val="24"/>
              </w:rPr>
              <w:t>Compostable</w:t>
            </w:r>
            <w:r>
              <w:rPr>
                <w:sz w:val="24"/>
              </w:rPr>
              <w:tab/>
            </w:r>
            <w:r>
              <w:rPr>
                <w:spacing w:val="-2"/>
                <w:sz w:val="24"/>
              </w:rPr>
              <w:t>packaging </w:t>
            </w:r>
            <w:r>
              <w:rPr>
                <w:sz w:val="24"/>
              </w:rPr>
              <w:t>motivates</w:t>
            </w:r>
            <w:r>
              <w:rPr>
                <w:spacing w:val="69"/>
                <w:w w:val="150"/>
                <w:sz w:val="24"/>
              </w:rPr>
              <w:t> </w:t>
            </w:r>
            <w:r>
              <w:rPr>
                <w:sz w:val="24"/>
              </w:rPr>
              <w:t>the</w:t>
            </w:r>
            <w:r>
              <w:rPr>
                <w:spacing w:val="70"/>
                <w:w w:val="150"/>
                <w:sz w:val="24"/>
              </w:rPr>
              <w:t> </w:t>
            </w:r>
            <w:r>
              <w:rPr>
                <w:sz w:val="24"/>
              </w:rPr>
              <w:t>staff</w:t>
            </w:r>
            <w:r>
              <w:rPr>
                <w:spacing w:val="68"/>
                <w:w w:val="150"/>
                <w:sz w:val="24"/>
              </w:rPr>
              <w:t> </w:t>
            </w:r>
            <w:r>
              <w:rPr>
                <w:sz w:val="24"/>
              </w:rPr>
              <w:t>to</w:t>
            </w:r>
            <w:r>
              <w:rPr>
                <w:spacing w:val="68"/>
                <w:w w:val="150"/>
                <w:sz w:val="24"/>
              </w:rPr>
              <w:t> </w:t>
            </w:r>
            <w:r>
              <w:rPr>
                <w:sz w:val="24"/>
              </w:rPr>
              <w:t>be</w:t>
            </w:r>
            <w:r>
              <w:rPr>
                <w:spacing w:val="69"/>
                <w:w w:val="150"/>
                <w:sz w:val="24"/>
              </w:rPr>
              <w:t> </w:t>
            </w:r>
            <w:r>
              <w:rPr>
                <w:spacing w:val="-4"/>
                <w:sz w:val="24"/>
              </w:rPr>
              <w:t>more</w:t>
            </w:r>
          </w:p>
          <w:p>
            <w:pPr>
              <w:pStyle w:val="TableParagraph"/>
              <w:spacing w:line="261" w:lineRule="exact"/>
              <w:ind w:left="14"/>
              <w:rPr>
                <w:sz w:val="24"/>
              </w:rPr>
            </w:pPr>
            <w:r>
              <w:rPr>
                <w:sz w:val="24"/>
              </w:rPr>
              <w:t>environmentally</w:t>
            </w:r>
            <w:r>
              <w:rPr>
                <w:spacing w:val="-3"/>
                <w:sz w:val="24"/>
              </w:rPr>
              <w:t> </w:t>
            </w:r>
            <w:r>
              <w:rPr>
                <w:spacing w:val="-2"/>
                <w:sz w:val="24"/>
              </w:rPr>
              <w:t>conscious.</w:t>
            </w:r>
          </w:p>
        </w:tc>
        <w:tc>
          <w:tcPr>
            <w:tcW w:w="1379" w:type="dxa"/>
            <w:tcBorders>
              <w:top w:val="single" w:sz="4" w:space="0" w:color="000000"/>
              <w:bottom w:val="single" w:sz="4" w:space="0" w:color="000000"/>
            </w:tcBorders>
          </w:tcPr>
          <w:p>
            <w:pPr>
              <w:pStyle w:val="TableParagraph"/>
              <w:spacing w:before="270"/>
              <w:ind w:left="3" w:right="130"/>
              <w:jc w:val="center"/>
              <w:rPr>
                <w:sz w:val="24"/>
              </w:rPr>
            </w:pPr>
            <w:r>
              <w:rPr>
                <w:spacing w:val="-4"/>
                <w:sz w:val="24"/>
              </w:rPr>
              <w:t>2.93</w:t>
            </w:r>
          </w:p>
        </w:tc>
        <w:tc>
          <w:tcPr>
            <w:tcW w:w="1029" w:type="dxa"/>
            <w:tcBorders>
              <w:top w:val="single" w:sz="4" w:space="0" w:color="000000"/>
              <w:bottom w:val="single" w:sz="4" w:space="0" w:color="000000"/>
            </w:tcBorders>
          </w:tcPr>
          <w:p>
            <w:pPr>
              <w:pStyle w:val="TableParagraph"/>
              <w:spacing w:before="270"/>
              <w:ind w:left="461"/>
              <w:rPr>
                <w:sz w:val="24"/>
              </w:rPr>
            </w:pPr>
            <w:r>
              <w:rPr>
                <w:spacing w:val="-4"/>
                <w:sz w:val="24"/>
              </w:rPr>
              <w:t>0.80</w:t>
            </w:r>
          </w:p>
        </w:tc>
        <w:tc>
          <w:tcPr>
            <w:tcW w:w="3267" w:type="dxa"/>
            <w:tcBorders>
              <w:top w:val="single" w:sz="4" w:space="0" w:color="000000"/>
              <w:bottom w:val="single" w:sz="4" w:space="0" w:color="000000"/>
            </w:tcBorders>
          </w:tcPr>
          <w:p>
            <w:pPr>
              <w:pStyle w:val="TableParagraph"/>
              <w:spacing w:before="270"/>
              <w:ind w:left="105"/>
              <w:jc w:val="center"/>
              <w:rPr>
                <w:sz w:val="24"/>
              </w:rPr>
            </w:pPr>
            <w:r>
              <w:rPr>
                <w:spacing w:val="-2"/>
                <w:sz w:val="24"/>
              </w:rPr>
              <w:t>Agree</w:t>
            </w:r>
          </w:p>
        </w:tc>
      </w:tr>
      <w:tr>
        <w:trPr>
          <w:trHeight w:val="827" w:hRule="atLeast"/>
        </w:trPr>
        <w:tc>
          <w:tcPr>
            <w:tcW w:w="3709" w:type="dxa"/>
            <w:tcBorders>
              <w:top w:val="single" w:sz="4" w:space="0" w:color="000000"/>
              <w:bottom w:val="single" w:sz="4" w:space="0" w:color="000000"/>
            </w:tcBorders>
          </w:tcPr>
          <w:p>
            <w:pPr>
              <w:pStyle w:val="TableParagraph"/>
              <w:tabs>
                <w:tab w:pos="734" w:val="left" w:leader="none"/>
                <w:tab w:pos="966" w:val="left" w:leader="none"/>
                <w:tab w:pos="1667" w:val="left" w:leader="none"/>
                <w:tab w:pos="2945" w:val="left" w:leader="none"/>
              </w:tabs>
              <w:ind w:left="14" w:right="334"/>
              <w:rPr>
                <w:sz w:val="24"/>
              </w:rPr>
            </w:pPr>
            <w:r>
              <w:rPr>
                <w:spacing w:val="-4"/>
                <w:sz w:val="24"/>
              </w:rPr>
              <w:t>CB6:</w:t>
            </w:r>
            <w:r>
              <w:rPr>
                <w:sz w:val="24"/>
              </w:rPr>
              <w:tab/>
              <w:t>Overall</w:t>
            </w:r>
            <w:r>
              <w:rPr>
                <w:spacing w:val="14"/>
                <w:sz w:val="24"/>
              </w:rPr>
              <w:t> </w:t>
            </w:r>
            <w:r>
              <w:rPr>
                <w:sz w:val="24"/>
              </w:rPr>
              <w:t>canteen</w:t>
            </w:r>
            <w:r>
              <w:rPr>
                <w:spacing w:val="13"/>
                <w:sz w:val="24"/>
              </w:rPr>
              <w:t> </w:t>
            </w:r>
            <w:r>
              <w:rPr>
                <w:sz w:val="24"/>
              </w:rPr>
              <w:t>operations </w:t>
            </w:r>
            <w:r>
              <w:rPr>
                <w:spacing w:val="-2"/>
                <w:sz w:val="24"/>
              </w:rPr>
              <w:t>become</w:t>
            </w:r>
            <w:r>
              <w:rPr>
                <w:sz w:val="24"/>
              </w:rPr>
              <w:tab/>
            </w:r>
            <w:r>
              <w:rPr>
                <w:spacing w:val="-4"/>
                <w:sz w:val="24"/>
              </w:rPr>
              <w:t>more</w:t>
            </w:r>
            <w:r>
              <w:rPr>
                <w:sz w:val="24"/>
              </w:rPr>
              <w:tab/>
            </w:r>
            <w:r>
              <w:rPr>
                <w:spacing w:val="-2"/>
                <w:sz w:val="24"/>
              </w:rPr>
              <w:t>sustainable</w:t>
            </w:r>
            <w:r>
              <w:rPr>
                <w:sz w:val="24"/>
              </w:rPr>
              <w:tab/>
            </w:r>
            <w:r>
              <w:rPr>
                <w:spacing w:val="-4"/>
                <w:sz w:val="24"/>
              </w:rPr>
              <w:t>with</w:t>
            </w:r>
          </w:p>
          <w:p>
            <w:pPr>
              <w:pStyle w:val="TableParagraph"/>
              <w:spacing w:line="261" w:lineRule="exact"/>
              <w:ind w:left="14"/>
              <w:rPr>
                <w:sz w:val="24"/>
              </w:rPr>
            </w:pPr>
            <w:r>
              <w:rPr>
                <w:sz w:val="24"/>
              </w:rPr>
              <w:t>compostable</w:t>
            </w:r>
            <w:r>
              <w:rPr>
                <w:spacing w:val="-2"/>
                <w:sz w:val="24"/>
              </w:rPr>
              <w:t> packaging.</w:t>
            </w:r>
          </w:p>
        </w:tc>
        <w:tc>
          <w:tcPr>
            <w:tcW w:w="1379" w:type="dxa"/>
            <w:tcBorders>
              <w:top w:val="single" w:sz="4" w:space="0" w:color="000000"/>
              <w:bottom w:val="single" w:sz="4" w:space="0" w:color="000000"/>
            </w:tcBorders>
          </w:tcPr>
          <w:p>
            <w:pPr>
              <w:pStyle w:val="TableParagraph"/>
              <w:spacing w:before="270"/>
              <w:ind w:left="3" w:right="130"/>
              <w:jc w:val="center"/>
              <w:rPr>
                <w:sz w:val="24"/>
              </w:rPr>
            </w:pPr>
            <w:r>
              <w:rPr>
                <w:spacing w:val="-4"/>
                <w:sz w:val="24"/>
              </w:rPr>
              <w:t>3.27</w:t>
            </w:r>
          </w:p>
        </w:tc>
        <w:tc>
          <w:tcPr>
            <w:tcW w:w="1029" w:type="dxa"/>
            <w:tcBorders>
              <w:top w:val="single" w:sz="4" w:space="0" w:color="000000"/>
              <w:bottom w:val="single" w:sz="4" w:space="0" w:color="000000"/>
            </w:tcBorders>
          </w:tcPr>
          <w:p>
            <w:pPr>
              <w:pStyle w:val="TableParagraph"/>
              <w:spacing w:before="270"/>
              <w:ind w:left="461"/>
              <w:rPr>
                <w:sz w:val="24"/>
              </w:rPr>
            </w:pPr>
            <w:r>
              <w:rPr>
                <w:spacing w:val="-4"/>
                <w:sz w:val="24"/>
              </w:rPr>
              <w:t>0.59</w:t>
            </w:r>
          </w:p>
        </w:tc>
        <w:tc>
          <w:tcPr>
            <w:tcW w:w="3267" w:type="dxa"/>
            <w:tcBorders>
              <w:top w:val="single" w:sz="4" w:space="0" w:color="000000"/>
              <w:bottom w:val="single" w:sz="4" w:space="0" w:color="000000"/>
            </w:tcBorders>
          </w:tcPr>
          <w:p>
            <w:pPr>
              <w:pStyle w:val="TableParagraph"/>
              <w:spacing w:before="234"/>
              <w:ind w:left="105" w:right="1"/>
              <w:jc w:val="center"/>
              <w:rPr>
                <w:sz w:val="24"/>
              </w:rPr>
            </w:pPr>
            <w:r>
              <w:rPr>
                <w:sz w:val="24"/>
              </w:rPr>
              <w:t>Strongly</w:t>
            </w:r>
            <w:r>
              <w:rPr>
                <w:spacing w:val="-3"/>
                <w:sz w:val="24"/>
              </w:rPr>
              <w:t> </w:t>
            </w:r>
            <w:r>
              <w:rPr>
                <w:spacing w:val="-2"/>
                <w:sz w:val="24"/>
              </w:rPr>
              <w:t>Agree</w:t>
            </w:r>
          </w:p>
        </w:tc>
      </w:tr>
      <w:tr>
        <w:trPr>
          <w:trHeight w:val="827" w:hRule="atLeast"/>
        </w:trPr>
        <w:tc>
          <w:tcPr>
            <w:tcW w:w="3709" w:type="dxa"/>
            <w:tcBorders>
              <w:top w:val="single" w:sz="4" w:space="0" w:color="000000"/>
              <w:bottom w:val="single" w:sz="4" w:space="0" w:color="000000"/>
            </w:tcBorders>
          </w:tcPr>
          <w:p>
            <w:pPr>
              <w:pStyle w:val="TableParagraph"/>
              <w:tabs>
                <w:tab w:pos="734" w:val="left" w:leader="none"/>
              </w:tabs>
              <w:spacing w:line="270" w:lineRule="exact"/>
              <w:ind w:left="14"/>
              <w:rPr>
                <w:sz w:val="24"/>
              </w:rPr>
            </w:pPr>
            <w:r>
              <w:rPr>
                <w:spacing w:val="-4"/>
                <w:sz w:val="24"/>
              </w:rPr>
              <w:t>CB7:</w:t>
            </w:r>
            <w:r>
              <w:rPr>
                <w:sz w:val="24"/>
              </w:rPr>
              <w:tab/>
              <w:t>The</w:t>
            </w:r>
            <w:r>
              <w:rPr>
                <w:spacing w:val="53"/>
                <w:w w:val="150"/>
                <w:sz w:val="24"/>
              </w:rPr>
              <w:t> </w:t>
            </w:r>
            <w:r>
              <w:rPr>
                <w:sz w:val="24"/>
              </w:rPr>
              <w:t>canteen</w:t>
            </w:r>
            <w:r>
              <w:rPr>
                <w:spacing w:val="55"/>
                <w:w w:val="150"/>
                <w:sz w:val="24"/>
              </w:rPr>
              <w:t> </w:t>
            </w:r>
            <w:r>
              <w:rPr>
                <w:sz w:val="24"/>
              </w:rPr>
              <w:t>should</w:t>
            </w:r>
            <w:r>
              <w:rPr>
                <w:spacing w:val="56"/>
                <w:w w:val="150"/>
                <w:sz w:val="24"/>
              </w:rPr>
              <w:t> </w:t>
            </w:r>
            <w:r>
              <w:rPr>
                <w:spacing w:val="-4"/>
                <w:sz w:val="24"/>
              </w:rPr>
              <w:t>fully</w:t>
            </w:r>
          </w:p>
          <w:p>
            <w:pPr>
              <w:pStyle w:val="TableParagraph"/>
              <w:spacing w:line="270" w:lineRule="atLeast"/>
              <w:ind w:left="14"/>
              <w:rPr>
                <w:sz w:val="24"/>
              </w:rPr>
            </w:pPr>
            <w:r>
              <w:rPr>
                <w:sz w:val="24"/>
              </w:rPr>
              <w:t>replace</w:t>
            </w:r>
            <w:r>
              <w:rPr>
                <w:spacing w:val="40"/>
                <w:sz w:val="24"/>
              </w:rPr>
              <w:t> </w:t>
            </w:r>
            <w:r>
              <w:rPr>
                <w:sz w:val="24"/>
              </w:rPr>
              <w:t>plastic</w:t>
            </w:r>
            <w:r>
              <w:rPr>
                <w:spacing w:val="40"/>
                <w:sz w:val="24"/>
              </w:rPr>
              <w:t> </w:t>
            </w:r>
            <w:r>
              <w:rPr>
                <w:sz w:val="24"/>
              </w:rPr>
              <w:t>with</w:t>
            </w:r>
            <w:r>
              <w:rPr>
                <w:spacing w:val="40"/>
                <w:sz w:val="24"/>
              </w:rPr>
              <w:t> </w:t>
            </w:r>
            <w:r>
              <w:rPr>
                <w:sz w:val="24"/>
              </w:rPr>
              <w:t>compostable </w:t>
            </w:r>
            <w:r>
              <w:rPr>
                <w:spacing w:val="-2"/>
                <w:sz w:val="24"/>
              </w:rPr>
              <w:t>packaging.</w:t>
            </w:r>
          </w:p>
        </w:tc>
        <w:tc>
          <w:tcPr>
            <w:tcW w:w="1379" w:type="dxa"/>
            <w:tcBorders>
              <w:top w:val="single" w:sz="4" w:space="0" w:color="000000"/>
              <w:bottom w:val="single" w:sz="4" w:space="0" w:color="000000"/>
            </w:tcBorders>
          </w:tcPr>
          <w:p>
            <w:pPr>
              <w:pStyle w:val="TableParagraph"/>
              <w:spacing w:before="270"/>
              <w:ind w:left="3" w:right="130"/>
              <w:jc w:val="center"/>
              <w:rPr>
                <w:sz w:val="24"/>
              </w:rPr>
            </w:pPr>
            <w:r>
              <w:rPr>
                <w:spacing w:val="-4"/>
                <w:sz w:val="24"/>
              </w:rPr>
              <w:t>3.07</w:t>
            </w:r>
          </w:p>
        </w:tc>
        <w:tc>
          <w:tcPr>
            <w:tcW w:w="1029" w:type="dxa"/>
            <w:tcBorders>
              <w:top w:val="single" w:sz="4" w:space="0" w:color="000000"/>
              <w:bottom w:val="single" w:sz="4" w:space="0" w:color="000000"/>
            </w:tcBorders>
          </w:tcPr>
          <w:p>
            <w:pPr>
              <w:pStyle w:val="TableParagraph"/>
              <w:spacing w:before="270"/>
              <w:ind w:left="461"/>
              <w:rPr>
                <w:sz w:val="24"/>
              </w:rPr>
            </w:pPr>
            <w:r>
              <w:rPr>
                <w:spacing w:val="-4"/>
                <w:sz w:val="24"/>
              </w:rPr>
              <w:t>0.59</w:t>
            </w:r>
          </w:p>
        </w:tc>
        <w:tc>
          <w:tcPr>
            <w:tcW w:w="3267" w:type="dxa"/>
            <w:tcBorders>
              <w:top w:val="single" w:sz="4" w:space="0" w:color="000000"/>
              <w:bottom w:val="single" w:sz="4" w:space="0" w:color="000000"/>
            </w:tcBorders>
          </w:tcPr>
          <w:p>
            <w:pPr>
              <w:pStyle w:val="TableParagraph"/>
              <w:spacing w:before="234"/>
              <w:ind w:left="105"/>
              <w:jc w:val="center"/>
              <w:rPr>
                <w:sz w:val="24"/>
              </w:rPr>
            </w:pPr>
            <w:r>
              <w:rPr>
                <w:spacing w:val="-2"/>
                <w:sz w:val="24"/>
              </w:rPr>
              <w:t>Agree</w:t>
            </w:r>
          </w:p>
        </w:tc>
      </w:tr>
      <w:tr>
        <w:trPr>
          <w:trHeight w:val="1104" w:hRule="atLeast"/>
        </w:trPr>
        <w:tc>
          <w:tcPr>
            <w:tcW w:w="3709" w:type="dxa"/>
            <w:tcBorders>
              <w:top w:val="single" w:sz="4" w:space="0" w:color="000000"/>
              <w:bottom w:val="single" w:sz="4" w:space="0" w:color="000000"/>
            </w:tcBorders>
          </w:tcPr>
          <w:p>
            <w:pPr>
              <w:pStyle w:val="TableParagraph"/>
              <w:tabs>
                <w:tab w:pos="2160" w:val="left" w:leader="none"/>
              </w:tabs>
              <w:ind w:left="14" w:right="329"/>
              <w:jc w:val="both"/>
              <w:rPr>
                <w:sz w:val="24"/>
              </w:rPr>
            </w:pPr>
            <w:r>
              <w:rPr>
                <w:sz w:val="24"/>
              </w:rPr>
              <w:t>CB8: The institution benefits</w:t>
            </w:r>
            <w:r>
              <w:rPr>
                <w:spacing w:val="80"/>
                <w:w w:val="150"/>
                <w:sz w:val="24"/>
              </w:rPr>
              <w:t> </w:t>
            </w:r>
            <w:r>
              <w:rPr>
                <w:sz w:val="24"/>
              </w:rPr>
              <w:t>from improved reputation </w:t>
            </w:r>
            <w:r>
              <w:rPr>
                <w:sz w:val="24"/>
              </w:rPr>
              <w:t>by </w:t>
            </w:r>
            <w:r>
              <w:rPr>
                <w:spacing w:val="-2"/>
                <w:sz w:val="24"/>
              </w:rPr>
              <w:t>supporting</w:t>
            </w:r>
            <w:r>
              <w:rPr>
                <w:sz w:val="24"/>
              </w:rPr>
              <w:tab/>
            </w:r>
            <w:r>
              <w:rPr>
                <w:spacing w:val="-2"/>
                <w:sz w:val="24"/>
              </w:rPr>
              <w:t>compostable</w:t>
            </w:r>
          </w:p>
          <w:p>
            <w:pPr>
              <w:pStyle w:val="TableParagraph"/>
              <w:spacing w:line="261" w:lineRule="exact"/>
              <w:ind w:left="14"/>
              <w:rPr>
                <w:sz w:val="24"/>
              </w:rPr>
            </w:pPr>
            <w:r>
              <w:rPr>
                <w:spacing w:val="-2"/>
                <w:sz w:val="24"/>
              </w:rPr>
              <w:t>packaging.</w:t>
            </w:r>
          </w:p>
        </w:tc>
        <w:tc>
          <w:tcPr>
            <w:tcW w:w="1379" w:type="dxa"/>
            <w:tcBorders>
              <w:top w:val="single" w:sz="4" w:space="0" w:color="000000"/>
              <w:bottom w:val="single" w:sz="4" w:space="0" w:color="000000"/>
            </w:tcBorders>
          </w:tcPr>
          <w:p>
            <w:pPr>
              <w:pStyle w:val="TableParagraph"/>
              <w:spacing w:before="133"/>
              <w:rPr>
                <w:sz w:val="24"/>
              </w:rPr>
            </w:pPr>
          </w:p>
          <w:p>
            <w:pPr>
              <w:pStyle w:val="TableParagraph"/>
              <w:ind w:left="3" w:right="130"/>
              <w:jc w:val="center"/>
              <w:rPr>
                <w:sz w:val="24"/>
              </w:rPr>
            </w:pPr>
            <w:r>
              <w:rPr>
                <w:spacing w:val="-4"/>
                <w:sz w:val="24"/>
              </w:rPr>
              <w:t>3.00</w:t>
            </w:r>
          </w:p>
        </w:tc>
        <w:tc>
          <w:tcPr>
            <w:tcW w:w="1029" w:type="dxa"/>
            <w:tcBorders>
              <w:top w:val="single" w:sz="4" w:space="0" w:color="000000"/>
              <w:bottom w:val="single" w:sz="4" w:space="0" w:color="000000"/>
            </w:tcBorders>
          </w:tcPr>
          <w:p>
            <w:pPr>
              <w:pStyle w:val="TableParagraph"/>
              <w:spacing w:before="133"/>
              <w:rPr>
                <w:sz w:val="24"/>
              </w:rPr>
            </w:pPr>
          </w:p>
          <w:p>
            <w:pPr>
              <w:pStyle w:val="TableParagraph"/>
              <w:ind w:left="461"/>
              <w:rPr>
                <w:sz w:val="24"/>
              </w:rPr>
            </w:pPr>
            <w:r>
              <w:rPr>
                <w:spacing w:val="-4"/>
                <w:sz w:val="24"/>
              </w:rPr>
              <w:t>0.89</w:t>
            </w:r>
          </w:p>
        </w:tc>
        <w:tc>
          <w:tcPr>
            <w:tcW w:w="3267" w:type="dxa"/>
            <w:tcBorders>
              <w:top w:val="single" w:sz="4" w:space="0" w:color="000000"/>
              <w:bottom w:val="single" w:sz="4" w:space="0" w:color="000000"/>
            </w:tcBorders>
          </w:tcPr>
          <w:p>
            <w:pPr>
              <w:pStyle w:val="TableParagraph"/>
              <w:spacing w:before="234"/>
              <w:ind w:left="105"/>
              <w:jc w:val="center"/>
              <w:rPr>
                <w:sz w:val="24"/>
              </w:rPr>
            </w:pPr>
            <w:r>
              <w:rPr>
                <w:spacing w:val="-2"/>
                <w:sz w:val="24"/>
              </w:rPr>
              <w:t>Agree</w:t>
            </w:r>
          </w:p>
        </w:tc>
      </w:tr>
      <w:tr>
        <w:trPr>
          <w:trHeight w:val="827" w:hRule="atLeast"/>
        </w:trPr>
        <w:tc>
          <w:tcPr>
            <w:tcW w:w="3709" w:type="dxa"/>
            <w:tcBorders>
              <w:top w:val="single" w:sz="4" w:space="0" w:color="000000"/>
              <w:bottom w:val="single" w:sz="4" w:space="0" w:color="000000"/>
            </w:tcBorders>
          </w:tcPr>
          <w:p>
            <w:pPr>
              <w:pStyle w:val="TableParagraph"/>
              <w:tabs>
                <w:tab w:pos="734" w:val="left" w:leader="none"/>
                <w:tab w:pos="1281" w:val="left" w:leader="none"/>
                <w:tab w:pos="1484" w:val="left" w:leader="none"/>
                <w:tab w:pos="2149" w:val="left" w:leader="none"/>
                <w:tab w:pos="2729" w:val="left" w:leader="none"/>
                <w:tab w:pos="2777" w:val="left" w:leader="none"/>
              </w:tabs>
              <w:ind w:left="14" w:right="334"/>
              <w:rPr>
                <w:sz w:val="24"/>
              </w:rPr>
            </w:pPr>
            <w:r>
              <w:rPr>
                <w:spacing w:val="-4"/>
                <w:sz w:val="24"/>
              </w:rPr>
              <w:t>CB9:</w:t>
            </w:r>
            <w:r>
              <w:rPr>
                <w:sz w:val="24"/>
              </w:rPr>
              <w:tab/>
            </w:r>
            <w:r>
              <w:rPr>
                <w:spacing w:val="-6"/>
                <w:sz w:val="24"/>
              </w:rPr>
              <w:t>If</w:t>
            </w:r>
            <w:r>
              <w:rPr>
                <w:sz w:val="24"/>
              </w:rPr>
              <w:tab/>
            </w:r>
            <w:r>
              <w:rPr>
                <w:spacing w:val="-2"/>
                <w:sz w:val="24"/>
              </w:rPr>
              <w:t>costs</w:t>
            </w:r>
            <w:r>
              <w:rPr>
                <w:sz w:val="24"/>
              </w:rPr>
              <w:tab/>
            </w:r>
            <w:r>
              <w:rPr>
                <w:spacing w:val="-6"/>
                <w:sz w:val="24"/>
              </w:rPr>
              <w:t>go</w:t>
            </w:r>
            <w:r>
              <w:rPr>
                <w:sz w:val="24"/>
              </w:rPr>
              <w:tab/>
              <w:tab/>
            </w:r>
            <w:r>
              <w:rPr>
                <w:spacing w:val="-4"/>
                <w:sz w:val="24"/>
              </w:rPr>
              <w:t>down, </w:t>
            </w:r>
            <w:r>
              <w:rPr>
                <w:spacing w:val="-2"/>
                <w:sz w:val="24"/>
              </w:rPr>
              <w:t>compostable</w:t>
            </w:r>
            <w:r>
              <w:rPr>
                <w:sz w:val="24"/>
              </w:rPr>
              <w:tab/>
              <w:tab/>
            </w:r>
            <w:r>
              <w:rPr>
                <w:spacing w:val="-2"/>
                <w:sz w:val="24"/>
              </w:rPr>
              <w:t>packaging</w:t>
            </w:r>
            <w:r>
              <w:rPr>
                <w:sz w:val="24"/>
              </w:rPr>
              <w:tab/>
            </w:r>
            <w:r>
              <w:rPr>
                <w:spacing w:val="-2"/>
                <w:sz w:val="24"/>
              </w:rPr>
              <w:t>should</w:t>
            </w:r>
          </w:p>
          <w:p>
            <w:pPr>
              <w:pStyle w:val="TableParagraph"/>
              <w:spacing w:line="261" w:lineRule="exact"/>
              <w:ind w:left="14"/>
              <w:rPr>
                <w:sz w:val="24"/>
              </w:rPr>
            </w:pPr>
            <w:r>
              <w:rPr>
                <w:sz w:val="24"/>
              </w:rPr>
              <w:t>become</w:t>
            </w:r>
            <w:r>
              <w:rPr>
                <w:spacing w:val="-5"/>
                <w:sz w:val="24"/>
              </w:rPr>
              <w:t> </w:t>
            </w:r>
            <w:r>
              <w:rPr>
                <w:sz w:val="24"/>
              </w:rPr>
              <w:t>the only</w:t>
            </w:r>
            <w:r>
              <w:rPr>
                <w:spacing w:val="-7"/>
                <w:sz w:val="24"/>
              </w:rPr>
              <w:t> </w:t>
            </w:r>
            <w:r>
              <w:rPr>
                <w:sz w:val="24"/>
              </w:rPr>
              <w:t>packaging</w:t>
            </w:r>
            <w:r>
              <w:rPr>
                <w:spacing w:val="-4"/>
                <w:sz w:val="24"/>
              </w:rPr>
              <w:t> </w:t>
            </w:r>
            <w:r>
              <w:rPr>
                <w:spacing w:val="-2"/>
                <w:sz w:val="24"/>
              </w:rPr>
              <w:t>option.</w:t>
            </w:r>
          </w:p>
        </w:tc>
        <w:tc>
          <w:tcPr>
            <w:tcW w:w="1379" w:type="dxa"/>
            <w:tcBorders>
              <w:top w:val="single" w:sz="4" w:space="0" w:color="000000"/>
              <w:bottom w:val="single" w:sz="4" w:space="0" w:color="000000"/>
            </w:tcBorders>
          </w:tcPr>
          <w:p>
            <w:pPr>
              <w:pStyle w:val="TableParagraph"/>
              <w:spacing w:before="270"/>
              <w:ind w:left="3" w:right="130"/>
              <w:jc w:val="center"/>
              <w:rPr>
                <w:sz w:val="24"/>
              </w:rPr>
            </w:pPr>
            <w:r>
              <w:rPr>
                <w:spacing w:val="-4"/>
                <w:sz w:val="24"/>
              </w:rPr>
              <w:t>3.33</w:t>
            </w:r>
          </w:p>
        </w:tc>
        <w:tc>
          <w:tcPr>
            <w:tcW w:w="1029" w:type="dxa"/>
            <w:tcBorders>
              <w:top w:val="single" w:sz="4" w:space="0" w:color="000000"/>
              <w:bottom w:val="single" w:sz="4" w:space="0" w:color="000000"/>
            </w:tcBorders>
          </w:tcPr>
          <w:p>
            <w:pPr>
              <w:pStyle w:val="TableParagraph"/>
              <w:spacing w:before="270"/>
              <w:ind w:left="461"/>
              <w:rPr>
                <w:sz w:val="24"/>
              </w:rPr>
            </w:pPr>
            <w:r>
              <w:rPr>
                <w:spacing w:val="-4"/>
                <w:sz w:val="24"/>
              </w:rPr>
              <w:t>0.98</w:t>
            </w:r>
          </w:p>
        </w:tc>
        <w:tc>
          <w:tcPr>
            <w:tcW w:w="3267" w:type="dxa"/>
            <w:tcBorders>
              <w:top w:val="single" w:sz="4" w:space="0" w:color="000000"/>
              <w:bottom w:val="single" w:sz="4" w:space="0" w:color="000000"/>
            </w:tcBorders>
          </w:tcPr>
          <w:p>
            <w:pPr>
              <w:pStyle w:val="TableParagraph"/>
              <w:spacing w:before="234"/>
              <w:ind w:left="105" w:right="1"/>
              <w:jc w:val="center"/>
              <w:rPr>
                <w:sz w:val="24"/>
              </w:rPr>
            </w:pPr>
            <w:r>
              <w:rPr>
                <w:sz w:val="24"/>
              </w:rPr>
              <w:t>Strongly</w:t>
            </w:r>
            <w:r>
              <w:rPr>
                <w:spacing w:val="-3"/>
                <w:sz w:val="24"/>
              </w:rPr>
              <w:t> </w:t>
            </w:r>
            <w:r>
              <w:rPr>
                <w:spacing w:val="-2"/>
                <w:sz w:val="24"/>
              </w:rPr>
              <w:t>Agree</w:t>
            </w:r>
          </w:p>
        </w:tc>
      </w:tr>
      <w:tr>
        <w:trPr>
          <w:trHeight w:val="830" w:hRule="atLeast"/>
        </w:trPr>
        <w:tc>
          <w:tcPr>
            <w:tcW w:w="3709" w:type="dxa"/>
            <w:tcBorders>
              <w:top w:val="single" w:sz="4" w:space="0" w:color="000000"/>
              <w:bottom w:val="single" w:sz="4" w:space="0" w:color="000000"/>
            </w:tcBorders>
          </w:tcPr>
          <w:p>
            <w:pPr>
              <w:pStyle w:val="TableParagraph"/>
              <w:spacing w:before="239"/>
              <w:ind w:left="14"/>
              <w:rPr>
                <w:b/>
                <w:i/>
                <w:sz w:val="24"/>
              </w:rPr>
            </w:pPr>
            <w:r>
              <w:rPr>
                <w:b/>
                <w:i/>
                <w:sz w:val="24"/>
              </w:rPr>
              <w:t>Cost-Benefit</w:t>
            </w:r>
            <w:r>
              <w:rPr>
                <w:b/>
                <w:i/>
                <w:spacing w:val="-2"/>
                <w:sz w:val="24"/>
              </w:rPr>
              <w:t> </w:t>
            </w:r>
            <w:r>
              <w:rPr>
                <w:b/>
                <w:i/>
                <w:sz w:val="24"/>
              </w:rPr>
              <w:t>-</w:t>
            </w:r>
            <w:r>
              <w:rPr>
                <w:b/>
                <w:i/>
                <w:spacing w:val="-2"/>
                <w:sz w:val="24"/>
              </w:rPr>
              <w:t> Overall</w:t>
            </w:r>
          </w:p>
        </w:tc>
        <w:tc>
          <w:tcPr>
            <w:tcW w:w="1379" w:type="dxa"/>
            <w:tcBorders>
              <w:top w:val="single" w:sz="4" w:space="0" w:color="000000"/>
              <w:bottom w:val="single" w:sz="4" w:space="0" w:color="000000"/>
            </w:tcBorders>
          </w:tcPr>
          <w:p>
            <w:pPr>
              <w:pStyle w:val="TableParagraph"/>
              <w:spacing w:before="275"/>
              <w:ind w:left="3" w:right="130"/>
              <w:jc w:val="center"/>
              <w:rPr>
                <w:b/>
                <w:sz w:val="24"/>
              </w:rPr>
            </w:pPr>
            <w:r>
              <w:rPr>
                <w:b/>
                <w:spacing w:val="-4"/>
                <w:sz w:val="24"/>
              </w:rPr>
              <w:t>3.07</w:t>
            </w:r>
          </w:p>
        </w:tc>
        <w:tc>
          <w:tcPr>
            <w:tcW w:w="1029" w:type="dxa"/>
            <w:tcBorders>
              <w:top w:val="single" w:sz="4" w:space="0" w:color="000000"/>
              <w:bottom w:val="single" w:sz="4" w:space="0" w:color="000000"/>
            </w:tcBorders>
          </w:tcPr>
          <w:p>
            <w:pPr>
              <w:pStyle w:val="TableParagraph"/>
              <w:spacing w:before="239"/>
              <w:ind w:left="461"/>
              <w:rPr>
                <w:b/>
                <w:sz w:val="24"/>
              </w:rPr>
            </w:pPr>
            <w:r>
              <w:rPr>
                <w:b/>
                <w:spacing w:val="-4"/>
                <w:sz w:val="24"/>
              </w:rPr>
              <w:t>0.78</w:t>
            </w:r>
          </w:p>
        </w:tc>
        <w:tc>
          <w:tcPr>
            <w:tcW w:w="3267" w:type="dxa"/>
            <w:tcBorders>
              <w:top w:val="single" w:sz="4" w:space="0" w:color="000000"/>
              <w:bottom w:val="single" w:sz="4" w:space="0" w:color="000000"/>
            </w:tcBorders>
          </w:tcPr>
          <w:p>
            <w:pPr>
              <w:pStyle w:val="TableParagraph"/>
              <w:spacing w:line="270" w:lineRule="exact"/>
              <w:ind w:left="143" w:firstLine="216"/>
              <w:rPr>
                <w:sz w:val="24"/>
              </w:rPr>
            </w:pPr>
            <w:r>
              <w:rPr>
                <w:sz w:val="24"/>
              </w:rPr>
              <w:t>The</w:t>
            </w:r>
            <w:r>
              <w:rPr>
                <w:spacing w:val="-6"/>
                <w:sz w:val="24"/>
              </w:rPr>
              <w:t> </w:t>
            </w:r>
            <w:r>
              <w:rPr>
                <w:sz w:val="24"/>
              </w:rPr>
              <w:t>result</w:t>
            </w:r>
            <w:r>
              <w:rPr>
                <w:spacing w:val="-1"/>
                <w:sz w:val="24"/>
              </w:rPr>
              <w:t> </w:t>
            </w:r>
            <w:r>
              <w:rPr>
                <w:sz w:val="24"/>
              </w:rPr>
              <w:t>indicates</w:t>
            </w:r>
            <w:r>
              <w:rPr>
                <w:spacing w:val="-1"/>
                <w:sz w:val="24"/>
              </w:rPr>
              <w:t> </w:t>
            </w:r>
            <w:r>
              <w:rPr>
                <w:sz w:val="24"/>
              </w:rPr>
              <w:t>that</w:t>
            </w:r>
            <w:r>
              <w:rPr>
                <w:spacing w:val="-1"/>
                <w:sz w:val="24"/>
              </w:rPr>
              <w:t> </w:t>
            </w:r>
            <w:r>
              <w:rPr>
                <w:spacing w:val="-5"/>
                <w:sz w:val="24"/>
              </w:rPr>
              <w:t>the</w:t>
            </w:r>
          </w:p>
          <w:p>
            <w:pPr>
              <w:pStyle w:val="TableParagraph"/>
              <w:spacing w:line="270" w:lineRule="atLeast"/>
              <w:ind w:left="160" w:hanging="17"/>
              <w:rPr>
                <w:sz w:val="24"/>
              </w:rPr>
            </w:pPr>
            <w:r>
              <w:rPr>
                <w:sz w:val="24"/>
              </w:rPr>
              <w:t>cost-benefit</w:t>
            </w:r>
            <w:r>
              <w:rPr>
                <w:spacing w:val="-13"/>
                <w:sz w:val="24"/>
              </w:rPr>
              <w:t> </w:t>
            </w:r>
            <w:r>
              <w:rPr>
                <w:sz w:val="24"/>
              </w:rPr>
              <w:t>between</w:t>
            </w:r>
            <w:r>
              <w:rPr>
                <w:spacing w:val="-13"/>
                <w:sz w:val="24"/>
              </w:rPr>
              <w:t> </w:t>
            </w:r>
            <w:r>
              <w:rPr>
                <w:sz w:val="24"/>
              </w:rPr>
              <w:t>plastic</w:t>
            </w:r>
            <w:r>
              <w:rPr>
                <w:spacing w:val="-14"/>
                <w:sz w:val="24"/>
              </w:rPr>
              <w:t> </w:t>
            </w:r>
            <w:r>
              <w:rPr>
                <w:sz w:val="24"/>
              </w:rPr>
              <w:t>and compostable</w:t>
            </w:r>
            <w:r>
              <w:rPr>
                <w:spacing w:val="-2"/>
                <w:sz w:val="24"/>
              </w:rPr>
              <w:t> </w:t>
            </w:r>
            <w:r>
              <w:rPr>
                <w:sz w:val="24"/>
              </w:rPr>
              <w:t>packaging</w:t>
            </w:r>
            <w:r>
              <w:rPr>
                <w:spacing w:val="-2"/>
                <w:sz w:val="24"/>
              </w:rPr>
              <w:t> </w:t>
            </w:r>
            <w:r>
              <w:rPr>
                <w:sz w:val="24"/>
              </w:rPr>
              <w:t>is</w:t>
            </w:r>
            <w:r>
              <w:rPr>
                <w:spacing w:val="2"/>
                <w:sz w:val="24"/>
              </w:rPr>
              <w:t> </w:t>
            </w:r>
            <w:r>
              <w:rPr>
                <w:b/>
                <w:spacing w:val="-2"/>
                <w:sz w:val="24"/>
              </w:rPr>
              <w:t>high</w:t>
            </w:r>
            <w:r>
              <w:rPr>
                <w:spacing w:val="-2"/>
                <w:sz w:val="24"/>
              </w:rPr>
              <w:t>.</w:t>
            </w:r>
          </w:p>
        </w:tc>
      </w:tr>
    </w:tbl>
    <w:p>
      <w:pPr>
        <w:spacing w:before="0"/>
        <w:ind w:left="0" w:right="753" w:firstLine="0"/>
        <w:jc w:val="center"/>
        <w:rPr>
          <w:i/>
          <w:sz w:val="20"/>
        </w:rPr>
      </w:pPr>
      <w:r>
        <w:rPr>
          <w:i/>
          <w:sz w:val="20"/>
        </w:rPr>
        <w:t>*3.26-4.00</w:t>
      </w:r>
      <w:r>
        <w:rPr>
          <w:i/>
          <w:spacing w:val="-4"/>
          <w:sz w:val="20"/>
        </w:rPr>
        <w:t> </w:t>
      </w:r>
      <w:r>
        <w:rPr>
          <w:i/>
          <w:sz w:val="20"/>
        </w:rPr>
        <w:t>–</w:t>
      </w:r>
      <w:r>
        <w:rPr>
          <w:i/>
          <w:spacing w:val="-5"/>
          <w:sz w:val="20"/>
        </w:rPr>
        <w:t> </w:t>
      </w:r>
      <w:r>
        <w:rPr>
          <w:i/>
          <w:sz w:val="20"/>
        </w:rPr>
        <w:t>Strongly</w:t>
      </w:r>
      <w:r>
        <w:rPr>
          <w:i/>
          <w:spacing w:val="-5"/>
          <w:sz w:val="20"/>
        </w:rPr>
        <w:t> </w:t>
      </w:r>
      <w:r>
        <w:rPr>
          <w:i/>
          <w:sz w:val="20"/>
        </w:rPr>
        <w:t>Agree,</w:t>
      </w:r>
      <w:r>
        <w:rPr>
          <w:i/>
          <w:spacing w:val="-5"/>
          <w:sz w:val="20"/>
        </w:rPr>
        <w:t> </w:t>
      </w:r>
      <w:r>
        <w:rPr>
          <w:i/>
          <w:sz w:val="20"/>
        </w:rPr>
        <w:t>2.51-3.25</w:t>
      </w:r>
      <w:r>
        <w:rPr>
          <w:i/>
          <w:spacing w:val="-3"/>
          <w:sz w:val="20"/>
        </w:rPr>
        <w:t> </w:t>
      </w:r>
      <w:r>
        <w:rPr>
          <w:i/>
          <w:sz w:val="20"/>
        </w:rPr>
        <w:t>–</w:t>
      </w:r>
      <w:r>
        <w:rPr>
          <w:i/>
          <w:spacing w:val="-4"/>
          <w:sz w:val="20"/>
        </w:rPr>
        <w:t> </w:t>
      </w:r>
      <w:r>
        <w:rPr>
          <w:i/>
          <w:sz w:val="20"/>
        </w:rPr>
        <w:t>Agree,</w:t>
      </w:r>
      <w:r>
        <w:rPr>
          <w:i/>
          <w:spacing w:val="-5"/>
          <w:sz w:val="20"/>
        </w:rPr>
        <w:t> </w:t>
      </w:r>
      <w:r>
        <w:rPr>
          <w:i/>
          <w:sz w:val="20"/>
        </w:rPr>
        <w:t>1.76-2.50</w:t>
      </w:r>
      <w:r>
        <w:rPr>
          <w:i/>
          <w:spacing w:val="-6"/>
          <w:sz w:val="20"/>
        </w:rPr>
        <w:t> </w:t>
      </w:r>
      <w:r>
        <w:rPr>
          <w:i/>
          <w:sz w:val="20"/>
        </w:rPr>
        <w:t>–</w:t>
      </w:r>
      <w:r>
        <w:rPr>
          <w:i/>
          <w:spacing w:val="-4"/>
          <w:sz w:val="20"/>
        </w:rPr>
        <w:t> </w:t>
      </w:r>
      <w:r>
        <w:rPr>
          <w:i/>
          <w:sz w:val="20"/>
        </w:rPr>
        <w:t>Disagree,</w:t>
      </w:r>
      <w:r>
        <w:rPr>
          <w:i/>
          <w:spacing w:val="-4"/>
          <w:sz w:val="20"/>
        </w:rPr>
        <w:t> </w:t>
      </w:r>
      <w:r>
        <w:rPr>
          <w:i/>
          <w:sz w:val="20"/>
        </w:rPr>
        <w:t>1.00-1.75</w:t>
      </w:r>
      <w:r>
        <w:rPr>
          <w:i/>
          <w:spacing w:val="-3"/>
          <w:sz w:val="20"/>
        </w:rPr>
        <w:t> </w:t>
      </w:r>
      <w:r>
        <w:rPr>
          <w:i/>
          <w:sz w:val="20"/>
        </w:rPr>
        <w:t>–</w:t>
      </w:r>
      <w:r>
        <w:rPr>
          <w:i/>
          <w:spacing w:val="-6"/>
          <w:sz w:val="20"/>
        </w:rPr>
        <w:t> </w:t>
      </w:r>
      <w:r>
        <w:rPr>
          <w:i/>
          <w:sz w:val="20"/>
        </w:rPr>
        <w:t>Strongly</w:t>
      </w:r>
      <w:r>
        <w:rPr>
          <w:i/>
          <w:spacing w:val="-5"/>
          <w:sz w:val="20"/>
        </w:rPr>
        <w:t> </w:t>
      </w:r>
      <w:r>
        <w:rPr>
          <w:i/>
          <w:spacing w:val="-2"/>
          <w:sz w:val="20"/>
        </w:rPr>
        <w:t>Disagree</w:t>
      </w:r>
    </w:p>
    <w:p>
      <w:pPr>
        <w:spacing w:before="0"/>
        <w:ind w:left="5" w:right="754" w:firstLine="0"/>
        <w:jc w:val="center"/>
        <w:rPr>
          <w:i/>
          <w:sz w:val="20"/>
        </w:rPr>
      </w:pPr>
      <w:r>
        <w:rPr>
          <w:i/>
          <w:sz w:val="20"/>
        </w:rPr>
        <w:t>**3.26-4.00</w:t>
      </w:r>
      <w:r>
        <w:rPr>
          <w:i/>
          <w:spacing w:val="-5"/>
          <w:sz w:val="20"/>
        </w:rPr>
        <w:t> </w:t>
      </w:r>
      <w:r>
        <w:rPr>
          <w:i/>
          <w:sz w:val="20"/>
        </w:rPr>
        <w:t>–</w:t>
      </w:r>
      <w:r>
        <w:rPr>
          <w:i/>
          <w:spacing w:val="-3"/>
          <w:sz w:val="20"/>
        </w:rPr>
        <w:t> </w:t>
      </w:r>
      <w:r>
        <w:rPr>
          <w:i/>
          <w:sz w:val="20"/>
        </w:rPr>
        <w:t>Very</w:t>
      </w:r>
      <w:r>
        <w:rPr>
          <w:i/>
          <w:spacing w:val="-4"/>
          <w:sz w:val="20"/>
        </w:rPr>
        <w:t> </w:t>
      </w:r>
      <w:r>
        <w:rPr>
          <w:i/>
          <w:sz w:val="20"/>
        </w:rPr>
        <w:t>High,</w:t>
      </w:r>
      <w:r>
        <w:rPr>
          <w:i/>
          <w:spacing w:val="-5"/>
          <w:sz w:val="20"/>
        </w:rPr>
        <w:t> </w:t>
      </w:r>
      <w:r>
        <w:rPr>
          <w:i/>
          <w:sz w:val="20"/>
        </w:rPr>
        <w:t>2.51-3.25</w:t>
      </w:r>
      <w:r>
        <w:rPr>
          <w:i/>
          <w:spacing w:val="-5"/>
          <w:sz w:val="20"/>
        </w:rPr>
        <w:t> </w:t>
      </w:r>
      <w:r>
        <w:rPr>
          <w:i/>
          <w:sz w:val="20"/>
        </w:rPr>
        <w:t>–</w:t>
      </w:r>
      <w:r>
        <w:rPr>
          <w:i/>
          <w:spacing w:val="-3"/>
          <w:sz w:val="20"/>
        </w:rPr>
        <w:t> </w:t>
      </w:r>
      <w:r>
        <w:rPr>
          <w:i/>
          <w:sz w:val="20"/>
        </w:rPr>
        <w:t>High,</w:t>
      </w:r>
      <w:r>
        <w:rPr>
          <w:i/>
          <w:spacing w:val="-4"/>
          <w:sz w:val="20"/>
        </w:rPr>
        <w:t> </w:t>
      </w:r>
      <w:r>
        <w:rPr>
          <w:i/>
          <w:sz w:val="20"/>
        </w:rPr>
        <w:t>1.76-2.50</w:t>
      </w:r>
      <w:r>
        <w:rPr>
          <w:i/>
          <w:spacing w:val="-5"/>
          <w:sz w:val="20"/>
        </w:rPr>
        <w:t> </w:t>
      </w:r>
      <w:r>
        <w:rPr>
          <w:i/>
          <w:sz w:val="20"/>
        </w:rPr>
        <w:t>–</w:t>
      </w:r>
      <w:r>
        <w:rPr>
          <w:i/>
          <w:spacing w:val="-4"/>
          <w:sz w:val="20"/>
        </w:rPr>
        <w:t> </w:t>
      </w:r>
      <w:r>
        <w:rPr>
          <w:i/>
          <w:sz w:val="20"/>
        </w:rPr>
        <w:t>Low,</w:t>
      </w:r>
      <w:r>
        <w:rPr>
          <w:i/>
          <w:spacing w:val="-4"/>
          <w:sz w:val="20"/>
        </w:rPr>
        <w:t> </w:t>
      </w:r>
      <w:r>
        <w:rPr>
          <w:i/>
          <w:sz w:val="20"/>
        </w:rPr>
        <w:t>1.00-1.75</w:t>
      </w:r>
      <w:r>
        <w:rPr>
          <w:i/>
          <w:spacing w:val="-2"/>
          <w:sz w:val="20"/>
        </w:rPr>
        <w:t> </w:t>
      </w:r>
      <w:r>
        <w:rPr>
          <w:i/>
          <w:sz w:val="20"/>
        </w:rPr>
        <w:t>–</w:t>
      </w:r>
      <w:r>
        <w:rPr>
          <w:i/>
          <w:spacing w:val="-5"/>
          <w:sz w:val="20"/>
        </w:rPr>
        <w:t> </w:t>
      </w:r>
      <w:r>
        <w:rPr>
          <w:i/>
          <w:sz w:val="20"/>
        </w:rPr>
        <w:t>Very</w:t>
      </w:r>
      <w:r>
        <w:rPr>
          <w:i/>
          <w:spacing w:val="-4"/>
          <w:sz w:val="20"/>
        </w:rPr>
        <w:t> </w:t>
      </w:r>
      <w:r>
        <w:rPr>
          <w:i/>
          <w:spacing w:val="-5"/>
          <w:sz w:val="20"/>
        </w:rPr>
        <w:t>Low</w:t>
      </w:r>
    </w:p>
    <w:p>
      <w:pPr>
        <w:spacing w:after="0"/>
        <w:jc w:val="center"/>
        <w:rPr>
          <w:i/>
          <w:sz w:val="20"/>
        </w:rPr>
        <w:sectPr>
          <w:pgSz w:w="12240" w:h="15840"/>
          <w:pgMar w:header="763" w:footer="0" w:top="1340" w:bottom="280" w:left="1800" w:right="360"/>
        </w:sectPr>
      </w:pPr>
    </w:p>
    <w:p>
      <w:pPr>
        <w:pStyle w:val="BodyText"/>
        <w:spacing w:line="480" w:lineRule="auto" w:before="80"/>
        <w:ind w:left="326" w:right="1074" w:firstLine="720"/>
        <w:jc w:val="both"/>
      </w:pPr>
      <w:r>
        <w:rPr/>
        <w:t>The table 3.4. provides the overall assessment of cost-benefit which shows a high rating</w:t>
      </w:r>
      <w:r>
        <w:rPr>
          <w:spacing w:val="-3"/>
        </w:rPr>
        <w:t> </w:t>
      </w:r>
      <w:r>
        <w:rPr/>
        <w:t>(M</w:t>
      </w:r>
      <w:r>
        <w:rPr>
          <w:spacing w:val="-1"/>
        </w:rPr>
        <w:t> </w:t>
      </w:r>
      <w:r>
        <w:rPr/>
        <w:t>=</w:t>
      </w:r>
      <w:r>
        <w:rPr>
          <w:spacing w:val="-1"/>
        </w:rPr>
        <w:t> </w:t>
      </w:r>
      <w:r>
        <w:rPr/>
        <w:t>3.07, SD</w:t>
      </w:r>
      <w:r>
        <w:rPr>
          <w:spacing w:val="-1"/>
        </w:rPr>
        <w:t> </w:t>
      </w:r>
      <w:r>
        <w:rPr/>
        <w:t>= 0.78).</w:t>
      </w:r>
      <w:r>
        <w:rPr>
          <w:spacing w:val="-1"/>
        </w:rPr>
        <w:t> </w:t>
      </w:r>
      <w:r>
        <w:rPr/>
        <w:t>Canteen staffs agreed that compostable</w:t>
      </w:r>
      <w:r>
        <w:rPr>
          <w:spacing w:val="-1"/>
        </w:rPr>
        <w:t> </w:t>
      </w:r>
      <w:r>
        <w:rPr/>
        <w:t>packaging</w:t>
      </w:r>
      <w:r>
        <w:rPr>
          <w:spacing w:val="-3"/>
        </w:rPr>
        <w:t> </w:t>
      </w:r>
      <w:r>
        <w:rPr/>
        <w:t>improves </w:t>
      </w:r>
      <w:r>
        <w:rPr>
          <w:spacing w:val="-2"/>
        </w:rPr>
        <w:t>the</w:t>
      </w:r>
      <w:r>
        <w:rPr>
          <w:spacing w:val="-4"/>
        </w:rPr>
        <w:t> </w:t>
      </w:r>
      <w:r>
        <w:rPr>
          <w:spacing w:val="-2"/>
        </w:rPr>
        <w:t>canteen’s</w:t>
      </w:r>
      <w:r>
        <w:rPr>
          <w:spacing w:val="-4"/>
        </w:rPr>
        <w:t> </w:t>
      </w:r>
      <w:r>
        <w:rPr>
          <w:spacing w:val="-2"/>
        </w:rPr>
        <w:t>image,</w:t>
      </w:r>
      <w:r>
        <w:rPr>
          <w:spacing w:val="-4"/>
        </w:rPr>
        <w:t> </w:t>
      </w:r>
      <w:r>
        <w:rPr>
          <w:spacing w:val="-2"/>
        </w:rPr>
        <w:t>promotes</w:t>
      </w:r>
      <w:r>
        <w:rPr>
          <w:spacing w:val="-4"/>
        </w:rPr>
        <w:t> </w:t>
      </w:r>
      <w:r>
        <w:rPr>
          <w:spacing w:val="-2"/>
        </w:rPr>
        <w:t>sustainability,</w:t>
      </w:r>
      <w:r>
        <w:rPr>
          <w:spacing w:val="-4"/>
        </w:rPr>
        <w:t> </w:t>
      </w:r>
      <w:r>
        <w:rPr>
          <w:spacing w:val="-2"/>
        </w:rPr>
        <w:t>and has</w:t>
      </w:r>
      <w:r>
        <w:rPr>
          <w:spacing w:val="-4"/>
        </w:rPr>
        <w:t> </w:t>
      </w:r>
      <w:r>
        <w:rPr>
          <w:spacing w:val="-2"/>
        </w:rPr>
        <w:t>potential</w:t>
      </w:r>
      <w:r>
        <w:rPr>
          <w:spacing w:val="-4"/>
        </w:rPr>
        <w:t> </w:t>
      </w:r>
      <w:r>
        <w:rPr>
          <w:spacing w:val="-2"/>
        </w:rPr>
        <w:t>for</w:t>
      </w:r>
      <w:r>
        <w:rPr>
          <w:spacing w:val="-5"/>
        </w:rPr>
        <w:t> </w:t>
      </w:r>
      <w:r>
        <w:rPr>
          <w:spacing w:val="-2"/>
        </w:rPr>
        <w:t>long-term</w:t>
      </w:r>
      <w:r>
        <w:rPr>
          <w:spacing w:val="-3"/>
        </w:rPr>
        <w:t> </w:t>
      </w:r>
      <w:r>
        <w:rPr>
          <w:spacing w:val="-2"/>
        </w:rPr>
        <w:t>savings.</w:t>
      </w:r>
      <w:r>
        <w:rPr>
          <w:spacing w:val="-4"/>
        </w:rPr>
        <w:t> </w:t>
      </w:r>
      <w:r>
        <w:rPr>
          <w:spacing w:val="-2"/>
        </w:rPr>
        <w:t>While </w:t>
      </w:r>
      <w:r>
        <w:rPr/>
        <w:t>higher costs remain a concern, respondents believed the benefits outweigh the expenses, with very high ratings given to improved sustainability and reputation. This suggests that the shift to compostable packaging</w:t>
      </w:r>
      <w:r>
        <w:rPr>
          <w:spacing w:val="-2"/>
        </w:rPr>
        <w:t> </w:t>
      </w:r>
      <w:r>
        <w:rPr/>
        <w:t>is not only</w:t>
      </w:r>
      <w:r>
        <w:rPr>
          <w:spacing w:val="-4"/>
        </w:rPr>
        <w:t> </w:t>
      </w:r>
      <w:r>
        <w:rPr/>
        <w:t>feasible but also strategically</w:t>
      </w:r>
      <w:r>
        <w:rPr>
          <w:spacing w:val="-2"/>
        </w:rPr>
        <w:t> </w:t>
      </w:r>
      <w:r>
        <w:rPr/>
        <w:t>advantageous for both the canteen and the institution.</w:t>
      </w:r>
    </w:p>
    <w:p>
      <w:pPr>
        <w:pStyle w:val="Heading1"/>
        <w:numPr>
          <w:ilvl w:val="0"/>
          <w:numId w:val="1"/>
        </w:numPr>
        <w:tabs>
          <w:tab w:pos="566" w:val="left" w:leader="none"/>
        </w:tabs>
        <w:spacing w:line="240" w:lineRule="auto" w:before="166" w:after="0"/>
        <w:ind w:left="566" w:right="0" w:hanging="240"/>
        <w:jc w:val="both"/>
      </w:pPr>
      <w:r>
        <w:rPr>
          <w:spacing w:val="-2"/>
        </w:rPr>
        <w:t>Discussion</w:t>
      </w:r>
    </w:p>
    <w:p>
      <w:pPr>
        <w:pStyle w:val="BodyText"/>
        <w:spacing w:line="480" w:lineRule="auto" w:before="271"/>
        <w:ind w:left="326" w:right="1076" w:firstLine="720"/>
        <w:jc w:val="right"/>
      </w:pPr>
      <w:r>
        <w:rPr/>
        <w:t>Through a discussion of the findings, this chapter thoroughly addresses the study objectives concerning the cost implications, operational and environmental benefits, and cost–benefit relationship of shifting from plastic to compostable packaging. The results</w:t>
      </w:r>
      <w:r>
        <w:rPr>
          <w:spacing w:val="80"/>
        </w:rPr>
        <w:t> </w:t>
      </w:r>
      <w:r>
        <w:rPr/>
        <w:t>were</w:t>
      </w:r>
      <w:r>
        <w:rPr>
          <w:spacing w:val="-6"/>
        </w:rPr>
        <w:t> </w:t>
      </w:r>
      <w:r>
        <w:rPr/>
        <w:t>carefully</w:t>
      </w:r>
      <w:r>
        <w:rPr>
          <w:spacing w:val="-9"/>
        </w:rPr>
        <w:t> </w:t>
      </w:r>
      <w:r>
        <w:rPr/>
        <w:t>analyzed,</w:t>
      </w:r>
      <w:r>
        <w:rPr>
          <w:spacing w:val="-2"/>
        </w:rPr>
        <w:t> </w:t>
      </w:r>
      <w:r>
        <w:rPr/>
        <w:t>showing</w:t>
      </w:r>
      <w:r>
        <w:rPr>
          <w:spacing w:val="-7"/>
        </w:rPr>
        <w:t> </w:t>
      </w:r>
      <w:r>
        <w:rPr/>
        <w:t>that</w:t>
      </w:r>
      <w:r>
        <w:rPr>
          <w:spacing w:val="-4"/>
        </w:rPr>
        <w:t> </w:t>
      </w:r>
      <w:r>
        <w:rPr/>
        <w:t>while</w:t>
      </w:r>
      <w:r>
        <w:rPr>
          <w:spacing w:val="-4"/>
        </w:rPr>
        <w:t> </w:t>
      </w:r>
      <w:r>
        <w:rPr/>
        <w:t>procurement,</w:t>
      </w:r>
      <w:r>
        <w:rPr>
          <w:spacing w:val="-4"/>
        </w:rPr>
        <w:t> </w:t>
      </w:r>
      <w:r>
        <w:rPr/>
        <w:t>storage,</w:t>
      </w:r>
      <w:r>
        <w:rPr>
          <w:spacing w:val="-4"/>
        </w:rPr>
        <w:t> </w:t>
      </w:r>
      <w:r>
        <w:rPr/>
        <w:t>and</w:t>
      </w:r>
      <w:r>
        <w:rPr>
          <w:spacing w:val="-4"/>
        </w:rPr>
        <w:t> </w:t>
      </w:r>
      <w:r>
        <w:rPr/>
        <w:t>waste</w:t>
      </w:r>
      <w:r>
        <w:rPr>
          <w:spacing w:val="-5"/>
        </w:rPr>
        <w:t> </w:t>
      </w:r>
      <w:r>
        <w:rPr/>
        <w:t>management present high-cost implications, canteen staffs also recognized significant operational and environmental</w:t>
      </w:r>
      <w:r>
        <w:rPr>
          <w:spacing w:val="-15"/>
        </w:rPr>
        <w:t> </w:t>
      </w:r>
      <w:r>
        <w:rPr/>
        <w:t>benefits</w:t>
      </w:r>
      <w:r>
        <w:rPr>
          <w:spacing w:val="-15"/>
        </w:rPr>
        <w:t> </w:t>
      </w:r>
      <w:r>
        <w:rPr/>
        <w:t>such</w:t>
      </w:r>
      <w:r>
        <w:rPr>
          <w:spacing w:val="-15"/>
        </w:rPr>
        <w:t> </w:t>
      </w:r>
      <w:r>
        <w:rPr/>
        <w:t>as</w:t>
      </w:r>
      <w:r>
        <w:rPr>
          <w:spacing w:val="-15"/>
        </w:rPr>
        <w:t> </w:t>
      </w:r>
      <w:r>
        <w:rPr/>
        <w:t>practicality,</w:t>
      </w:r>
      <w:r>
        <w:rPr>
          <w:spacing w:val="-15"/>
        </w:rPr>
        <w:t> </w:t>
      </w:r>
      <w:r>
        <w:rPr/>
        <w:t>improved</w:t>
      </w:r>
      <w:r>
        <w:rPr>
          <w:spacing w:val="-15"/>
        </w:rPr>
        <w:t> </w:t>
      </w:r>
      <w:r>
        <w:rPr/>
        <w:t>waste</w:t>
      </w:r>
      <w:r>
        <w:rPr>
          <w:spacing w:val="-15"/>
        </w:rPr>
        <w:t> </w:t>
      </w:r>
      <w:r>
        <w:rPr/>
        <w:t>segregation,</w:t>
      </w:r>
      <w:r>
        <w:rPr>
          <w:spacing w:val="-15"/>
        </w:rPr>
        <w:t> </w:t>
      </w:r>
      <w:r>
        <w:rPr/>
        <w:t>and</w:t>
      </w:r>
      <w:r>
        <w:rPr>
          <w:spacing w:val="-15"/>
        </w:rPr>
        <w:t> </w:t>
      </w:r>
      <w:r>
        <w:rPr/>
        <w:t>sustainability. Furthermore,</w:t>
      </w:r>
      <w:r>
        <w:rPr>
          <w:spacing w:val="40"/>
        </w:rPr>
        <w:t> </w:t>
      </w:r>
      <w:r>
        <w:rPr/>
        <w:t>the</w:t>
      </w:r>
      <w:r>
        <w:rPr>
          <w:spacing w:val="40"/>
        </w:rPr>
        <w:t> </w:t>
      </w:r>
      <w:r>
        <w:rPr/>
        <w:t>overall</w:t>
      </w:r>
      <w:r>
        <w:rPr>
          <w:spacing w:val="40"/>
        </w:rPr>
        <w:t> </w:t>
      </w:r>
      <w:r>
        <w:rPr/>
        <w:t>cost–benefit</w:t>
      </w:r>
      <w:r>
        <w:rPr>
          <w:spacing w:val="40"/>
        </w:rPr>
        <w:t> </w:t>
      </w:r>
      <w:r>
        <w:rPr/>
        <w:t>analysis</w:t>
      </w:r>
      <w:r>
        <w:rPr>
          <w:spacing w:val="40"/>
        </w:rPr>
        <w:t> </w:t>
      </w:r>
      <w:r>
        <w:rPr/>
        <w:t>indicated</w:t>
      </w:r>
      <w:r>
        <w:rPr>
          <w:spacing w:val="40"/>
        </w:rPr>
        <w:t> </w:t>
      </w:r>
      <w:r>
        <w:rPr/>
        <w:t>that</w:t>
      </w:r>
      <w:r>
        <w:rPr>
          <w:spacing w:val="40"/>
        </w:rPr>
        <w:t> </w:t>
      </w:r>
      <w:r>
        <w:rPr/>
        <w:t>the</w:t>
      </w:r>
      <w:r>
        <w:rPr>
          <w:spacing w:val="40"/>
        </w:rPr>
        <w:t> </w:t>
      </w:r>
      <w:r>
        <w:rPr/>
        <w:t>advantages</w:t>
      </w:r>
      <w:r>
        <w:rPr>
          <w:spacing w:val="40"/>
        </w:rPr>
        <w:t> </w:t>
      </w:r>
      <w:r>
        <w:rPr/>
        <w:t>of compostable</w:t>
      </w:r>
      <w:r>
        <w:rPr>
          <w:spacing w:val="-9"/>
        </w:rPr>
        <w:t> </w:t>
      </w:r>
      <w:r>
        <w:rPr/>
        <w:t>packaging</w:t>
      </w:r>
      <w:r>
        <w:rPr>
          <w:spacing w:val="-11"/>
        </w:rPr>
        <w:t> </w:t>
      </w:r>
      <w:r>
        <w:rPr/>
        <w:t>outweigh</w:t>
      </w:r>
      <w:r>
        <w:rPr>
          <w:spacing w:val="-6"/>
        </w:rPr>
        <w:t> </w:t>
      </w:r>
      <w:r>
        <w:rPr/>
        <w:t>its</w:t>
      </w:r>
      <w:r>
        <w:rPr>
          <w:spacing w:val="-8"/>
        </w:rPr>
        <w:t> </w:t>
      </w:r>
      <w:r>
        <w:rPr/>
        <w:t>financial</w:t>
      </w:r>
      <w:r>
        <w:rPr>
          <w:spacing w:val="-6"/>
        </w:rPr>
        <w:t> </w:t>
      </w:r>
      <w:r>
        <w:rPr/>
        <w:t>challenges,</w:t>
      </w:r>
      <w:r>
        <w:rPr>
          <w:spacing w:val="-8"/>
        </w:rPr>
        <w:t> </w:t>
      </w:r>
      <w:r>
        <w:rPr/>
        <w:t>as</w:t>
      </w:r>
      <w:r>
        <w:rPr>
          <w:spacing w:val="-8"/>
        </w:rPr>
        <w:t> </w:t>
      </w:r>
      <w:r>
        <w:rPr/>
        <w:t>it</w:t>
      </w:r>
      <w:r>
        <w:rPr>
          <w:spacing w:val="-5"/>
        </w:rPr>
        <w:t> </w:t>
      </w:r>
      <w:r>
        <w:rPr/>
        <w:t>enhances</w:t>
      </w:r>
      <w:r>
        <w:rPr>
          <w:spacing w:val="-8"/>
        </w:rPr>
        <w:t> </w:t>
      </w:r>
      <w:r>
        <w:rPr/>
        <w:t>the</w:t>
      </w:r>
      <w:r>
        <w:rPr>
          <w:spacing w:val="-7"/>
        </w:rPr>
        <w:t> </w:t>
      </w:r>
      <w:r>
        <w:rPr/>
        <w:t>canteen’s</w:t>
      </w:r>
      <w:r>
        <w:rPr>
          <w:spacing w:val="-6"/>
        </w:rPr>
        <w:t> </w:t>
      </w:r>
      <w:r>
        <w:rPr/>
        <w:t>eco- friendly</w:t>
      </w:r>
      <w:r>
        <w:rPr>
          <w:spacing w:val="-20"/>
        </w:rPr>
        <w:t> </w:t>
      </w:r>
      <w:r>
        <w:rPr/>
        <w:t>image</w:t>
      </w:r>
      <w:r>
        <w:rPr>
          <w:spacing w:val="-15"/>
        </w:rPr>
        <w:t> </w:t>
      </w:r>
      <w:r>
        <w:rPr/>
        <w:t>and</w:t>
      </w:r>
      <w:r>
        <w:rPr>
          <w:spacing w:val="-15"/>
        </w:rPr>
        <w:t> </w:t>
      </w:r>
      <w:r>
        <w:rPr/>
        <w:t>promotes</w:t>
      </w:r>
      <w:r>
        <w:rPr>
          <w:spacing w:val="-15"/>
        </w:rPr>
        <w:t> </w:t>
      </w:r>
      <w:r>
        <w:rPr/>
        <w:t>long-term</w:t>
      </w:r>
      <w:r>
        <w:rPr>
          <w:spacing w:val="-15"/>
        </w:rPr>
        <w:t> </w:t>
      </w:r>
      <w:r>
        <w:rPr/>
        <w:t>savings.</w:t>
      </w:r>
      <w:r>
        <w:rPr>
          <w:spacing w:val="-15"/>
        </w:rPr>
        <w:t> </w:t>
      </w:r>
      <w:r>
        <w:rPr/>
        <w:t>These</w:t>
      </w:r>
      <w:r>
        <w:rPr>
          <w:spacing w:val="-16"/>
        </w:rPr>
        <w:t> </w:t>
      </w:r>
      <w:r>
        <w:rPr/>
        <w:t>findings,</w:t>
      </w:r>
      <w:r>
        <w:rPr>
          <w:spacing w:val="-15"/>
        </w:rPr>
        <w:t> </w:t>
      </w:r>
      <w:r>
        <w:rPr/>
        <w:t>when</w:t>
      </w:r>
      <w:r>
        <w:rPr>
          <w:spacing w:val="-15"/>
        </w:rPr>
        <w:t> </w:t>
      </w:r>
      <w:r>
        <w:rPr/>
        <w:t>interpreted</w:t>
      </w:r>
      <w:r>
        <w:rPr>
          <w:spacing w:val="-15"/>
        </w:rPr>
        <w:t> </w:t>
      </w:r>
      <w:r>
        <w:rPr/>
        <w:t>alongside the</w:t>
      </w:r>
      <w:r>
        <w:rPr>
          <w:spacing w:val="40"/>
        </w:rPr>
        <w:t> </w:t>
      </w:r>
      <w:r>
        <w:rPr/>
        <w:t>related</w:t>
      </w:r>
      <w:r>
        <w:rPr>
          <w:spacing w:val="40"/>
        </w:rPr>
        <w:t> </w:t>
      </w:r>
      <w:r>
        <w:rPr/>
        <w:t>literature,</w:t>
      </w:r>
      <w:r>
        <w:rPr>
          <w:spacing w:val="40"/>
        </w:rPr>
        <w:t> </w:t>
      </w:r>
      <w:r>
        <w:rPr/>
        <w:t>provide</w:t>
      </w:r>
      <w:r>
        <w:rPr>
          <w:spacing w:val="40"/>
        </w:rPr>
        <w:t> </w:t>
      </w:r>
      <w:r>
        <w:rPr/>
        <w:t>a</w:t>
      </w:r>
      <w:r>
        <w:rPr>
          <w:spacing w:val="40"/>
        </w:rPr>
        <w:t> </w:t>
      </w:r>
      <w:r>
        <w:rPr/>
        <w:t>comprehensive</w:t>
      </w:r>
      <w:r>
        <w:rPr>
          <w:spacing w:val="40"/>
        </w:rPr>
        <w:t> </w:t>
      </w:r>
      <w:r>
        <w:rPr/>
        <w:t>understanding</w:t>
      </w:r>
      <w:r>
        <w:rPr>
          <w:spacing w:val="40"/>
        </w:rPr>
        <w:t> </w:t>
      </w:r>
      <w:r>
        <w:rPr/>
        <w:t>of</w:t>
      </w:r>
      <w:r>
        <w:rPr>
          <w:spacing w:val="40"/>
        </w:rPr>
        <w:t> </w:t>
      </w:r>
      <w:r>
        <w:rPr/>
        <w:t>the</w:t>
      </w:r>
      <w:r>
        <w:rPr>
          <w:spacing w:val="40"/>
        </w:rPr>
        <w:t> </w:t>
      </w:r>
      <w:r>
        <w:rPr/>
        <w:t>implications</w:t>
      </w:r>
      <w:r>
        <w:rPr>
          <w:spacing w:val="40"/>
        </w:rPr>
        <w:t> </w:t>
      </w:r>
      <w:r>
        <w:rPr/>
        <w:t>of</w:t>
      </w:r>
      <w:r>
        <w:rPr>
          <w:spacing w:val="40"/>
        </w:rPr>
        <w:t> </w:t>
      </w:r>
      <w:r>
        <w:rPr/>
        <w:t>adopting</w:t>
      </w:r>
      <w:r>
        <w:rPr>
          <w:spacing w:val="26"/>
        </w:rPr>
        <w:t>  </w:t>
      </w:r>
      <w:r>
        <w:rPr/>
        <w:t>compostable</w:t>
      </w:r>
      <w:r>
        <w:rPr>
          <w:spacing w:val="30"/>
        </w:rPr>
        <w:t>  </w:t>
      </w:r>
      <w:r>
        <w:rPr/>
        <w:t>packaging</w:t>
      </w:r>
      <w:r>
        <w:rPr>
          <w:spacing w:val="29"/>
        </w:rPr>
        <w:t>  </w:t>
      </w:r>
      <w:r>
        <w:rPr/>
        <w:t>and</w:t>
      </w:r>
      <w:r>
        <w:rPr>
          <w:spacing w:val="30"/>
        </w:rPr>
        <w:t>  </w:t>
      </w:r>
      <w:r>
        <w:rPr/>
        <w:t>demonstrate</w:t>
      </w:r>
      <w:r>
        <w:rPr>
          <w:spacing w:val="29"/>
        </w:rPr>
        <w:t>  </w:t>
      </w:r>
      <w:r>
        <w:rPr/>
        <w:t>how</w:t>
      </w:r>
      <w:r>
        <w:rPr>
          <w:spacing w:val="30"/>
        </w:rPr>
        <w:t>  </w:t>
      </w:r>
      <w:r>
        <w:rPr/>
        <w:t>the</w:t>
      </w:r>
      <w:r>
        <w:rPr>
          <w:spacing w:val="29"/>
        </w:rPr>
        <w:t>  </w:t>
      </w:r>
      <w:r>
        <w:rPr/>
        <w:t>study</w:t>
      </w:r>
      <w:r>
        <w:rPr>
          <w:spacing w:val="29"/>
        </w:rPr>
        <w:t>  </w:t>
      </w:r>
      <w:r>
        <w:rPr/>
        <w:t>objectives</w:t>
      </w:r>
      <w:r>
        <w:rPr>
          <w:spacing w:val="30"/>
        </w:rPr>
        <w:t>  </w:t>
      </w:r>
      <w:r>
        <w:rPr>
          <w:spacing w:val="-5"/>
        </w:rPr>
        <w:t>are</w:t>
      </w:r>
    </w:p>
    <w:p>
      <w:pPr>
        <w:pStyle w:val="BodyText"/>
        <w:spacing w:line="275" w:lineRule="exact"/>
        <w:ind w:left="326"/>
      </w:pPr>
      <w:r>
        <w:rPr/>
        <w:t>successfully</w:t>
      </w:r>
      <w:r>
        <w:rPr>
          <w:spacing w:val="-3"/>
        </w:rPr>
        <w:t> </w:t>
      </w:r>
      <w:r>
        <w:rPr>
          <w:spacing w:val="-4"/>
        </w:rPr>
        <w:t>met.</w:t>
      </w:r>
    </w:p>
    <w:p>
      <w:pPr>
        <w:pStyle w:val="BodyText"/>
        <w:spacing w:before="245"/>
      </w:pPr>
    </w:p>
    <w:p>
      <w:pPr>
        <w:pStyle w:val="Heading1"/>
        <w:numPr>
          <w:ilvl w:val="0"/>
          <w:numId w:val="1"/>
        </w:numPr>
        <w:tabs>
          <w:tab w:pos="566" w:val="left" w:leader="none"/>
        </w:tabs>
        <w:spacing w:line="240" w:lineRule="auto" w:before="0" w:after="0"/>
        <w:ind w:left="566" w:right="0" w:hanging="240"/>
        <w:jc w:val="both"/>
      </w:pPr>
      <w:r>
        <w:rPr>
          <w:spacing w:val="-2"/>
        </w:rPr>
        <w:t>Conclusion</w:t>
      </w:r>
    </w:p>
    <w:p>
      <w:pPr>
        <w:pStyle w:val="BodyText"/>
        <w:spacing w:line="480" w:lineRule="auto" w:before="271"/>
        <w:ind w:left="326" w:right="1079" w:firstLine="720"/>
        <w:jc w:val="both"/>
      </w:pPr>
      <w:r>
        <w:rPr/>
        <w:t>The concluded research study provides that the transition from plastic to compostable</w:t>
      </w:r>
      <w:r>
        <w:rPr>
          <w:spacing w:val="3"/>
        </w:rPr>
        <w:t> </w:t>
      </w:r>
      <w:r>
        <w:rPr/>
        <w:t>packaging</w:t>
      </w:r>
      <w:r>
        <w:rPr>
          <w:spacing w:val="4"/>
        </w:rPr>
        <w:t> </w:t>
      </w:r>
      <w:r>
        <w:rPr/>
        <w:t>in</w:t>
      </w:r>
      <w:r>
        <w:rPr>
          <w:spacing w:val="5"/>
        </w:rPr>
        <w:t> </w:t>
      </w:r>
      <w:r>
        <w:rPr/>
        <w:t>the</w:t>
      </w:r>
      <w:r>
        <w:rPr>
          <w:spacing w:val="6"/>
        </w:rPr>
        <w:t> </w:t>
      </w:r>
      <w:r>
        <w:rPr/>
        <w:t>Mapúa</w:t>
      </w:r>
      <w:r>
        <w:rPr>
          <w:spacing w:val="6"/>
        </w:rPr>
        <w:t> </w:t>
      </w:r>
      <w:r>
        <w:rPr/>
        <w:t>MCM</w:t>
      </w:r>
      <w:r>
        <w:rPr>
          <w:spacing w:val="6"/>
        </w:rPr>
        <w:t> </w:t>
      </w:r>
      <w:r>
        <w:rPr/>
        <w:t>canteen</w:t>
      </w:r>
      <w:r>
        <w:rPr>
          <w:spacing w:val="6"/>
        </w:rPr>
        <w:t> </w:t>
      </w:r>
      <w:r>
        <w:rPr/>
        <w:t>is</w:t>
      </w:r>
      <w:r>
        <w:rPr>
          <w:spacing w:val="7"/>
        </w:rPr>
        <w:t> </w:t>
      </w:r>
      <w:r>
        <w:rPr/>
        <w:t>generally</w:t>
      </w:r>
      <w:r>
        <w:rPr>
          <w:spacing w:val="1"/>
        </w:rPr>
        <w:t> </w:t>
      </w:r>
      <w:r>
        <w:rPr/>
        <w:t>feasible</w:t>
      </w:r>
      <w:r>
        <w:rPr>
          <w:spacing w:val="6"/>
        </w:rPr>
        <w:t> </w:t>
      </w:r>
      <w:r>
        <w:rPr/>
        <w:t>and</w:t>
      </w:r>
      <w:r>
        <w:rPr>
          <w:spacing w:val="6"/>
        </w:rPr>
        <w:t> </w:t>
      </w:r>
      <w:r>
        <w:rPr>
          <w:spacing w:val="-2"/>
        </w:rPr>
        <w:t>sustainable.</w:t>
      </w:r>
    </w:p>
    <w:p>
      <w:pPr>
        <w:pStyle w:val="BodyText"/>
        <w:spacing w:after="0" w:line="480" w:lineRule="auto"/>
        <w:jc w:val="both"/>
        <w:sectPr>
          <w:pgSz w:w="12240" w:h="15840"/>
          <w:pgMar w:header="763" w:footer="0" w:top="1340" w:bottom="280" w:left="1800" w:right="360"/>
        </w:sectPr>
      </w:pPr>
    </w:p>
    <w:p>
      <w:pPr>
        <w:pStyle w:val="BodyText"/>
        <w:spacing w:line="480" w:lineRule="auto" w:before="80"/>
        <w:ind w:left="326" w:right="1077"/>
        <w:jc w:val="both"/>
      </w:pPr>
      <w:r>
        <w:rPr/>
        <w:t>Despite the high-cost implications associated with procurement, storage, and waste management, the long-term operational and environmental benefits outweigh these financial challenges. Compostable packaging was found to enhance practicality, reduce visible waste, and improve the school’s environmental image. Furthermore, the findings suggest that such a shift not only supports sustainability goals but also strengthens institutional reputation and fosters environmental awareness among staff and consumers. However, the study</w:t>
      </w:r>
      <w:r>
        <w:rPr>
          <w:spacing w:val="-1"/>
        </w:rPr>
        <w:t> </w:t>
      </w:r>
      <w:r>
        <w:rPr/>
        <w:t>also identifies key challenges, including higher material costs, supply accessibility, and the need for infrastructure readiness such as waste segregation and composting systems. To ensure a successful implementation, the study recommends that the institution explore bulk purchasing strategies, supplier partnerships, and capacity- building programs for staff. Overall, adopting compostable packaging presents an opportunity for Mapúa MCM to lead by example in environmental stewardship while maintaining cost efficiency and operational effectiveness.</w:t>
      </w:r>
    </w:p>
    <w:p>
      <w:pPr>
        <w:pStyle w:val="BodyText"/>
        <w:spacing w:after="0" w:line="480" w:lineRule="auto"/>
        <w:jc w:val="both"/>
        <w:sectPr>
          <w:pgSz w:w="12240" w:h="15840"/>
          <w:pgMar w:header="763" w:footer="0" w:top="1340" w:bottom="280" w:left="1800" w:right="360"/>
        </w:sectPr>
      </w:pPr>
    </w:p>
    <w:p>
      <w:pPr>
        <w:pStyle w:val="Heading1"/>
        <w:spacing w:before="84"/>
        <w:ind w:left="326"/>
        <w:jc w:val="left"/>
      </w:pPr>
      <w:r>
        <w:rPr>
          <w:spacing w:val="-2"/>
        </w:rPr>
        <w:t>References</w:t>
      </w:r>
    </w:p>
    <w:p>
      <w:pPr>
        <w:pStyle w:val="BodyText"/>
        <w:spacing w:before="178"/>
        <w:ind w:left="326"/>
      </w:pPr>
      <w:r>
        <w:rPr/>
        <w:t>Allen,</w:t>
      </w:r>
      <w:r>
        <w:rPr>
          <w:spacing w:val="-12"/>
        </w:rPr>
        <w:t> </w:t>
      </w:r>
      <w:r>
        <w:rPr/>
        <w:t>F.</w:t>
      </w:r>
      <w:r>
        <w:rPr>
          <w:spacing w:val="-7"/>
        </w:rPr>
        <w:t> </w:t>
      </w:r>
      <w:r>
        <w:rPr/>
        <w:t>I.,</w:t>
      </w:r>
      <w:r>
        <w:rPr>
          <w:spacing w:val="-10"/>
        </w:rPr>
        <w:t> </w:t>
      </w:r>
      <w:r>
        <w:rPr/>
        <w:t>Velez,</w:t>
      </w:r>
      <w:r>
        <w:rPr>
          <w:spacing w:val="-11"/>
        </w:rPr>
        <w:t> </w:t>
      </w:r>
      <w:r>
        <w:rPr/>
        <w:t>N.</w:t>
      </w:r>
      <w:r>
        <w:rPr>
          <w:spacing w:val="-12"/>
        </w:rPr>
        <w:t> </w:t>
      </w:r>
      <w:r>
        <w:rPr/>
        <w:t>R.,</w:t>
      </w:r>
      <w:r>
        <w:rPr>
          <w:spacing w:val="-8"/>
        </w:rPr>
        <w:t> </w:t>
      </w:r>
      <w:r>
        <w:rPr/>
        <w:t>Thayer,</w:t>
      </w:r>
      <w:r>
        <w:rPr>
          <w:spacing w:val="-10"/>
        </w:rPr>
        <w:t> </w:t>
      </w:r>
      <w:r>
        <w:rPr/>
        <w:t>R.</w:t>
      </w:r>
      <w:r>
        <w:rPr>
          <w:spacing w:val="-11"/>
        </w:rPr>
        <w:t> </w:t>
      </w:r>
      <w:r>
        <w:rPr/>
        <w:t>C.,</w:t>
      </w:r>
      <w:r>
        <w:rPr>
          <w:spacing w:val="-10"/>
        </w:rPr>
        <w:t> </w:t>
      </w:r>
      <w:r>
        <w:rPr/>
        <w:t>Patel,</w:t>
      </w:r>
      <w:r>
        <w:rPr>
          <w:spacing w:val="-11"/>
        </w:rPr>
        <w:t> </w:t>
      </w:r>
      <w:r>
        <w:rPr/>
        <w:t>N.</w:t>
      </w:r>
      <w:r>
        <w:rPr>
          <w:spacing w:val="-8"/>
        </w:rPr>
        <w:t> </w:t>
      </w:r>
      <w:r>
        <w:rPr/>
        <w:t>H.,</w:t>
      </w:r>
      <w:r>
        <w:rPr>
          <w:spacing w:val="-11"/>
        </w:rPr>
        <w:t> </w:t>
      </w:r>
      <w:r>
        <w:rPr/>
        <w:t>Jones,</w:t>
      </w:r>
      <w:r>
        <w:rPr>
          <w:spacing w:val="-11"/>
        </w:rPr>
        <w:t> </w:t>
      </w:r>
      <w:r>
        <w:rPr/>
        <w:t>M.</w:t>
      </w:r>
      <w:r>
        <w:rPr>
          <w:spacing w:val="-10"/>
        </w:rPr>
        <w:t> </w:t>
      </w:r>
      <w:r>
        <w:rPr/>
        <w:t>A.,</w:t>
      </w:r>
      <w:r>
        <w:rPr>
          <w:spacing w:val="-12"/>
        </w:rPr>
        <w:t> </w:t>
      </w:r>
      <w:r>
        <w:rPr/>
        <w:t>Meyers,</w:t>
      </w:r>
      <w:r>
        <w:rPr>
          <w:spacing w:val="-9"/>
        </w:rPr>
        <w:t> </w:t>
      </w:r>
      <w:r>
        <w:rPr/>
        <w:t>G.</w:t>
      </w:r>
      <w:r>
        <w:rPr>
          <w:spacing w:val="-11"/>
        </w:rPr>
        <w:t> </w:t>
      </w:r>
      <w:r>
        <w:rPr/>
        <w:t>F.,</w:t>
      </w:r>
      <w:r>
        <w:rPr>
          <w:spacing w:val="-9"/>
        </w:rPr>
        <w:t> </w:t>
      </w:r>
      <w:r>
        <w:rPr/>
        <w:t>&amp;</w:t>
      </w:r>
      <w:r>
        <w:rPr>
          <w:spacing w:val="-10"/>
        </w:rPr>
        <w:t> </w:t>
      </w:r>
      <w:r>
        <w:rPr>
          <w:spacing w:val="-2"/>
        </w:rPr>
        <w:t>Minor,</w:t>
      </w:r>
    </w:p>
    <w:p>
      <w:pPr>
        <w:pStyle w:val="BodyText"/>
      </w:pPr>
    </w:p>
    <w:p>
      <w:pPr>
        <w:pStyle w:val="BodyText"/>
        <w:spacing w:line="480" w:lineRule="auto"/>
        <w:ind w:left="326" w:right="1078"/>
        <w:jc w:val="both"/>
      </w:pPr>
      <w:r>
        <w:rPr/>
        <w:t>A. M. (2018). Gallium, neon and helium focused ion beam milling of thin films demonstrated for polymeric materials: study of implantation artifacts. Nanoscale, 11(3), 1403–1409. </w:t>
      </w:r>
      <w:hyperlink r:id="rId13">
        <w:r>
          <w:rPr>
            <w:color w:val="0462C1"/>
            <w:u w:val="single" w:color="0462C1"/>
          </w:rPr>
          <w:t>https://doi.org/10.1039/c8nr08224c</w:t>
        </w:r>
      </w:hyperlink>
    </w:p>
    <w:p>
      <w:pPr>
        <w:pStyle w:val="BodyText"/>
      </w:pPr>
    </w:p>
    <w:p>
      <w:pPr>
        <w:pStyle w:val="BodyText"/>
      </w:pPr>
    </w:p>
    <w:p>
      <w:pPr>
        <w:pStyle w:val="BodyText"/>
        <w:spacing w:line="480" w:lineRule="auto"/>
        <w:ind w:left="326" w:right="1002"/>
      </w:pPr>
      <w:r>
        <w:rPr/>
        <w:t>Apuke,</w:t>
      </w:r>
      <w:r>
        <w:rPr>
          <w:spacing w:val="80"/>
          <w:w w:val="150"/>
        </w:rPr>
        <w:t> </w:t>
      </w:r>
      <w:r>
        <w:rPr/>
        <w:t>O.</w:t>
      </w:r>
      <w:r>
        <w:rPr>
          <w:spacing w:val="80"/>
          <w:w w:val="150"/>
        </w:rPr>
        <w:t> </w:t>
      </w:r>
      <w:r>
        <w:rPr/>
        <w:t>D.</w:t>
      </w:r>
      <w:r>
        <w:rPr>
          <w:spacing w:val="80"/>
          <w:w w:val="150"/>
        </w:rPr>
        <w:t> </w:t>
      </w:r>
      <w:r>
        <w:rPr/>
        <w:t>(2021).</w:t>
      </w:r>
      <w:r>
        <w:rPr>
          <w:spacing w:val="80"/>
          <w:w w:val="150"/>
        </w:rPr>
        <w:t> </w:t>
      </w:r>
      <w:r>
        <w:rPr/>
        <w:t>Practical</w:t>
      </w:r>
      <w:r>
        <w:rPr>
          <w:spacing w:val="80"/>
          <w:w w:val="150"/>
        </w:rPr>
        <w:t> </w:t>
      </w:r>
      <w:r>
        <w:rPr/>
        <w:t>Research</w:t>
      </w:r>
      <w:r>
        <w:rPr>
          <w:spacing w:val="80"/>
          <w:w w:val="150"/>
        </w:rPr>
        <w:t> </w:t>
      </w:r>
      <w:r>
        <w:rPr/>
        <w:t>Methods</w:t>
      </w:r>
      <w:r>
        <w:rPr>
          <w:spacing w:val="80"/>
          <w:w w:val="150"/>
        </w:rPr>
        <w:t> </w:t>
      </w:r>
      <w:r>
        <w:rPr/>
        <w:t>for</w:t>
      </w:r>
      <w:r>
        <w:rPr>
          <w:spacing w:val="80"/>
          <w:w w:val="150"/>
        </w:rPr>
        <w:t> </w:t>
      </w:r>
      <w:r>
        <w:rPr/>
        <w:t>Undergraduate</w:t>
      </w:r>
      <w:r>
        <w:rPr>
          <w:spacing w:val="80"/>
          <w:w w:val="150"/>
        </w:rPr>
        <w:t> </w:t>
      </w:r>
      <w:r>
        <w:rPr/>
        <w:t>Students. </w:t>
      </w:r>
      <w:hyperlink r:id="rId14">
        <w:r>
          <w:rPr>
            <w:color w:val="0462C1"/>
            <w:spacing w:val="-2"/>
            <w:u w:val="single" w:color="0462C1"/>
          </w:rPr>
          <w:t>https://digitalcommons.unl.edu/cgi/viewcontent.cgi?article=6815&amp;context=libphilprac</w:t>
        </w:r>
      </w:hyperlink>
    </w:p>
    <w:p>
      <w:pPr>
        <w:pStyle w:val="BodyText"/>
      </w:pPr>
    </w:p>
    <w:p>
      <w:pPr>
        <w:pStyle w:val="BodyText"/>
        <w:spacing w:before="1"/>
      </w:pPr>
    </w:p>
    <w:p>
      <w:pPr>
        <w:pStyle w:val="BodyText"/>
        <w:spacing w:line="480" w:lineRule="auto"/>
        <w:ind w:left="326" w:right="1079"/>
        <w:jc w:val="both"/>
      </w:pPr>
      <w:r>
        <w:rPr/>
        <w:t>Cuerda, J., Polinar, M.A., Rabanes, B. (2023). Sustainable Choices: Implementing Green Marketing</w:t>
      </w:r>
      <w:r>
        <w:rPr>
          <w:spacing w:val="-13"/>
        </w:rPr>
        <w:t> </w:t>
      </w:r>
      <w:r>
        <w:rPr/>
        <w:t>Strategies</w:t>
      </w:r>
      <w:r>
        <w:rPr>
          <w:spacing w:val="-11"/>
        </w:rPr>
        <w:t> </w:t>
      </w:r>
      <w:r>
        <w:rPr/>
        <w:t>in</w:t>
      </w:r>
      <w:r>
        <w:rPr>
          <w:spacing w:val="-10"/>
        </w:rPr>
        <w:t> </w:t>
      </w:r>
      <w:r>
        <w:rPr/>
        <w:t>a</w:t>
      </w:r>
      <w:r>
        <w:rPr>
          <w:spacing w:val="-12"/>
        </w:rPr>
        <w:t> </w:t>
      </w:r>
      <w:r>
        <w:rPr/>
        <w:t>School</w:t>
      </w:r>
      <w:r>
        <w:rPr>
          <w:spacing w:val="-10"/>
        </w:rPr>
        <w:t> </w:t>
      </w:r>
      <w:r>
        <w:rPr/>
        <w:t>Canteen</w:t>
      </w:r>
      <w:r>
        <w:rPr>
          <w:spacing w:val="-11"/>
        </w:rPr>
        <w:t> </w:t>
      </w:r>
      <w:r>
        <w:rPr/>
        <w:t>for</w:t>
      </w:r>
      <w:r>
        <w:rPr>
          <w:spacing w:val="-12"/>
        </w:rPr>
        <w:t> </w:t>
      </w:r>
      <w:r>
        <w:rPr/>
        <w:t>a</w:t>
      </w:r>
      <w:r>
        <w:rPr>
          <w:spacing w:val="-12"/>
        </w:rPr>
        <w:t> </w:t>
      </w:r>
      <w:r>
        <w:rPr/>
        <w:t>Healthier</w:t>
      </w:r>
      <w:r>
        <w:rPr>
          <w:spacing w:val="-12"/>
        </w:rPr>
        <w:t> </w:t>
      </w:r>
      <w:r>
        <w:rPr/>
        <w:t>Environment.</w:t>
      </w:r>
      <w:r>
        <w:rPr>
          <w:spacing w:val="-11"/>
        </w:rPr>
        <w:t> </w:t>
      </w:r>
      <w:r>
        <w:rPr/>
        <w:t>Journal</w:t>
      </w:r>
      <w:r>
        <w:rPr>
          <w:spacing w:val="-10"/>
        </w:rPr>
        <w:t> </w:t>
      </w:r>
      <w:r>
        <w:rPr/>
        <w:t>of</w:t>
      </w:r>
      <w:r>
        <w:rPr>
          <w:spacing w:val="-11"/>
        </w:rPr>
        <w:t> </w:t>
      </w:r>
      <w:r>
        <w:rPr/>
        <w:t>Business and Management Studies, 5(2), 19-32.</w:t>
      </w:r>
    </w:p>
    <w:p>
      <w:pPr>
        <w:pStyle w:val="BodyText"/>
      </w:pPr>
    </w:p>
    <w:p>
      <w:pPr>
        <w:pStyle w:val="BodyText"/>
      </w:pPr>
    </w:p>
    <w:p>
      <w:pPr>
        <w:spacing w:line="480" w:lineRule="auto" w:before="0"/>
        <w:ind w:left="326" w:right="1073" w:firstLine="0"/>
        <w:jc w:val="both"/>
        <w:rPr>
          <w:sz w:val="24"/>
        </w:rPr>
      </w:pPr>
      <w:r>
        <w:rPr>
          <w:sz w:val="24"/>
        </w:rPr>
        <w:t>Daramola, O. M., Apeh, C. E., Basiru, J. O., Onukwulu, E. C., &amp; Paul, P. O. (2025). Sustainable packaging operations: Balancing cost, functionality, and environmental concerns. </w:t>
      </w:r>
      <w:r>
        <w:rPr>
          <w:i/>
          <w:sz w:val="24"/>
        </w:rPr>
        <w:t>International Journal of Social Science Exceptional Research</w:t>
      </w:r>
      <w:r>
        <w:rPr>
          <w:sz w:val="24"/>
        </w:rPr>
        <w:t>, </w:t>
      </w:r>
      <w:r>
        <w:rPr>
          <w:i/>
          <w:sz w:val="24"/>
        </w:rPr>
        <w:t>4</w:t>
      </w:r>
      <w:r>
        <w:rPr>
          <w:sz w:val="24"/>
        </w:rPr>
        <w:t>(1), 79–97. </w:t>
      </w:r>
      <w:hyperlink r:id="rId15">
        <w:r>
          <w:rPr>
            <w:color w:val="0462C1"/>
            <w:spacing w:val="-2"/>
            <w:sz w:val="24"/>
            <w:u w:val="single" w:color="0462C1"/>
          </w:rPr>
          <w:t>https://doi.org/10.54660/ijsser.2025.4.1.79-97</w:t>
        </w:r>
      </w:hyperlink>
    </w:p>
    <w:p>
      <w:pPr>
        <w:pStyle w:val="BodyText"/>
        <w:spacing w:before="274"/>
      </w:pPr>
    </w:p>
    <w:p>
      <w:pPr>
        <w:spacing w:line="480" w:lineRule="auto" w:before="0"/>
        <w:ind w:left="326" w:right="1073" w:firstLine="0"/>
        <w:jc w:val="both"/>
        <w:rPr>
          <w:sz w:val="24"/>
        </w:rPr>
      </w:pPr>
      <w:r>
        <w:rPr>
          <w:sz w:val="24"/>
        </w:rPr>
        <w:t>Giordano, L., &amp; Mariani, G. (2024). Strawplast: pioneering eco-packaging solutions for a sustainable future. </w:t>
      </w:r>
      <w:r>
        <w:rPr>
          <w:i/>
          <w:sz w:val="24"/>
        </w:rPr>
        <w:t>The American Journal of Agriculture and Biomedical Engineering</w:t>
      </w:r>
      <w:r>
        <w:rPr>
          <w:sz w:val="24"/>
        </w:rPr>
        <w:t>, </w:t>
      </w:r>
      <w:r>
        <w:rPr>
          <w:i/>
          <w:sz w:val="24"/>
        </w:rPr>
        <w:t>06</w:t>
      </w:r>
      <w:r>
        <w:rPr>
          <w:sz w:val="24"/>
        </w:rPr>
        <w:t>(04), 06–10.</w:t>
      </w:r>
      <w:hyperlink r:id="rId16">
        <w:r>
          <w:rPr>
            <w:color w:val="0462C1"/>
            <w:sz w:val="24"/>
            <w:u w:val="single" w:color="0462C1"/>
          </w:rPr>
          <w:t> https://doi.org/10.37547/tajabe/volume06issue04-02</w:t>
        </w:r>
      </w:hyperlink>
    </w:p>
    <w:p>
      <w:pPr>
        <w:pStyle w:val="BodyText"/>
      </w:pPr>
    </w:p>
    <w:p>
      <w:pPr>
        <w:pStyle w:val="BodyText"/>
        <w:spacing w:before="1"/>
      </w:pPr>
    </w:p>
    <w:p>
      <w:pPr>
        <w:spacing w:line="480" w:lineRule="auto" w:before="0"/>
        <w:ind w:left="326" w:right="1002" w:firstLine="0"/>
        <w:jc w:val="left"/>
        <w:rPr>
          <w:sz w:val="24"/>
        </w:rPr>
      </w:pPr>
      <w:r>
        <w:rPr>
          <w:sz w:val="24"/>
        </w:rPr>
        <w:t>Ikechukwu, C. (2024). </w:t>
      </w:r>
      <w:r>
        <w:rPr>
          <w:i/>
          <w:sz w:val="24"/>
        </w:rPr>
        <w:t>Addressing Food Security and Environmental Concerns through</w:t>
      </w:r>
      <w:r>
        <w:rPr>
          <w:i/>
          <w:spacing w:val="40"/>
          <w:sz w:val="24"/>
        </w:rPr>
        <w:t> </w:t>
      </w:r>
      <w:r>
        <w:rPr>
          <w:i/>
          <w:sz w:val="24"/>
        </w:rPr>
        <w:t>Bioplastic</w:t>
      </w:r>
      <w:r>
        <w:rPr>
          <w:i/>
          <w:spacing w:val="-2"/>
          <w:sz w:val="24"/>
        </w:rPr>
        <w:t> </w:t>
      </w:r>
      <w:r>
        <w:rPr>
          <w:i/>
          <w:sz w:val="24"/>
        </w:rPr>
        <w:t>Innovation</w:t>
      </w:r>
      <w:r>
        <w:rPr>
          <w:i/>
          <w:spacing w:val="-1"/>
          <w:sz w:val="24"/>
        </w:rPr>
        <w:t> </w:t>
      </w:r>
      <w:r>
        <w:rPr>
          <w:i/>
          <w:sz w:val="24"/>
        </w:rPr>
        <w:t>in</w:t>
      </w:r>
      <w:r>
        <w:rPr>
          <w:i/>
          <w:spacing w:val="-3"/>
          <w:sz w:val="24"/>
        </w:rPr>
        <w:t> </w:t>
      </w:r>
      <w:r>
        <w:rPr>
          <w:i/>
          <w:sz w:val="24"/>
        </w:rPr>
        <w:t>Food Packaging</w:t>
      </w:r>
      <w:r>
        <w:rPr>
          <w:sz w:val="24"/>
        </w:rPr>
        <w:t>.</w:t>
      </w:r>
      <w:r>
        <w:rPr>
          <w:spacing w:val="-1"/>
          <w:sz w:val="24"/>
        </w:rPr>
        <w:t> </w:t>
      </w:r>
      <w:r>
        <w:rPr>
          <w:i/>
          <w:sz w:val="24"/>
        </w:rPr>
        <w:t>1</w:t>
      </w:r>
      <w:r>
        <w:rPr>
          <w:sz w:val="24"/>
        </w:rPr>
        <w:t>(1),</w:t>
      </w:r>
      <w:r>
        <w:rPr>
          <w:spacing w:val="-1"/>
          <w:sz w:val="24"/>
        </w:rPr>
        <w:t> </w:t>
      </w:r>
      <w:r>
        <w:rPr>
          <w:sz w:val="24"/>
        </w:rPr>
        <w:t>53–68.</w:t>
      </w:r>
      <w:hyperlink r:id="rId17">
        <w:r>
          <w:rPr>
            <w:color w:val="0462C1"/>
            <w:sz w:val="24"/>
            <w:u w:val="single" w:color="0462C1"/>
          </w:rPr>
          <w:t> </w:t>
        </w:r>
        <w:r>
          <w:rPr>
            <w:color w:val="0462C1"/>
            <w:spacing w:val="-2"/>
            <w:sz w:val="24"/>
            <w:u w:val="single" w:color="0462C1"/>
          </w:rPr>
          <w:t>https://doi.org/10.69798/49264347</w:t>
        </w:r>
      </w:hyperlink>
    </w:p>
    <w:p>
      <w:pPr>
        <w:spacing w:after="0" w:line="480" w:lineRule="auto"/>
        <w:jc w:val="left"/>
        <w:rPr>
          <w:sz w:val="24"/>
        </w:rPr>
        <w:sectPr>
          <w:pgSz w:w="12240" w:h="15840"/>
          <w:pgMar w:header="763" w:footer="0" w:top="1340" w:bottom="280" w:left="1800" w:right="360"/>
        </w:sectPr>
      </w:pPr>
    </w:p>
    <w:p>
      <w:pPr>
        <w:pStyle w:val="BodyText"/>
      </w:pPr>
    </w:p>
    <w:p>
      <w:pPr>
        <w:pStyle w:val="BodyText"/>
        <w:spacing w:before="79"/>
      </w:pPr>
    </w:p>
    <w:p>
      <w:pPr>
        <w:pStyle w:val="BodyText"/>
        <w:spacing w:line="480" w:lineRule="auto" w:before="1"/>
        <w:ind w:left="326" w:right="1080"/>
        <w:jc w:val="both"/>
      </w:pPr>
      <w:r>
        <w:rPr/>
        <w:t>Kaur,</w:t>
      </w:r>
      <w:r>
        <w:rPr>
          <w:spacing w:val="-3"/>
        </w:rPr>
        <w:t> </w:t>
      </w:r>
      <w:r>
        <w:rPr/>
        <w:t>K.,</w:t>
      </w:r>
      <w:r>
        <w:rPr>
          <w:spacing w:val="-3"/>
        </w:rPr>
        <w:t> </w:t>
      </w:r>
      <w:r>
        <w:rPr/>
        <w:t>&amp;</w:t>
      </w:r>
      <w:r>
        <w:rPr>
          <w:spacing w:val="-3"/>
        </w:rPr>
        <w:t> </w:t>
      </w:r>
      <w:r>
        <w:rPr/>
        <w:t>Acid,</w:t>
      </w:r>
      <w:r>
        <w:rPr>
          <w:spacing w:val="-2"/>
        </w:rPr>
        <w:t> </w:t>
      </w:r>
      <w:r>
        <w:rPr/>
        <w:t>M.</w:t>
      </w:r>
      <w:r>
        <w:rPr>
          <w:spacing w:val="-2"/>
        </w:rPr>
        <w:t> </w:t>
      </w:r>
      <w:r>
        <w:rPr/>
        <w:t>(2020).</w:t>
      </w:r>
      <w:r>
        <w:rPr>
          <w:spacing w:val="-3"/>
        </w:rPr>
        <w:t> </w:t>
      </w:r>
      <w:r>
        <w:rPr/>
        <w:t>Cost-benefit</w:t>
      </w:r>
      <w:r>
        <w:rPr>
          <w:spacing w:val="-2"/>
        </w:rPr>
        <w:t> </w:t>
      </w:r>
      <w:r>
        <w:rPr/>
        <w:t>Analysis</w:t>
      </w:r>
      <w:r>
        <w:rPr>
          <w:spacing w:val="-2"/>
        </w:rPr>
        <w:t> </w:t>
      </w:r>
      <w:r>
        <w:rPr/>
        <w:t>of</w:t>
      </w:r>
      <w:r>
        <w:rPr>
          <w:spacing w:val="-1"/>
        </w:rPr>
        <w:t> </w:t>
      </w:r>
      <w:r>
        <w:rPr/>
        <w:t>Compostable</w:t>
      </w:r>
      <w:r>
        <w:rPr>
          <w:spacing w:val="-3"/>
        </w:rPr>
        <w:t> </w:t>
      </w:r>
      <w:r>
        <w:rPr/>
        <w:t>Food</w:t>
      </w:r>
      <w:r>
        <w:rPr>
          <w:spacing w:val="-2"/>
        </w:rPr>
        <w:t> </w:t>
      </w:r>
      <w:r>
        <w:rPr/>
        <w:t>Serviceware:</w:t>
      </w:r>
      <w:r>
        <w:rPr>
          <w:spacing w:val="-2"/>
        </w:rPr>
        <w:t> </w:t>
      </w:r>
      <w:r>
        <w:rPr/>
        <w:t>A Case Study of an Educational Institute in California. </w:t>
      </w:r>
      <w:r>
        <w:rPr>
          <w:i/>
        </w:rPr>
        <w:t>Journal of Scientific Research and Reports</w:t>
      </w:r>
      <w:r>
        <w:rPr/>
        <w:t>, 100–106.</w:t>
      </w:r>
      <w:hyperlink r:id="rId18">
        <w:r>
          <w:rPr>
            <w:color w:val="0462C1"/>
            <w:u w:val="single" w:color="0462C1"/>
          </w:rPr>
          <w:t> https://doi.org/10.9734/JSRR/2020/V26I230229</w:t>
        </w:r>
      </w:hyperlink>
    </w:p>
    <w:p>
      <w:pPr>
        <w:pStyle w:val="BodyText"/>
      </w:pPr>
    </w:p>
    <w:p>
      <w:pPr>
        <w:pStyle w:val="BodyText"/>
      </w:pPr>
    </w:p>
    <w:p>
      <w:pPr>
        <w:pStyle w:val="BodyText"/>
        <w:spacing w:line="480" w:lineRule="auto"/>
        <w:ind w:left="326" w:right="1082"/>
        <w:jc w:val="both"/>
      </w:pPr>
      <w:r>
        <w:rPr/>
        <w:t>Kaur,</w:t>
      </w:r>
      <w:r>
        <w:rPr>
          <w:spacing w:val="-3"/>
        </w:rPr>
        <w:t> </w:t>
      </w:r>
      <w:r>
        <w:rPr/>
        <w:t>K.,</w:t>
      </w:r>
      <w:r>
        <w:rPr>
          <w:spacing w:val="-2"/>
        </w:rPr>
        <w:t> </w:t>
      </w:r>
      <w:r>
        <w:rPr/>
        <w:t>&amp;</w:t>
      </w:r>
      <w:r>
        <w:rPr>
          <w:spacing w:val="-4"/>
        </w:rPr>
        <w:t> </w:t>
      </w:r>
      <w:r>
        <w:rPr/>
        <w:t>Acid,</w:t>
      </w:r>
      <w:r>
        <w:rPr>
          <w:spacing w:val="-2"/>
        </w:rPr>
        <w:t> </w:t>
      </w:r>
      <w:r>
        <w:rPr/>
        <w:t>M.</w:t>
      </w:r>
      <w:r>
        <w:rPr>
          <w:spacing w:val="-2"/>
        </w:rPr>
        <w:t> </w:t>
      </w:r>
      <w:r>
        <w:rPr/>
        <w:t>(2020).</w:t>
      </w:r>
      <w:r>
        <w:rPr>
          <w:spacing w:val="-3"/>
        </w:rPr>
        <w:t> </w:t>
      </w:r>
      <w:r>
        <w:rPr/>
        <w:t>Cost-benefit</w:t>
      </w:r>
      <w:r>
        <w:rPr>
          <w:spacing w:val="-2"/>
        </w:rPr>
        <w:t> </w:t>
      </w:r>
      <w:r>
        <w:rPr/>
        <w:t>Analysis</w:t>
      </w:r>
      <w:r>
        <w:rPr>
          <w:spacing w:val="-2"/>
        </w:rPr>
        <w:t> </w:t>
      </w:r>
      <w:r>
        <w:rPr/>
        <w:t>of</w:t>
      </w:r>
      <w:r>
        <w:rPr>
          <w:spacing w:val="-3"/>
        </w:rPr>
        <w:t> </w:t>
      </w:r>
      <w:r>
        <w:rPr/>
        <w:t>Compostable</w:t>
      </w:r>
      <w:r>
        <w:rPr>
          <w:spacing w:val="-3"/>
        </w:rPr>
        <w:t> </w:t>
      </w:r>
      <w:r>
        <w:rPr/>
        <w:t>Food</w:t>
      </w:r>
      <w:r>
        <w:rPr>
          <w:spacing w:val="-2"/>
        </w:rPr>
        <w:t> </w:t>
      </w:r>
      <w:r>
        <w:rPr/>
        <w:t>Serviceware:</w:t>
      </w:r>
      <w:r>
        <w:rPr>
          <w:spacing w:val="-2"/>
        </w:rPr>
        <w:t> </w:t>
      </w:r>
      <w:r>
        <w:rPr/>
        <w:t>A Case Study</w:t>
      </w:r>
      <w:r>
        <w:rPr>
          <w:spacing w:val="-3"/>
        </w:rPr>
        <w:t> </w:t>
      </w:r>
      <w:r>
        <w:rPr/>
        <w:t>of an Educational Institute in California. Middlebury Institute of International Studies at Monterey.</w:t>
      </w:r>
    </w:p>
    <w:p>
      <w:pPr>
        <w:pStyle w:val="BodyText"/>
      </w:pPr>
    </w:p>
    <w:p>
      <w:pPr>
        <w:pStyle w:val="BodyText"/>
      </w:pPr>
    </w:p>
    <w:p>
      <w:pPr>
        <w:pStyle w:val="BodyText"/>
        <w:spacing w:line="480" w:lineRule="auto" w:before="1"/>
        <w:ind w:left="326" w:right="1078"/>
        <w:jc w:val="both"/>
      </w:pPr>
      <w:r>
        <w:rPr/>
        <w:t>Lin, J., Jaiswal, A. K., &amp; Jaiswal, S. (2024). A Critical Review of Consumer Perception and Environmental Impacts of Bioplastics in Sustainable Food Packaging. Sustainability, 17(4), 1358. </w:t>
      </w:r>
      <w:hyperlink r:id="rId19">
        <w:r>
          <w:rPr>
            <w:color w:val="0462C1"/>
            <w:u w:val="single" w:color="0462C1"/>
          </w:rPr>
          <w:t>https://doi.org/10.3390/su17041358</w:t>
        </w:r>
      </w:hyperlink>
    </w:p>
    <w:p>
      <w:pPr>
        <w:pStyle w:val="BodyText"/>
      </w:pPr>
    </w:p>
    <w:p>
      <w:pPr>
        <w:pStyle w:val="BodyText"/>
      </w:pPr>
    </w:p>
    <w:p>
      <w:pPr>
        <w:pStyle w:val="BodyText"/>
        <w:ind w:left="326"/>
      </w:pPr>
      <w:r>
        <w:rPr/>
        <w:t>Mishan,</w:t>
      </w:r>
      <w:r>
        <w:rPr>
          <w:spacing w:val="-3"/>
        </w:rPr>
        <w:t> </w:t>
      </w:r>
      <w:r>
        <w:rPr/>
        <w:t>E.</w:t>
      </w:r>
      <w:r>
        <w:rPr>
          <w:spacing w:val="-1"/>
        </w:rPr>
        <w:t> </w:t>
      </w:r>
      <w:r>
        <w:rPr/>
        <w:t>J., &amp;</w:t>
      </w:r>
      <w:r>
        <w:rPr>
          <w:spacing w:val="-3"/>
        </w:rPr>
        <w:t> </w:t>
      </w:r>
      <w:r>
        <w:rPr/>
        <w:t>Quah,</w:t>
      </w:r>
      <w:r>
        <w:rPr>
          <w:spacing w:val="-1"/>
        </w:rPr>
        <w:t> </w:t>
      </w:r>
      <w:r>
        <w:rPr/>
        <w:t>E. (2020).</w:t>
      </w:r>
      <w:r>
        <w:rPr>
          <w:spacing w:val="-1"/>
        </w:rPr>
        <w:t> </w:t>
      </w:r>
      <w:r>
        <w:rPr/>
        <w:t>Cost-benefit</w:t>
      </w:r>
      <w:r>
        <w:rPr>
          <w:spacing w:val="-1"/>
        </w:rPr>
        <w:t> </w:t>
      </w:r>
      <w:r>
        <w:rPr/>
        <w:t>analysis (6th</w:t>
      </w:r>
      <w:r>
        <w:rPr>
          <w:spacing w:val="-1"/>
        </w:rPr>
        <w:t> </w:t>
      </w:r>
      <w:r>
        <w:rPr/>
        <w:t>ed.). </w:t>
      </w:r>
      <w:r>
        <w:rPr>
          <w:spacing w:val="-2"/>
        </w:rPr>
        <w:t>Routledge.</w:t>
      </w:r>
    </w:p>
    <w:p>
      <w:pPr>
        <w:pStyle w:val="BodyText"/>
      </w:pPr>
    </w:p>
    <w:p>
      <w:pPr>
        <w:pStyle w:val="BodyText"/>
        <w:spacing w:line="480" w:lineRule="auto"/>
        <w:ind w:left="326" w:right="1002"/>
      </w:pPr>
      <w:r>
        <w:rPr/>
        <w:t>Mishan,</w:t>
      </w:r>
      <w:r>
        <w:rPr>
          <w:spacing w:val="80"/>
          <w:w w:val="150"/>
        </w:rPr>
        <w:t> </w:t>
      </w:r>
      <w:r>
        <w:rPr/>
        <w:t>E.,</w:t>
      </w:r>
      <w:r>
        <w:rPr>
          <w:spacing w:val="80"/>
          <w:w w:val="150"/>
        </w:rPr>
        <w:t> </w:t>
      </w:r>
      <w:r>
        <w:rPr/>
        <w:t>&amp;</w:t>
      </w:r>
      <w:r>
        <w:rPr>
          <w:spacing w:val="80"/>
          <w:w w:val="150"/>
        </w:rPr>
        <w:t> </w:t>
      </w:r>
      <w:r>
        <w:rPr/>
        <w:t>Quah,</w:t>
      </w:r>
      <w:r>
        <w:rPr>
          <w:spacing w:val="80"/>
          <w:w w:val="150"/>
        </w:rPr>
        <w:t> </w:t>
      </w:r>
      <w:r>
        <w:rPr/>
        <w:t>E.</w:t>
      </w:r>
      <w:r>
        <w:rPr>
          <w:spacing w:val="80"/>
          <w:w w:val="150"/>
        </w:rPr>
        <w:t> </w:t>
      </w:r>
      <w:r>
        <w:rPr/>
        <w:t>(2020).</w:t>
      </w:r>
      <w:r>
        <w:rPr>
          <w:spacing w:val="80"/>
          <w:w w:val="150"/>
        </w:rPr>
        <w:t> </w:t>
      </w:r>
      <w:r>
        <w:rPr/>
        <w:t>Cost-Benefit</w:t>
      </w:r>
      <w:r>
        <w:rPr>
          <w:spacing w:val="80"/>
          <w:w w:val="150"/>
        </w:rPr>
        <w:t> </w:t>
      </w:r>
      <w:r>
        <w:rPr/>
        <w:t>analysis.</w:t>
      </w:r>
      <w:r>
        <w:rPr>
          <w:spacing w:val="80"/>
          <w:w w:val="150"/>
        </w:rPr>
        <w:t> </w:t>
      </w:r>
      <w:r>
        <w:rPr/>
        <w:t>In</w:t>
      </w:r>
      <w:r>
        <w:rPr>
          <w:spacing w:val="80"/>
          <w:w w:val="150"/>
        </w:rPr>
        <w:t> </w:t>
      </w:r>
      <w:r>
        <w:rPr>
          <w:i/>
        </w:rPr>
        <w:t>Routledge</w:t>
      </w:r>
      <w:r>
        <w:rPr>
          <w:i/>
          <w:spacing w:val="80"/>
          <w:w w:val="150"/>
        </w:rPr>
        <w:t> </w:t>
      </w:r>
      <w:r>
        <w:rPr>
          <w:i/>
        </w:rPr>
        <w:t>eBooks</w:t>
      </w:r>
      <w:hyperlink r:id="rId20">
        <w:r>
          <w:rPr/>
          <w:t>.</w:t>
        </w:r>
      </w:hyperlink>
      <w:r>
        <w:rPr>
          <w:spacing w:val="40"/>
        </w:rPr>
        <w:t> </w:t>
      </w:r>
      <w:hyperlink r:id="rId20">
        <w:r>
          <w:rPr>
            <w:color w:val="0462C1"/>
            <w:spacing w:val="-2"/>
            <w:u w:val="single" w:color="0462C1"/>
          </w:rPr>
          <w:t>https://doi.org/10.4324/9781351029780</w:t>
        </w:r>
      </w:hyperlink>
    </w:p>
    <w:p>
      <w:pPr>
        <w:pStyle w:val="BodyText"/>
      </w:pPr>
    </w:p>
    <w:p>
      <w:pPr>
        <w:pStyle w:val="BodyText"/>
      </w:pPr>
    </w:p>
    <w:p>
      <w:pPr>
        <w:spacing w:line="480" w:lineRule="auto" w:before="0"/>
        <w:ind w:left="326" w:right="1077" w:firstLine="0"/>
        <w:jc w:val="both"/>
        <w:rPr>
          <w:sz w:val="24"/>
        </w:rPr>
      </w:pPr>
      <w:r>
        <w:rPr>
          <w:sz w:val="24"/>
        </w:rPr>
        <w:t>Mohammad,</w:t>
      </w:r>
      <w:r>
        <w:rPr>
          <w:spacing w:val="-1"/>
          <w:sz w:val="24"/>
        </w:rPr>
        <w:t> </w:t>
      </w:r>
      <w:r>
        <w:rPr>
          <w:sz w:val="24"/>
        </w:rPr>
        <w:t>E.</w:t>
      </w:r>
      <w:r>
        <w:rPr>
          <w:spacing w:val="-2"/>
          <w:sz w:val="24"/>
        </w:rPr>
        <w:t> </w:t>
      </w:r>
      <w:r>
        <w:rPr>
          <w:sz w:val="24"/>
        </w:rPr>
        <w:t>G. P.</w:t>
      </w:r>
      <w:r>
        <w:rPr>
          <w:spacing w:val="-1"/>
          <w:sz w:val="24"/>
        </w:rPr>
        <w:t> </w:t>
      </w:r>
      <w:r>
        <w:rPr>
          <w:sz w:val="24"/>
        </w:rPr>
        <w:t>(2024).</w:t>
      </w:r>
      <w:r>
        <w:rPr>
          <w:spacing w:val="-2"/>
          <w:sz w:val="24"/>
        </w:rPr>
        <w:t> </w:t>
      </w:r>
      <w:r>
        <w:rPr>
          <w:sz w:val="24"/>
        </w:rPr>
        <w:t>Environmental Impact</w:t>
      </w:r>
      <w:r>
        <w:rPr>
          <w:spacing w:val="-1"/>
          <w:sz w:val="24"/>
        </w:rPr>
        <w:t> </w:t>
      </w:r>
      <w:r>
        <w:rPr>
          <w:sz w:val="24"/>
        </w:rPr>
        <w:t>of</w:t>
      </w:r>
      <w:r>
        <w:rPr>
          <w:spacing w:val="-2"/>
          <w:sz w:val="24"/>
        </w:rPr>
        <w:t> </w:t>
      </w:r>
      <w:r>
        <w:rPr>
          <w:sz w:val="24"/>
        </w:rPr>
        <w:t>Plastic</w:t>
      </w:r>
      <w:r>
        <w:rPr>
          <w:spacing w:val="-2"/>
          <w:sz w:val="24"/>
        </w:rPr>
        <w:t> </w:t>
      </w:r>
      <w:r>
        <w:rPr>
          <w:sz w:val="24"/>
        </w:rPr>
        <w:t>Alternatives in</w:t>
      </w:r>
      <w:r>
        <w:rPr>
          <w:spacing w:val="-1"/>
          <w:sz w:val="24"/>
        </w:rPr>
        <w:t> </w:t>
      </w:r>
      <w:r>
        <w:rPr>
          <w:sz w:val="24"/>
        </w:rPr>
        <w:t>Zamboanga City: An Assessment. </w:t>
      </w:r>
      <w:r>
        <w:rPr>
          <w:i/>
          <w:sz w:val="24"/>
        </w:rPr>
        <w:t>International Journal of Multidisciplinary Research and Analysis</w:t>
      </w:r>
      <w:r>
        <w:rPr>
          <w:sz w:val="24"/>
        </w:rPr>
        <w:t>, </w:t>
      </w:r>
      <w:r>
        <w:rPr>
          <w:i/>
          <w:sz w:val="24"/>
        </w:rPr>
        <w:t>07</w:t>
      </w:r>
      <w:r>
        <w:rPr>
          <w:sz w:val="24"/>
        </w:rPr>
        <w:t>(07).</w:t>
      </w:r>
      <w:hyperlink r:id="rId21">
        <w:r>
          <w:rPr>
            <w:color w:val="0462C1"/>
            <w:sz w:val="24"/>
            <w:u w:val="single" w:color="0462C1"/>
          </w:rPr>
          <w:t> https://doi.org/10.47191/ijmra/v7-i07-26</w:t>
        </w:r>
      </w:hyperlink>
    </w:p>
    <w:p>
      <w:pPr>
        <w:spacing w:line="480" w:lineRule="auto" w:before="1"/>
        <w:ind w:left="326" w:right="860" w:firstLine="0"/>
        <w:jc w:val="left"/>
        <w:rPr>
          <w:sz w:val="24"/>
        </w:rPr>
      </w:pPr>
      <w:r>
        <w:rPr>
          <w:sz w:val="24"/>
        </w:rPr>
        <w:t>Molinos Solsona, M. (2024). </w:t>
      </w:r>
      <w:r>
        <w:rPr>
          <w:i/>
          <w:sz w:val="24"/>
        </w:rPr>
        <w:t>Reducing our school’s carbon footprint through composting the canteen food waste</w:t>
      </w:r>
      <w:r>
        <w:rPr>
          <w:sz w:val="24"/>
        </w:rPr>
        <w:t>.</w:t>
      </w:r>
      <w:hyperlink r:id="rId22">
        <w:r>
          <w:rPr>
            <w:color w:val="0462C1"/>
            <w:sz w:val="24"/>
            <w:u w:val="single" w:color="0462C1"/>
          </w:rPr>
          <w:t> https://doi.org/10.5194/egusphere-egu24-4734</w:t>
        </w:r>
      </w:hyperlink>
    </w:p>
    <w:p>
      <w:pPr>
        <w:spacing w:after="0" w:line="480" w:lineRule="auto"/>
        <w:jc w:val="left"/>
        <w:rPr>
          <w:sz w:val="24"/>
        </w:rPr>
        <w:sectPr>
          <w:pgSz w:w="12240" w:h="15840"/>
          <w:pgMar w:header="763" w:footer="0" w:top="1340" w:bottom="280" w:left="1800" w:right="360"/>
        </w:sectPr>
      </w:pPr>
    </w:p>
    <w:p>
      <w:pPr>
        <w:pStyle w:val="BodyText"/>
        <w:spacing w:line="480" w:lineRule="auto" w:before="80"/>
        <w:ind w:left="326" w:right="1083"/>
        <w:jc w:val="both"/>
      </w:pPr>
      <w:r>
        <w:rPr/>
        <w:t>Partnerships in Environmental Management for the Seas of East Asia (PEMSEA) &amp; Step Forward. (2022). Study on Plastics Use and Waste Management in the Food Service </w:t>
      </w:r>
      <w:r>
        <w:rPr>
          <w:spacing w:val="-2"/>
        </w:rPr>
        <w:t>Industry.</w:t>
      </w:r>
    </w:p>
    <w:p>
      <w:pPr>
        <w:pStyle w:val="BodyText"/>
        <w:ind w:left="326"/>
        <w:jc w:val="both"/>
      </w:pPr>
      <w:r>
        <w:rPr/>
        <w:t>PEMSEA.</w:t>
      </w:r>
      <w:r>
        <w:rPr>
          <w:spacing w:val="-1"/>
        </w:rPr>
        <w:t> </w:t>
      </w:r>
      <w:hyperlink r:id="rId23">
        <w:r>
          <w:rPr>
            <w:color w:val="0462C1"/>
            <w:spacing w:val="-2"/>
            <w:u w:val="single" w:color="0462C1"/>
          </w:rPr>
          <w:t>https://www.pemsea.org/sites/default/files/202312/ASEANO%20FSI%20repo</w:t>
        </w:r>
      </w:hyperlink>
    </w:p>
    <w:p>
      <w:pPr>
        <w:pStyle w:val="BodyText"/>
        <w:spacing w:before="276"/>
        <w:ind w:left="326"/>
      </w:pPr>
      <w:hyperlink r:id="rId23">
        <w:r>
          <w:rPr>
            <w:color w:val="0462C1"/>
            <w:spacing w:val="-2"/>
            <w:u w:val="single" w:color="0462C1"/>
          </w:rPr>
          <w:t>rt%202022%20%2820220622%29.pdf</w:t>
        </w:r>
      </w:hyperlink>
    </w:p>
    <w:p>
      <w:pPr>
        <w:pStyle w:val="BodyText"/>
      </w:pPr>
    </w:p>
    <w:p>
      <w:pPr>
        <w:pStyle w:val="BodyText"/>
      </w:pPr>
    </w:p>
    <w:p>
      <w:pPr>
        <w:pStyle w:val="BodyText"/>
      </w:pPr>
    </w:p>
    <w:p>
      <w:pPr>
        <w:pStyle w:val="BodyText"/>
        <w:spacing w:line="480" w:lineRule="auto"/>
        <w:ind w:left="326" w:right="1082"/>
        <w:jc w:val="both"/>
      </w:pPr>
      <w:r>
        <w:rPr/>
        <w:t>Sarmah, A., &amp; Singh, B. (2024). A review of behavioral theories and sustainable consumption patterns. Journal of Environmental Psychology, 15(2), 1-15.</w:t>
      </w:r>
    </w:p>
    <w:p>
      <w:pPr>
        <w:pStyle w:val="BodyText"/>
      </w:pPr>
    </w:p>
    <w:p>
      <w:pPr>
        <w:pStyle w:val="BodyText"/>
      </w:pPr>
    </w:p>
    <w:p>
      <w:pPr>
        <w:pStyle w:val="BodyText"/>
        <w:spacing w:line="480" w:lineRule="auto" w:before="1"/>
        <w:ind w:left="326" w:right="1081"/>
        <w:jc w:val="both"/>
      </w:pPr>
      <w:r>
        <w:rPr/>
        <w:t>Sarmah,</w:t>
      </w:r>
      <w:r>
        <w:rPr>
          <w:spacing w:val="-3"/>
        </w:rPr>
        <w:t> </w:t>
      </w:r>
      <w:r>
        <w:rPr/>
        <w:t>P.,</w:t>
      </w:r>
      <w:r>
        <w:rPr>
          <w:spacing w:val="-3"/>
        </w:rPr>
        <w:t> </w:t>
      </w:r>
      <w:r>
        <w:rPr/>
        <w:t>&amp;</w:t>
      </w:r>
      <w:r>
        <w:rPr>
          <w:spacing w:val="-3"/>
        </w:rPr>
        <w:t> </w:t>
      </w:r>
      <w:r>
        <w:rPr/>
        <w:t>Singh,</w:t>
      </w:r>
      <w:r>
        <w:rPr>
          <w:spacing w:val="-1"/>
        </w:rPr>
        <w:t> </w:t>
      </w:r>
      <w:r>
        <w:rPr/>
        <w:t>A.</w:t>
      </w:r>
      <w:r>
        <w:rPr>
          <w:spacing w:val="-2"/>
        </w:rPr>
        <w:t> </w:t>
      </w:r>
      <w:r>
        <w:rPr/>
        <w:t>P.</w:t>
      </w:r>
      <w:r>
        <w:rPr>
          <w:spacing w:val="-3"/>
        </w:rPr>
        <w:t> </w:t>
      </w:r>
      <w:r>
        <w:rPr/>
        <w:t>(2024).</w:t>
      </w:r>
      <w:r>
        <w:rPr>
          <w:spacing w:val="-3"/>
        </w:rPr>
        <w:t> </w:t>
      </w:r>
      <w:r>
        <w:rPr/>
        <w:t>The</w:t>
      </w:r>
      <w:r>
        <w:rPr>
          <w:spacing w:val="-2"/>
        </w:rPr>
        <w:t> </w:t>
      </w:r>
      <w:r>
        <w:rPr/>
        <w:t>effectiveness</w:t>
      </w:r>
      <w:r>
        <w:rPr>
          <w:spacing w:val="-3"/>
        </w:rPr>
        <w:t> </w:t>
      </w:r>
      <w:r>
        <w:rPr/>
        <w:t>of</w:t>
      </w:r>
      <w:r>
        <w:rPr>
          <w:spacing w:val="-3"/>
        </w:rPr>
        <w:t> </w:t>
      </w:r>
      <w:r>
        <w:rPr/>
        <w:t>sustainable</w:t>
      </w:r>
      <w:r>
        <w:rPr>
          <w:spacing w:val="-2"/>
        </w:rPr>
        <w:t> </w:t>
      </w:r>
      <w:r>
        <w:rPr/>
        <w:t>marketing</w:t>
      </w:r>
      <w:r>
        <w:rPr>
          <w:spacing w:val="-6"/>
        </w:rPr>
        <w:t> </w:t>
      </w:r>
      <w:r>
        <w:rPr/>
        <w:t>practices</w:t>
      </w:r>
      <w:r>
        <w:rPr>
          <w:spacing w:val="-1"/>
        </w:rPr>
        <w:t> </w:t>
      </w:r>
      <w:r>
        <w:rPr/>
        <w:t>in influencing consumer behaviour and brand loyalty. International Journal For Multidisciplinary Research, 6(2), 1-11.</w:t>
      </w:r>
    </w:p>
    <w:p>
      <w:pPr>
        <w:pStyle w:val="BodyText"/>
      </w:pPr>
    </w:p>
    <w:p>
      <w:pPr>
        <w:pStyle w:val="BodyText"/>
      </w:pPr>
    </w:p>
    <w:p>
      <w:pPr>
        <w:pStyle w:val="BodyText"/>
        <w:spacing w:line="480" w:lineRule="auto"/>
        <w:ind w:left="326" w:right="1076"/>
        <w:jc w:val="both"/>
      </w:pPr>
      <w:r>
        <w:rPr/>
        <w:t>Snyder,</w:t>
      </w:r>
      <w:r>
        <w:rPr>
          <w:spacing w:val="-2"/>
        </w:rPr>
        <w:t> </w:t>
      </w:r>
      <w:r>
        <w:rPr/>
        <w:t>W.</w:t>
      </w:r>
      <w:r>
        <w:rPr>
          <w:spacing w:val="-1"/>
        </w:rPr>
        <w:t> </w:t>
      </w:r>
      <w:r>
        <w:rPr/>
        <w:t>R., &amp;</w:t>
      </w:r>
      <w:r>
        <w:rPr>
          <w:spacing w:val="-3"/>
        </w:rPr>
        <w:t> </w:t>
      </w:r>
      <w:r>
        <w:rPr/>
        <w:t>Park, J.</w:t>
      </w:r>
      <w:r>
        <w:rPr>
          <w:spacing w:val="-1"/>
        </w:rPr>
        <w:t> </w:t>
      </w:r>
      <w:r>
        <w:rPr/>
        <w:t>(2024).</w:t>
      </w:r>
      <w:r>
        <w:rPr>
          <w:spacing w:val="-2"/>
        </w:rPr>
        <w:t> </w:t>
      </w:r>
      <w:r>
        <w:rPr/>
        <w:t>Environmental and</w:t>
      </w:r>
      <w:r>
        <w:rPr>
          <w:spacing w:val="-1"/>
        </w:rPr>
        <w:t> </w:t>
      </w:r>
      <w:r>
        <w:rPr/>
        <w:t>Economic</w:t>
      </w:r>
      <w:r>
        <w:rPr>
          <w:spacing w:val="-2"/>
        </w:rPr>
        <w:t> </w:t>
      </w:r>
      <w:r>
        <w:rPr/>
        <w:t>Analysis of</w:t>
      </w:r>
      <w:r>
        <w:rPr>
          <w:spacing w:val="-2"/>
        </w:rPr>
        <w:t> </w:t>
      </w:r>
      <w:r>
        <w:rPr/>
        <w:t>Reusable and Single‐Use Food Packaging Formats in University Campus Food Services. </w:t>
      </w:r>
      <w:r>
        <w:rPr>
          <w:i/>
        </w:rPr>
        <w:t>Packaging Technology and Science</w:t>
      </w:r>
      <w:r>
        <w:rPr/>
        <w:t>.</w:t>
      </w:r>
      <w:hyperlink r:id="rId24">
        <w:r>
          <w:rPr>
            <w:color w:val="0462C1"/>
            <w:u w:val="single" w:color="0462C1"/>
          </w:rPr>
          <w:t> https://doi.org/10.1002/pts.2826</w:t>
        </w:r>
      </w:hyperlink>
    </w:p>
    <w:p>
      <w:pPr>
        <w:pStyle w:val="BodyText"/>
      </w:pPr>
    </w:p>
    <w:p>
      <w:pPr>
        <w:pStyle w:val="BodyText"/>
      </w:pPr>
    </w:p>
    <w:p>
      <w:pPr>
        <w:pStyle w:val="BodyText"/>
        <w:spacing w:line="480" w:lineRule="auto"/>
        <w:ind w:left="326" w:right="1081"/>
        <w:jc w:val="both"/>
      </w:pPr>
      <w:r>
        <w:rPr/>
        <w:t>Snyder, William Ralph, and Jonghun Park. "Environmental and economic analysis of reusable and single-use food packaging formats in university campus food services." Packaging Technology and Science 37, no. 9 (2024): 841-855.</w:t>
      </w:r>
    </w:p>
    <w:p>
      <w:pPr>
        <w:pStyle w:val="BodyText"/>
        <w:spacing w:before="1"/>
        <w:ind w:left="326"/>
        <w:jc w:val="both"/>
      </w:pPr>
      <w:r>
        <w:rPr/>
        <w:t>Yao,</w:t>
      </w:r>
      <w:r>
        <w:rPr>
          <w:spacing w:val="-6"/>
        </w:rPr>
        <w:t> </w:t>
      </w:r>
      <w:r>
        <w:rPr/>
        <w:t>K.,</w:t>
      </w:r>
      <w:r>
        <w:rPr>
          <w:spacing w:val="-7"/>
        </w:rPr>
        <w:t> </w:t>
      </w:r>
      <w:r>
        <w:rPr/>
        <w:t>Hsieh,</w:t>
      </w:r>
      <w:r>
        <w:rPr>
          <w:spacing w:val="-6"/>
        </w:rPr>
        <w:t> </w:t>
      </w:r>
      <w:r>
        <w:rPr/>
        <w:t>H.-H.,</w:t>
      </w:r>
      <w:r>
        <w:rPr>
          <w:spacing w:val="-2"/>
        </w:rPr>
        <w:t> </w:t>
      </w:r>
      <w:r>
        <w:rPr/>
        <w:t>Li,</w:t>
      </w:r>
      <w:r>
        <w:rPr>
          <w:spacing w:val="-6"/>
        </w:rPr>
        <w:t> </w:t>
      </w:r>
      <w:r>
        <w:rPr/>
        <w:t>K.-Y.,</w:t>
      </w:r>
      <w:r>
        <w:rPr>
          <w:spacing w:val="-7"/>
        </w:rPr>
        <w:t> </w:t>
      </w:r>
      <w:r>
        <w:rPr/>
        <w:t>Xu,</w:t>
      </w:r>
      <w:r>
        <w:rPr>
          <w:spacing w:val="-4"/>
        </w:rPr>
        <w:t> </w:t>
      </w:r>
      <w:r>
        <w:rPr/>
        <w:t>J.-R.,</w:t>
      </w:r>
      <w:r>
        <w:rPr>
          <w:spacing w:val="-5"/>
        </w:rPr>
        <w:t> </w:t>
      </w:r>
      <w:r>
        <w:rPr/>
        <w:t>Ho,</w:t>
      </w:r>
      <w:r>
        <w:rPr>
          <w:spacing w:val="-7"/>
        </w:rPr>
        <w:t> </w:t>
      </w:r>
      <w:r>
        <w:rPr/>
        <w:t>W.,</w:t>
      </w:r>
      <w:r>
        <w:rPr>
          <w:spacing w:val="-6"/>
        </w:rPr>
        <w:t> </w:t>
      </w:r>
      <w:r>
        <w:rPr/>
        <w:t>Huang,</w:t>
      </w:r>
      <w:r>
        <w:rPr>
          <w:spacing w:val="-6"/>
        </w:rPr>
        <w:t> </w:t>
      </w:r>
      <w:r>
        <w:rPr/>
        <w:t>W.-L.,</w:t>
      </w:r>
      <w:r>
        <w:rPr>
          <w:spacing w:val="-6"/>
        </w:rPr>
        <w:t> </w:t>
      </w:r>
      <w:r>
        <w:rPr/>
        <w:t>Huang,</w:t>
      </w:r>
      <w:r>
        <w:rPr>
          <w:spacing w:val="-6"/>
        </w:rPr>
        <w:t> </w:t>
      </w:r>
      <w:r>
        <w:rPr/>
        <w:t>S.-H.,</w:t>
      </w:r>
      <w:r>
        <w:rPr>
          <w:spacing w:val="-4"/>
        </w:rPr>
        <w:t> </w:t>
      </w:r>
      <w:r>
        <w:rPr/>
        <w:t>Liao,</w:t>
      </w:r>
      <w:r>
        <w:rPr>
          <w:spacing w:val="-6"/>
        </w:rPr>
        <w:t> </w:t>
      </w:r>
      <w:r>
        <w:rPr>
          <w:spacing w:val="-5"/>
        </w:rPr>
        <w:t>Y.-</w:t>
      </w:r>
    </w:p>
    <w:p>
      <w:pPr>
        <w:pStyle w:val="BodyText"/>
      </w:pPr>
    </w:p>
    <w:p>
      <w:pPr>
        <w:pStyle w:val="BodyText"/>
        <w:spacing w:line="480" w:lineRule="auto"/>
        <w:ind w:left="326" w:right="1083"/>
        <w:jc w:val="both"/>
      </w:pPr>
      <w:r>
        <w:rPr/>
        <w:t>H., &amp; Tseng, Y.-J. (2024). Sustainable Packaging Solutions: Food Engineering and Biodegradable Materials. </w:t>
      </w:r>
      <w:r>
        <w:rPr>
          <w:i/>
        </w:rPr>
        <w:t>Designs</w:t>
      </w:r>
      <w:r>
        <w:rPr/>
        <w:t>, </w:t>
      </w:r>
      <w:r>
        <w:rPr>
          <w:i/>
        </w:rPr>
        <w:t>8</w:t>
      </w:r>
      <w:r>
        <w:rPr/>
        <w:t>(6), 133.</w:t>
      </w:r>
      <w:hyperlink r:id="rId25">
        <w:r>
          <w:rPr>
            <w:color w:val="0462C1"/>
            <w:u w:val="single" w:color="0462C1"/>
          </w:rPr>
          <w:t> https://doi.org/10.3390/designs8060133</w:t>
        </w:r>
      </w:hyperlink>
    </w:p>
    <w:p>
      <w:pPr>
        <w:pStyle w:val="BodyText"/>
        <w:spacing w:after="0" w:line="480" w:lineRule="auto"/>
        <w:jc w:val="both"/>
        <w:sectPr>
          <w:pgSz w:w="12240" w:h="15840"/>
          <w:pgMar w:header="763" w:footer="0" w:top="1340" w:bottom="280" w:left="1800" w:right="360"/>
        </w:sectPr>
      </w:pPr>
    </w:p>
    <w:p>
      <w:pPr>
        <w:pStyle w:val="BodyText"/>
        <w:spacing w:before="267"/>
      </w:pPr>
    </w:p>
    <w:p>
      <w:pPr>
        <w:spacing w:before="0"/>
        <w:ind w:left="1723" w:right="2474" w:firstLine="0"/>
        <w:jc w:val="center"/>
        <w:rPr>
          <w:b/>
          <w:sz w:val="24"/>
        </w:rPr>
      </w:pPr>
      <w:r>
        <w:rPr>
          <w:b/>
          <w:sz w:val="24"/>
        </w:rPr>
        <w:t>APPENDIX</w:t>
      </w:r>
      <w:r>
        <w:rPr>
          <w:b/>
          <w:spacing w:val="-4"/>
          <w:sz w:val="24"/>
        </w:rPr>
        <w:t> </w:t>
      </w:r>
      <w:r>
        <w:rPr>
          <w:b/>
          <w:spacing w:val="-10"/>
          <w:sz w:val="24"/>
        </w:rPr>
        <w:t>A</w:t>
      </w:r>
    </w:p>
    <w:p>
      <w:pPr>
        <w:pStyle w:val="BodyText"/>
        <w:rPr>
          <w:b/>
        </w:rPr>
      </w:pPr>
    </w:p>
    <w:p>
      <w:pPr>
        <w:spacing w:before="0"/>
        <w:ind w:left="1723" w:right="2474" w:firstLine="0"/>
        <w:jc w:val="center"/>
        <w:rPr>
          <w:b/>
          <w:sz w:val="24"/>
        </w:rPr>
      </w:pPr>
      <w:r>
        <w:rPr>
          <w:b/>
          <w:sz w:val="24"/>
        </w:rPr>
        <w:t>REVIEW OF</w:t>
      </w:r>
      <w:r>
        <w:rPr>
          <w:b/>
          <w:spacing w:val="-3"/>
          <w:sz w:val="24"/>
        </w:rPr>
        <w:t> </w:t>
      </w:r>
      <w:r>
        <w:rPr>
          <w:b/>
          <w:sz w:val="24"/>
        </w:rPr>
        <w:t>RELATED </w:t>
      </w:r>
      <w:r>
        <w:rPr>
          <w:b/>
          <w:spacing w:val="-2"/>
          <w:sz w:val="24"/>
        </w:rPr>
        <w:t>LITERATURE</w:t>
      </w:r>
    </w:p>
    <w:p>
      <w:pPr>
        <w:pStyle w:val="BodyText"/>
        <w:rPr>
          <w:b/>
        </w:rPr>
      </w:pPr>
    </w:p>
    <w:p>
      <w:pPr>
        <w:pStyle w:val="Heading2"/>
      </w:pPr>
      <w:r>
        <w:rPr/>
        <w:t>Cost </w:t>
      </w:r>
      <w:r>
        <w:rPr>
          <w:spacing w:val="-2"/>
        </w:rPr>
        <w:t>Implications</w:t>
      </w:r>
    </w:p>
    <w:p>
      <w:pPr>
        <w:pStyle w:val="BodyText"/>
        <w:spacing w:line="480" w:lineRule="auto" w:before="271"/>
        <w:ind w:left="326" w:right="1074" w:firstLine="720"/>
        <w:jc w:val="both"/>
      </w:pPr>
      <w:r>
        <w:rPr/>
        <w:t>The transition from traditional plastic packaging to compostable alternatives requires</w:t>
      </w:r>
      <w:r>
        <w:rPr>
          <w:spacing w:val="-10"/>
        </w:rPr>
        <w:t> </w:t>
      </w:r>
      <w:r>
        <w:rPr/>
        <w:t>not</w:t>
      </w:r>
      <w:r>
        <w:rPr>
          <w:spacing w:val="-10"/>
        </w:rPr>
        <w:t> </w:t>
      </w:r>
      <w:r>
        <w:rPr/>
        <w:t>only</w:t>
      </w:r>
      <w:r>
        <w:rPr>
          <w:spacing w:val="-12"/>
        </w:rPr>
        <w:t> </w:t>
      </w:r>
      <w:r>
        <w:rPr/>
        <w:t>an</w:t>
      </w:r>
      <w:r>
        <w:rPr>
          <w:spacing w:val="-11"/>
        </w:rPr>
        <w:t> </w:t>
      </w:r>
      <w:r>
        <w:rPr/>
        <w:t>environmental</w:t>
      </w:r>
      <w:r>
        <w:rPr>
          <w:spacing w:val="-10"/>
        </w:rPr>
        <w:t> </w:t>
      </w:r>
      <w:r>
        <w:rPr/>
        <w:t>lens</w:t>
      </w:r>
      <w:r>
        <w:rPr>
          <w:spacing w:val="-11"/>
        </w:rPr>
        <w:t> </w:t>
      </w:r>
      <w:r>
        <w:rPr/>
        <w:t>but</w:t>
      </w:r>
      <w:r>
        <w:rPr>
          <w:spacing w:val="-10"/>
        </w:rPr>
        <w:t> </w:t>
      </w:r>
      <w:r>
        <w:rPr/>
        <w:t>also</w:t>
      </w:r>
      <w:r>
        <w:rPr>
          <w:spacing w:val="-10"/>
        </w:rPr>
        <w:t> </w:t>
      </w:r>
      <w:r>
        <w:rPr/>
        <w:t>careful</w:t>
      </w:r>
      <w:r>
        <w:rPr>
          <w:spacing w:val="-11"/>
        </w:rPr>
        <w:t> </w:t>
      </w:r>
      <w:r>
        <w:rPr/>
        <w:t>financial</w:t>
      </w:r>
      <w:r>
        <w:rPr>
          <w:spacing w:val="-11"/>
        </w:rPr>
        <w:t> </w:t>
      </w:r>
      <w:r>
        <w:rPr/>
        <w:t>consideration.</w:t>
      </w:r>
      <w:r>
        <w:rPr>
          <w:spacing w:val="-11"/>
        </w:rPr>
        <w:t> </w:t>
      </w:r>
      <w:r>
        <w:rPr/>
        <w:t>A</w:t>
      </w:r>
      <w:r>
        <w:rPr>
          <w:spacing w:val="-11"/>
        </w:rPr>
        <w:t> </w:t>
      </w:r>
      <w:r>
        <w:rPr/>
        <w:t>study</w:t>
      </w:r>
      <w:r>
        <w:rPr>
          <w:spacing w:val="-14"/>
        </w:rPr>
        <w:t> </w:t>
      </w:r>
      <w:r>
        <w:rPr/>
        <w:t>by Kaur</w:t>
      </w:r>
      <w:r>
        <w:rPr>
          <w:spacing w:val="-10"/>
        </w:rPr>
        <w:t> </w:t>
      </w:r>
      <w:r>
        <w:rPr/>
        <w:t>and</w:t>
      </w:r>
      <w:r>
        <w:rPr>
          <w:spacing w:val="-8"/>
        </w:rPr>
        <w:t> </w:t>
      </w:r>
      <w:r>
        <w:rPr/>
        <w:t>Acid</w:t>
      </w:r>
      <w:r>
        <w:rPr>
          <w:spacing w:val="-10"/>
        </w:rPr>
        <w:t> </w:t>
      </w:r>
      <w:r>
        <w:rPr/>
        <w:t>(2020)</w:t>
      </w:r>
      <w:r>
        <w:rPr>
          <w:spacing w:val="-10"/>
        </w:rPr>
        <w:t> </w:t>
      </w:r>
      <w:r>
        <w:rPr/>
        <w:t>at</w:t>
      </w:r>
      <w:r>
        <w:rPr>
          <w:spacing w:val="-10"/>
        </w:rPr>
        <w:t> </w:t>
      </w:r>
      <w:r>
        <w:rPr/>
        <w:t>the</w:t>
      </w:r>
      <w:r>
        <w:rPr>
          <w:spacing w:val="-11"/>
        </w:rPr>
        <w:t> </w:t>
      </w:r>
      <w:r>
        <w:rPr/>
        <w:t>Middlebury</w:t>
      </w:r>
      <w:r>
        <w:rPr>
          <w:spacing w:val="-12"/>
        </w:rPr>
        <w:t> </w:t>
      </w:r>
      <w:r>
        <w:rPr/>
        <w:t>Institute</w:t>
      </w:r>
      <w:r>
        <w:rPr>
          <w:spacing w:val="-11"/>
        </w:rPr>
        <w:t> </w:t>
      </w:r>
      <w:r>
        <w:rPr/>
        <w:t>of</w:t>
      </w:r>
      <w:r>
        <w:rPr>
          <w:spacing w:val="-9"/>
        </w:rPr>
        <w:t> </w:t>
      </w:r>
      <w:r>
        <w:rPr/>
        <w:t>International</w:t>
      </w:r>
      <w:r>
        <w:rPr>
          <w:spacing w:val="-10"/>
        </w:rPr>
        <w:t> </w:t>
      </w:r>
      <w:r>
        <w:rPr/>
        <w:t>Studies</w:t>
      </w:r>
      <w:r>
        <w:rPr>
          <w:spacing w:val="-10"/>
        </w:rPr>
        <w:t> </w:t>
      </w:r>
      <w:r>
        <w:rPr/>
        <w:t>provides</w:t>
      </w:r>
      <w:r>
        <w:rPr>
          <w:spacing w:val="-10"/>
        </w:rPr>
        <w:t> </w:t>
      </w:r>
      <w:r>
        <w:rPr/>
        <w:t>a</w:t>
      </w:r>
      <w:r>
        <w:rPr>
          <w:spacing w:val="-11"/>
        </w:rPr>
        <w:t> </w:t>
      </w:r>
      <w:r>
        <w:rPr/>
        <w:t>strong methodological</w:t>
      </w:r>
      <w:r>
        <w:rPr>
          <w:spacing w:val="-15"/>
        </w:rPr>
        <w:t> </w:t>
      </w:r>
      <w:r>
        <w:rPr/>
        <w:t>foundation</w:t>
      </w:r>
      <w:r>
        <w:rPr>
          <w:spacing w:val="-15"/>
        </w:rPr>
        <w:t> </w:t>
      </w:r>
      <w:r>
        <w:rPr/>
        <w:t>through</w:t>
      </w:r>
      <w:r>
        <w:rPr>
          <w:spacing w:val="-15"/>
        </w:rPr>
        <w:t> </w:t>
      </w:r>
      <w:r>
        <w:rPr/>
        <w:t>its</w:t>
      </w:r>
      <w:r>
        <w:rPr>
          <w:spacing w:val="-15"/>
        </w:rPr>
        <w:t> </w:t>
      </w:r>
      <w:r>
        <w:rPr/>
        <w:t>Cost-Benefit</w:t>
      </w:r>
      <w:r>
        <w:rPr>
          <w:spacing w:val="-15"/>
        </w:rPr>
        <w:t> </w:t>
      </w:r>
      <w:r>
        <w:rPr/>
        <w:t>Analysis</w:t>
      </w:r>
      <w:r>
        <w:rPr>
          <w:spacing w:val="-15"/>
        </w:rPr>
        <w:t> </w:t>
      </w:r>
      <w:r>
        <w:rPr/>
        <w:t>(CBA)</w:t>
      </w:r>
      <w:r>
        <w:rPr>
          <w:spacing w:val="-15"/>
        </w:rPr>
        <w:t> </w:t>
      </w:r>
      <w:r>
        <w:rPr/>
        <w:t>and</w:t>
      </w:r>
      <w:r>
        <w:rPr>
          <w:spacing w:val="-15"/>
        </w:rPr>
        <w:t> </w:t>
      </w:r>
      <w:r>
        <w:rPr/>
        <w:t>Net</w:t>
      </w:r>
      <w:r>
        <w:rPr>
          <w:spacing w:val="-15"/>
        </w:rPr>
        <w:t> </w:t>
      </w:r>
      <w:r>
        <w:rPr/>
        <w:t>Present</w:t>
      </w:r>
      <w:r>
        <w:rPr>
          <w:spacing w:val="-15"/>
        </w:rPr>
        <w:t> </w:t>
      </w:r>
      <w:r>
        <w:rPr/>
        <w:t>Value (NPV)</w:t>
      </w:r>
      <w:r>
        <w:rPr>
          <w:spacing w:val="-2"/>
        </w:rPr>
        <w:t> </w:t>
      </w:r>
      <w:r>
        <w:rPr/>
        <w:t>assessment of compostable</w:t>
      </w:r>
      <w:r>
        <w:rPr>
          <w:spacing w:val="-1"/>
        </w:rPr>
        <w:t> </w:t>
      </w:r>
      <w:r>
        <w:rPr/>
        <w:t>food</w:t>
      </w:r>
      <w:r>
        <w:rPr>
          <w:spacing w:val="-1"/>
        </w:rPr>
        <w:t> </w:t>
      </w:r>
      <w:r>
        <w:rPr/>
        <w:t>service ware (CSFW).</w:t>
      </w:r>
      <w:r>
        <w:rPr>
          <w:spacing w:val="-1"/>
        </w:rPr>
        <w:t> </w:t>
      </w:r>
      <w:r>
        <w:rPr/>
        <w:t>Their findings showed that compostable options, while initially</w:t>
      </w:r>
      <w:r>
        <w:rPr>
          <w:spacing w:val="-3"/>
        </w:rPr>
        <w:t> </w:t>
      </w:r>
      <w:r>
        <w:rPr/>
        <w:t>more expensive, proved financially</w:t>
      </w:r>
      <w:r>
        <w:rPr>
          <w:spacing w:val="-3"/>
        </w:rPr>
        <w:t> </w:t>
      </w:r>
      <w:r>
        <w:rPr/>
        <w:t>sustainable in the long run and environmentally advantageous compared to both plastics and reusable serviceware. Importantly, the study challenges the assumption that reusable options are automatically superior, since these also carry hidden costs, such as washing and </w:t>
      </w:r>
      <w:r>
        <w:rPr>
          <w:spacing w:val="-2"/>
        </w:rPr>
        <w:t>maintenance.</w:t>
      </w:r>
    </w:p>
    <w:p>
      <w:pPr>
        <w:pStyle w:val="BodyText"/>
        <w:spacing w:line="480" w:lineRule="auto" w:before="2"/>
        <w:ind w:left="326" w:right="1078" w:firstLine="720"/>
        <w:jc w:val="both"/>
      </w:pPr>
      <w:r>
        <w:rPr/>
        <w:t>From</w:t>
      </w:r>
      <w:r>
        <w:rPr>
          <w:spacing w:val="-8"/>
        </w:rPr>
        <w:t> </w:t>
      </w:r>
      <w:r>
        <w:rPr/>
        <w:t>a</w:t>
      </w:r>
      <w:r>
        <w:rPr>
          <w:spacing w:val="-8"/>
        </w:rPr>
        <w:t> </w:t>
      </w:r>
      <w:r>
        <w:rPr/>
        <w:t>local</w:t>
      </w:r>
      <w:r>
        <w:rPr>
          <w:spacing w:val="-8"/>
        </w:rPr>
        <w:t> </w:t>
      </w:r>
      <w:r>
        <w:rPr/>
        <w:t>perspective,</w:t>
      </w:r>
      <w:r>
        <w:rPr>
          <w:spacing w:val="-6"/>
        </w:rPr>
        <w:t> </w:t>
      </w:r>
      <w:r>
        <w:rPr/>
        <w:t>the</w:t>
      </w:r>
      <w:r>
        <w:rPr>
          <w:spacing w:val="-8"/>
        </w:rPr>
        <w:t> </w:t>
      </w:r>
      <w:r>
        <w:rPr/>
        <w:t>“Study</w:t>
      </w:r>
      <w:r>
        <w:rPr>
          <w:spacing w:val="-12"/>
        </w:rPr>
        <w:t> </w:t>
      </w:r>
      <w:r>
        <w:rPr/>
        <w:t>on</w:t>
      </w:r>
      <w:r>
        <w:rPr>
          <w:spacing w:val="-6"/>
        </w:rPr>
        <w:t> </w:t>
      </w:r>
      <w:r>
        <w:rPr/>
        <w:t>Plastics</w:t>
      </w:r>
      <w:r>
        <w:rPr>
          <w:spacing w:val="-8"/>
        </w:rPr>
        <w:t> </w:t>
      </w:r>
      <w:r>
        <w:rPr/>
        <w:t>Use</w:t>
      </w:r>
      <w:r>
        <w:rPr>
          <w:spacing w:val="-8"/>
        </w:rPr>
        <w:t> </w:t>
      </w:r>
      <w:r>
        <w:rPr/>
        <w:t>and</w:t>
      </w:r>
      <w:r>
        <w:rPr>
          <w:spacing w:val="-8"/>
        </w:rPr>
        <w:t> </w:t>
      </w:r>
      <w:r>
        <w:rPr/>
        <w:t>Waste</w:t>
      </w:r>
      <w:r>
        <w:rPr>
          <w:spacing w:val="-8"/>
        </w:rPr>
        <w:t> </w:t>
      </w:r>
      <w:r>
        <w:rPr/>
        <w:t>Management</w:t>
      </w:r>
      <w:r>
        <w:rPr>
          <w:spacing w:val="-8"/>
        </w:rPr>
        <w:t> </w:t>
      </w:r>
      <w:r>
        <w:rPr/>
        <w:t>in</w:t>
      </w:r>
      <w:r>
        <w:rPr>
          <w:spacing w:val="-8"/>
        </w:rPr>
        <w:t> </w:t>
      </w:r>
      <w:r>
        <w:rPr/>
        <w:t>the Food Service Industry” in Dasmariñas City, Cavite, prepared by Step Forward and commissioned by PEMSEA (2022), highlights systemic barriers to reducing plastic use. Despite the presence of a local ordinance banning plastics, many food service establishments</w:t>
      </w:r>
      <w:r>
        <w:rPr>
          <w:spacing w:val="-4"/>
        </w:rPr>
        <w:t> </w:t>
      </w:r>
      <w:r>
        <w:rPr/>
        <w:t>(FSEs)—especially</w:t>
      </w:r>
      <w:r>
        <w:rPr>
          <w:spacing w:val="-8"/>
        </w:rPr>
        <w:t> </w:t>
      </w:r>
      <w:r>
        <w:rPr/>
        <w:t>those</w:t>
      </w:r>
      <w:r>
        <w:rPr>
          <w:spacing w:val="-4"/>
        </w:rPr>
        <w:t> </w:t>
      </w:r>
      <w:r>
        <w:rPr/>
        <w:t>handling</w:t>
      </w:r>
      <w:r>
        <w:rPr>
          <w:spacing w:val="-4"/>
        </w:rPr>
        <w:t> </w:t>
      </w:r>
      <w:r>
        <w:rPr/>
        <w:t>take-away</w:t>
      </w:r>
      <w:r>
        <w:rPr>
          <w:spacing w:val="-11"/>
        </w:rPr>
        <w:t> </w:t>
      </w:r>
      <w:r>
        <w:rPr/>
        <w:t>orders—continued</w:t>
      </w:r>
      <w:r>
        <w:rPr>
          <w:spacing w:val="-4"/>
        </w:rPr>
        <w:t> </w:t>
      </w:r>
      <w:r>
        <w:rPr/>
        <w:t>to</w:t>
      </w:r>
      <w:r>
        <w:rPr>
          <w:spacing w:val="-4"/>
        </w:rPr>
        <w:t> </w:t>
      </w:r>
      <w:r>
        <w:rPr/>
        <w:t>rely</w:t>
      </w:r>
      <w:r>
        <w:rPr>
          <w:spacing w:val="-8"/>
        </w:rPr>
        <w:t> </w:t>
      </w:r>
      <w:r>
        <w:rPr/>
        <w:t>on plastics. Barriers included high costs of alternatives and weak waste management infrastructure. These findings emphasize that a successful transition to compostables requires not only</w:t>
      </w:r>
      <w:r>
        <w:rPr>
          <w:spacing w:val="-4"/>
        </w:rPr>
        <w:t> </w:t>
      </w:r>
      <w:r>
        <w:rPr/>
        <w:t>initial procurement and storage adjustments but also financial feasibility in waste management practices.</w:t>
      </w:r>
    </w:p>
    <w:p>
      <w:pPr>
        <w:pStyle w:val="BodyText"/>
        <w:spacing w:after="0" w:line="480" w:lineRule="auto"/>
        <w:jc w:val="both"/>
        <w:sectPr>
          <w:pgSz w:w="12240" w:h="15840"/>
          <w:pgMar w:header="763" w:footer="0" w:top="1340" w:bottom="280" w:left="1800" w:right="360"/>
        </w:sectPr>
      </w:pPr>
    </w:p>
    <w:p>
      <w:pPr>
        <w:pStyle w:val="Heading2"/>
        <w:spacing w:before="84"/>
      </w:pPr>
      <w:r>
        <w:rPr/>
        <w:t>Operational</w:t>
      </w:r>
      <w:r>
        <w:rPr>
          <w:spacing w:val="-3"/>
        </w:rPr>
        <w:t> </w:t>
      </w:r>
      <w:r>
        <w:rPr/>
        <w:t>&amp;</w:t>
      </w:r>
      <w:r>
        <w:rPr>
          <w:spacing w:val="-3"/>
        </w:rPr>
        <w:t> </w:t>
      </w:r>
      <w:r>
        <w:rPr/>
        <w:t>Environmental</w:t>
      </w:r>
      <w:r>
        <w:rPr>
          <w:spacing w:val="-2"/>
        </w:rPr>
        <w:t> Benefits</w:t>
      </w:r>
    </w:p>
    <w:p>
      <w:pPr>
        <w:pStyle w:val="BodyText"/>
        <w:spacing w:line="480" w:lineRule="auto" w:before="178"/>
        <w:ind w:left="326" w:right="1078" w:firstLine="720"/>
        <w:jc w:val="both"/>
      </w:pPr>
      <w:r>
        <w:rPr/>
        <w:t>While cost is a central issue, the practicality and environmental benefits of compostable packaging are equally significant. Cuerda et al. (2023), in their study at Talisay City National High School, found that sustainable initiatives such as green marketing and eco-friendly packaging influenced awareness among students and faculty. However, they also observed an intention–behavior gap, where positive attitudes did not consistently translate into practice. Grounded in the Theory of Planned Behavior (TPB), this research highlights how operational barriers like convenience and handling can limit the effectiveness of compostable packaging adoption, even when attitudes are favorable.</w:t>
      </w:r>
    </w:p>
    <w:p>
      <w:pPr>
        <w:pStyle w:val="BodyText"/>
        <w:spacing w:line="480" w:lineRule="auto" w:before="159"/>
        <w:ind w:left="326" w:right="1077" w:firstLine="720"/>
        <w:jc w:val="both"/>
      </w:pPr>
      <w:r>
        <w:rPr/>
        <w:t>Environmental advantages have also been widely documented. Jones and Patel (2019)</w:t>
      </w:r>
      <w:r>
        <w:rPr>
          <w:spacing w:val="-9"/>
        </w:rPr>
        <w:t> </w:t>
      </w:r>
      <w:r>
        <w:rPr/>
        <w:t>demonstrated</w:t>
      </w:r>
      <w:r>
        <w:rPr>
          <w:spacing w:val="-9"/>
        </w:rPr>
        <w:t> </w:t>
      </w:r>
      <w:r>
        <w:rPr/>
        <w:t>that</w:t>
      </w:r>
      <w:r>
        <w:rPr>
          <w:spacing w:val="-6"/>
        </w:rPr>
        <w:t> </w:t>
      </w:r>
      <w:r>
        <w:rPr/>
        <w:t>single-use</w:t>
      </w:r>
      <w:r>
        <w:rPr>
          <w:spacing w:val="-9"/>
        </w:rPr>
        <w:t> </w:t>
      </w:r>
      <w:r>
        <w:rPr/>
        <w:t>plastics,</w:t>
      </w:r>
      <w:r>
        <w:rPr>
          <w:spacing w:val="-6"/>
        </w:rPr>
        <w:t> </w:t>
      </w:r>
      <w:r>
        <w:rPr/>
        <w:t>particularly</w:t>
      </w:r>
      <w:r>
        <w:rPr>
          <w:spacing w:val="-13"/>
        </w:rPr>
        <w:t> </w:t>
      </w:r>
      <w:r>
        <w:rPr/>
        <w:t>polypropylene</w:t>
      </w:r>
      <w:r>
        <w:rPr>
          <w:spacing w:val="-9"/>
        </w:rPr>
        <w:t> </w:t>
      </w:r>
      <w:r>
        <w:rPr/>
        <w:t>(PP),</w:t>
      </w:r>
      <w:r>
        <w:rPr>
          <w:spacing w:val="-9"/>
        </w:rPr>
        <w:t> </w:t>
      </w:r>
      <w:r>
        <w:rPr/>
        <w:t>significantly contribute to environmental degradation through energy-intensive production and waste emissions. Their exploration of alternatives, such as reusable PP containers and compostable bagasse clamshells, revealed improvements in waste reduction and sustainability</w:t>
      </w:r>
      <w:r>
        <w:rPr>
          <w:spacing w:val="-13"/>
        </w:rPr>
        <w:t> </w:t>
      </w:r>
      <w:r>
        <w:rPr/>
        <w:t>outcomes.</w:t>
      </w:r>
      <w:r>
        <w:rPr>
          <w:spacing w:val="-3"/>
        </w:rPr>
        <w:t> </w:t>
      </w:r>
      <w:r>
        <w:rPr/>
        <w:t>Similarly,</w:t>
      </w:r>
      <w:r>
        <w:rPr>
          <w:spacing w:val="-6"/>
        </w:rPr>
        <w:t> </w:t>
      </w:r>
      <w:r>
        <w:rPr/>
        <w:t>studies</w:t>
      </w:r>
      <w:r>
        <w:rPr>
          <w:spacing w:val="-8"/>
        </w:rPr>
        <w:t> </w:t>
      </w:r>
      <w:r>
        <w:rPr/>
        <w:t>employing</w:t>
      </w:r>
      <w:r>
        <w:rPr>
          <w:spacing w:val="-8"/>
        </w:rPr>
        <w:t> </w:t>
      </w:r>
      <w:r>
        <w:rPr/>
        <w:t>Life</w:t>
      </w:r>
      <w:r>
        <w:rPr>
          <w:spacing w:val="-9"/>
        </w:rPr>
        <w:t> </w:t>
      </w:r>
      <w:r>
        <w:rPr/>
        <w:t>Cycle</w:t>
      </w:r>
      <w:r>
        <w:rPr>
          <w:spacing w:val="-9"/>
        </w:rPr>
        <w:t> </w:t>
      </w:r>
      <w:r>
        <w:rPr/>
        <w:t>Assessment</w:t>
      </w:r>
      <w:r>
        <w:rPr>
          <w:spacing w:val="-8"/>
        </w:rPr>
        <w:t> </w:t>
      </w:r>
      <w:r>
        <w:rPr/>
        <w:t>(LCA)</w:t>
      </w:r>
      <w:r>
        <w:rPr>
          <w:spacing w:val="-9"/>
        </w:rPr>
        <w:t> </w:t>
      </w:r>
      <w:r>
        <w:rPr/>
        <w:t>tools, such as SimaPro and TRACI, provide evidence that compostable packaging contributes positively to reducing plastic waste, supporting waste segregation, and improving long- term campus sustainability (Jones &amp; Patel, 2019; NRC &amp; Institute of Medicine, 1999 &amp; </w:t>
      </w:r>
      <w:r>
        <w:rPr>
          <w:spacing w:val="-2"/>
        </w:rPr>
        <w:t>2000)</w:t>
      </w:r>
    </w:p>
    <w:p>
      <w:pPr>
        <w:pStyle w:val="BodyText"/>
        <w:spacing w:line="480" w:lineRule="auto" w:before="163"/>
        <w:ind w:left="326" w:right="1083" w:firstLine="720"/>
        <w:jc w:val="both"/>
      </w:pPr>
      <w:r>
        <w:rPr/>
        <w:t>At the institutional level, the Step Forward &amp; PEMSEA (2022) report further emphasized that robust waste segregation systems are critical to maximizing the benefits of compostable packaging. Food establishments inside malls, for instance, showed more effective</w:t>
      </w:r>
      <w:r>
        <w:rPr>
          <w:spacing w:val="4"/>
        </w:rPr>
        <w:t> </w:t>
      </w:r>
      <w:r>
        <w:rPr/>
        <w:t>waste</w:t>
      </w:r>
      <w:r>
        <w:rPr>
          <w:spacing w:val="8"/>
        </w:rPr>
        <w:t> </w:t>
      </w:r>
      <w:r>
        <w:rPr/>
        <w:t>handling</w:t>
      </w:r>
      <w:r>
        <w:rPr>
          <w:spacing w:val="8"/>
        </w:rPr>
        <w:t> </w:t>
      </w:r>
      <w:r>
        <w:rPr/>
        <w:t>due</w:t>
      </w:r>
      <w:r>
        <w:rPr>
          <w:spacing w:val="7"/>
        </w:rPr>
        <w:t> </w:t>
      </w:r>
      <w:r>
        <w:rPr/>
        <w:t>to</w:t>
      </w:r>
      <w:r>
        <w:rPr>
          <w:spacing w:val="8"/>
        </w:rPr>
        <w:t> </w:t>
      </w:r>
      <w:r>
        <w:rPr/>
        <w:t>stricter</w:t>
      </w:r>
      <w:r>
        <w:rPr>
          <w:spacing w:val="6"/>
        </w:rPr>
        <w:t> </w:t>
      </w:r>
      <w:r>
        <w:rPr/>
        <w:t>enforcement,</w:t>
      </w:r>
      <w:r>
        <w:rPr>
          <w:spacing w:val="8"/>
        </w:rPr>
        <w:t> </w:t>
      </w:r>
      <w:r>
        <w:rPr/>
        <w:t>while</w:t>
      </w:r>
      <w:r>
        <w:rPr>
          <w:spacing w:val="7"/>
        </w:rPr>
        <w:t> </w:t>
      </w:r>
      <w:r>
        <w:rPr/>
        <w:t>independent</w:t>
      </w:r>
      <w:r>
        <w:rPr>
          <w:spacing w:val="8"/>
        </w:rPr>
        <w:t> </w:t>
      </w:r>
      <w:r>
        <w:rPr/>
        <w:t>operators</w:t>
      </w:r>
      <w:r>
        <w:rPr>
          <w:spacing w:val="8"/>
        </w:rPr>
        <w:t> </w:t>
      </w:r>
      <w:r>
        <w:rPr>
          <w:spacing w:val="-2"/>
        </w:rPr>
        <w:t>lagged.</w:t>
      </w:r>
    </w:p>
    <w:p>
      <w:pPr>
        <w:pStyle w:val="BodyText"/>
        <w:spacing w:after="0" w:line="480" w:lineRule="auto"/>
        <w:jc w:val="both"/>
        <w:sectPr>
          <w:pgSz w:w="12240" w:h="15840"/>
          <w:pgMar w:header="763" w:footer="0" w:top="1340" w:bottom="280" w:left="1800" w:right="360"/>
        </w:sectPr>
      </w:pPr>
    </w:p>
    <w:p>
      <w:pPr>
        <w:pStyle w:val="BodyText"/>
        <w:spacing w:line="480" w:lineRule="auto" w:before="80"/>
        <w:ind w:left="326" w:right="1084"/>
        <w:jc w:val="both"/>
      </w:pPr>
      <w:r>
        <w:rPr/>
        <w:t>For Mapúa MCM, this suggests that adopting compostable packaging can enhance operational efficiency and environmental outcomes only when supported by proper infrastructure and institutional commitment.</w:t>
      </w:r>
    </w:p>
    <w:p>
      <w:pPr>
        <w:pStyle w:val="Heading2"/>
        <w:spacing w:before="165"/>
      </w:pPr>
      <w:r>
        <w:rPr/>
        <w:t>Overall</w:t>
      </w:r>
      <w:r>
        <w:rPr>
          <w:spacing w:val="-3"/>
        </w:rPr>
        <w:t> </w:t>
      </w:r>
      <w:r>
        <w:rPr/>
        <w:t>Cost-</w:t>
      </w:r>
      <w:r>
        <w:rPr>
          <w:spacing w:val="-2"/>
        </w:rPr>
        <w:t>Benefit</w:t>
      </w:r>
    </w:p>
    <w:p>
      <w:pPr>
        <w:pStyle w:val="BodyText"/>
        <w:spacing w:before="154"/>
        <w:rPr>
          <w:b/>
          <w:i/>
        </w:rPr>
      </w:pPr>
    </w:p>
    <w:p>
      <w:pPr>
        <w:pStyle w:val="BodyText"/>
        <w:spacing w:line="480" w:lineRule="auto"/>
        <w:ind w:left="326" w:right="1076" w:firstLine="720"/>
        <w:jc w:val="both"/>
      </w:pPr>
      <w:r>
        <w:rPr/>
        <w:t>The reviewed literature collectively suggests that the adoption of compostable packaging entails higher initial costs but leads to long-term sustainability benefits when combined with institutional support and proper infrastructure. While financial feasibility (Kaur &amp; Acid, 2020) and systemic barriers (PEMSEA, 2022) highlight the challenges, operational insights (Cuerda et al., 2023) and environmental assessments (Jones &amp; Patel, 2019; NRC &amp; Institute of Medicine, 1999 &amp; 2000) affirm that compostable packaging provides measurable gains. Taken together, these studies establish the importance of evaluating not only immediate costs but also the broader cost–benefit relationship in ensuring a successful shift from plastics to compostables.</w:t>
      </w:r>
    </w:p>
    <w:sectPr>
      <w:pgSz w:w="12240" w:h="15840"/>
      <w:pgMar w:header="763" w:footer="0" w:top="1340" w:bottom="280" w:left="180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75136">
              <wp:simplePos x="0" y="0"/>
              <wp:positionH relativeFrom="page">
                <wp:posOffset>6730745</wp:posOffset>
              </wp:positionH>
              <wp:positionV relativeFrom="page">
                <wp:posOffset>438430</wp:posOffset>
              </wp:positionV>
              <wp:extent cx="179705" cy="1809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9705" cy="180975"/>
                      </a:xfrm>
                      <a:prstGeom prst="rect">
                        <a:avLst/>
                      </a:prstGeom>
                    </wps:spPr>
                    <wps:txbx>
                      <w:txbxContent>
                        <w:p>
                          <w:pPr>
                            <w:spacing w:before="11"/>
                            <w:ind w:left="2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iii</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9.979980pt;margin-top:34.52211pt;width:14.15pt;height:14.25pt;mso-position-horizontal-relative:page;mso-position-vertical-relative:page;z-index:-16441344" type="#_x0000_t202" id="docshape3" filled="false" stroked="false">
              <v:textbox inset="0,0,0,0">
                <w:txbxContent>
                  <w:p>
                    <w:pPr>
                      <w:spacing w:before="11"/>
                      <w:ind w:left="2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iii</w:t>
                    </w:r>
                    <w:r>
                      <w:rPr>
                        <w:spacing w:val="-5"/>
                        <w:sz w:val="22"/>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75648">
              <wp:simplePos x="0" y="0"/>
              <wp:positionH relativeFrom="page">
                <wp:posOffset>6704838</wp:posOffset>
              </wp:positionH>
              <wp:positionV relativeFrom="page">
                <wp:posOffset>471931</wp:posOffset>
              </wp:positionV>
              <wp:extent cx="207010"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27.940002pt;margin-top:37.160pt;width:16.3pt;height:13.05pt;mso-position-horizontal-relative:page;mso-position-vertical-relative:page;z-index:-16440832" type="#_x0000_t202" id="docshape4"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566"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686"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3."/>
      <w:lvlJc w:val="left"/>
      <w:pPr>
        <w:ind w:left="104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lowerLetter"/>
      <w:lvlText w:val="%4)"/>
      <w:lvlJc w:val="left"/>
      <w:pPr>
        <w:ind w:left="1766"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4">
      <w:start w:val="0"/>
      <w:numFmt w:val="bullet"/>
      <w:lvlText w:val="•"/>
      <w:lvlJc w:val="left"/>
      <w:pPr>
        <w:ind w:left="2948" w:hanging="360"/>
      </w:pPr>
      <w:rPr>
        <w:rFonts w:hint="default"/>
        <w:lang w:val="en-US" w:eastAsia="en-US" w:bidi="ar-SA"/>
      </w:rPr>
    </w:lvl>
    <w:lvl w:ilvl="5">
      <w:start w:val="0"/>
      <w:numFmt w:val="bullet"/>
      <w:lvlText w:val="•"/>
      <w:lvlJc w:val="left"/>
      <w:pPr>
        <w:ind w:left="4137" w:hanging="360"/>
      </w:pPr>
      <w:rPr>
        <w:rFonts w:hint="default"/>
        <w:lang w:val="en-US" w:eastAsia="en-US" w:bidi="ar-SA"/>
      </w:rPr>
    </w:lvl>
    <w:lvl w:ilvl="6">
      <w:start w:val="0"/>
      <w:numFmt w:val="bullet"/>
      <w:lvlText w:val="•"/>
      <w:lvlJc w:val="left"/>
      <w:pPr>
        <w:ind w:left="5325" w:hanging="360"/>
      </w:pPr>
      <w:rPr>
        <w:rFonts w:hint="default"/>
        <w:lang w:val="en-US" w:eastAsia="en-US" w:bidi="ar-SA"/>
      </w:rPr>
    </w:lvl>
    <w:lvl w:ilvl="7">
      <w:start w:val="0"/>
      <w:numFmt w:val="bullet"/>
      <w:lvlText w:val="•"/>
      <w:lvlJc w:val="left"/>
      <w:pPr>
        <w:ind w:left="6514" w:hanging="360"/>
      </w:pPr>
      <w:rPr>
        <w:rFonts w:hint="default"/>
        <w:lang w:val="en-US" w:eastAsia="en-US" w:bidi="ar-SA"/>
      </w:rPr>
    </w:lvl>
    <w:lvl w:ilvl="8">
      <w:start w:val="0"/>
      <w:numFmt w:val="bullet"/>
      <w:lvlText w:val="•"/>
      <w:lvlJc w:val="left"/>
      <w:pPr>
        <w:ind w:left="7702"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686"/>
      <w:jc w:val="both"/>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326"/>
      <w:jc w:val="both"/>
      <w:outlineLvl w:val="2"/>
    </w:pPr>
    <w:rPr>
      <w:rFonts w:ascii="Times New Roman" w:hAnsi="Times New Roman" w:eastAsia="Times New Roman" w:cs="Times New Roman"/>
      <w:b/>
      <w:bCs/>
      <w:i/>
      <w:iCs/>
      <w:sz w:val="24"/>
      <w:szCs w:val="24"/>
      <w:lang w:val="en-US" w:eastAsia="en-US" w:bidi="ar-SA"/>
    </w:rPr>
  </w:style>
  <w:style w:styleId="Title" w:type="paragraph">
    <w:name w:val="Title"/>
    <w:basedOn w:val="Normal"/>
    <w:uiPriority w:val="1"/>
    <w:qFormat/>
    <w:pPr>
      <w:ind w:left="1723" w:right="2441"/>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686"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yperlink" Target="mailto:fhAbdulgani@mcm.edu.ph" TargetMode="External"/><Relationship Id="rId9" Type="http://schemas.openxmlformats.org/officeDocument/2006/relationships/hyperlink" Target="mailto:baAsegurado@mcm.edu.ph" TargetMode="External"/><Relationship Id="rId10" Type="http://schemas.openxmlformats.org/officeDocument/2006/relationships/hyperlink" Target="mailto:prSuaybaguio@mcm.edu.ph" TargetMode="External"/><Relationship Id="rId11" Type="http://schemas.openxmlformats.org/officeDocument/2006/relationships/hyperlink" Target="mailto:jjElises@mcm.edu.ph" TargetMode="External"/><Relationship Id="rId12" Type="http://schemas.openxmlformats.org/officeDocument/2006/relationships/hyperlink" Target="mailto:prsuaybaguio@mcm.edu.ph" TargetMode="External"/><Relationship Id="rId13" Type="http://schemas.openxmlformats.org/officeDocument/2006/relationships/hyperlink" Target="https://doi.org/10.1039/c8nr08224c" TargetMode="External"/><Relationship Id="rId14" Type="http://schemas.openxmlformats.org/officeDocument/2006/relationships/hyperlink" Target="https://digitalcommons.unl.edu/cgi/viewcontent.cgi?article=6815&amp;context=libphilprac" TargetMode="External"/><Relationship Id="rId15" Type="http://schemas.openxmlformats.org/officeDocument/2006/relationships/hyperlink" Target="https://doi.org/10.54660/ijsser.2025.4.1.79-97" TargetMode="External"/><Relationship Id="rId16" Type="http://schemas.openxmlformats.org/officeDocument/2006/relationships/hyperlink" Target="https://doi.org/10.37547/tajabe/volume06issue04-02" TargetMode="External"/><Relationship Id="rId17" Type="http://schemas.openxmlformats.org/officeDocument/2006/relationships/hyperlink" Target="https://doi.org/10.69798/49264347" TargetMode="External"/><Relationship Id="rId18" Type="http://schemas.openxmlformats.org/officeDocument/2006/relationships/hyperlink" Target="https://doi.org/10.9734/JSRR/2020/V26I230229" TargetMode="External"/><Relationship Id="rId19" Type="http://schemas.openxmlformats.org/officeDocument/2006/relationships/hyperlink" Target="https://doi.org/10.3390/su17041358" TargetMode="External"/><Relationship Id="rId20" Type="http://schemas.openxmlformats.org/officeDocument/2006/relationships/hyperlink" Target="https://doi.org/10.4324/9781351029780" TargetMode="External"/><Relationship Id="rId21" Type="http://schemas.openxmlformats.org/officeDocument/2006/relationships/hyperlink" Target="https://doi.org/10.47191/ijmra/v7-i07-26" TargetMode="External"/><Relationship Id="rId22" Type="http://schemas.openxmlformats.org/officeDocument/2006/relationships/hyperlink" Target="https://doi.org/10.5194/egusphere-egu24-4734" TargetMode="External"/><Relationship Id="rId23" Type="http://schemas.openxmlformats.org/officeDocument/2006/relationships/hyperlink" Target="https://www.pemsea.org/sites/default/files/202312/ASEANO%20FSI%20report%202022%20%2820220622%29.pdf" TargetMode="External"/><Relationship Id="rId24" Type="http://schemas.openxmlformats.org/officeDocument/2006/relationships/hyperlink" Target="https://doi.org/10.1002/pts.2826" TargetMode="External"/><Relationship Id="rId25" Type="http://schemas.openxmlformats.org/officeDocument/2006/relationships/hyperlink" Target="https://doi.org/10.3390/designs8060133" TargetMode="External"/><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Renz L. Suaybaguio</dc:creator>
  <dcterms:created xsi:type="dcterms:W3CDTF">2025-12-18T18:08:28Z</dcterms:created>
  <dcterms:modified xsi:type="dcterms:W3CDTF">2025-12-18T18:08:28Z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2025-10-27T00:00:00Z</vt:filetime>
  </property>
  <property fmtid="{D5CDD505-2E9C-101B-9397-08002B2CF9AE}" pid="3" name="Creator">
    <vt:lpwstr>Microsoft® Word 2016</vt:lpwstr>
  </property>
  <property fmtid="{D5CDD505-2E9C-101B-9397-08002B2CF9AE}" pid="4" name="LastSaved">
    <vt:filetime>2025-12-18T00:00:00Z</vt:filetime>
  </property>
  <property fmtid="{D5CDD505-2E9C-101B-9397-08002B2CF9AE}" pid="5" name="Producer">
    <vt:lpwstr>www.ilovepdf.com</vt:lpwstr>
  </property>
</Properties>
</file>