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jc w:val="center"/>
      </w:pPr>
      <w:r>
        <w:rPr>
          <w:rFonts w:ascii="Calibri" w:cs="Calibri" w:eastAsia="Calibri" w:hAnsi="Calibri"/>
          <w:b/>
          <w:bCs/>
          <w:color w:val="1E3A5F"/>
          <w:sz w:val="80"/>
          <w:szCs w:val="80"/>
        </w:rPr>
        <w:t xml:space="preserve">MASA</w:t>
      </w:r>
    </w:p>
    <w:p>
      <w:pPr>
        <w:jc w:val="center"/>
      </w:pPr>
      <w:r>
        <w:rPr>
          <w:rFonts w:ascii="Calibri" w:cs="Calibri" w:eastAsia="Calibri" w:hAnsi="Calibri"/>
          <w:color w:val="2563EB"/>
          <w:sz w:val="36"/>
          <w:szCs w:val="36"/>
        </w:rPr>
        <w:t xml:space="preserve">Methods of Automated Scientific Analysis</w:t>
      </w:r>
    </w:p>
    <w:p>
      <w:pPr>
        <w:spacing w:before="240"/>
        <w:jc w:val="center"/>
      </w:pPr>
    </w:p>
    <w:p>
      <w:pPr>
        <w:pBdr>
          <w:bottom w:val="single" w:color="2563EB" w:sz="8" w:space="1"/>
        </w:pBdr>
        <w:jc w:val="center"/>
      </w:pPr>
      <w:r>
        <w:rPr>
          <w:rFonts w:ascii="Calibri" w:cs="Calibri" w:eastAsia="Calibri" w:hAnsi="Calibri"/>
          <w:color w:val="4B5563"/>
          <w:sz w:val="28"/>
          <w:szCs w:val="28"/>
        </w:rPr>
        <w:t xml:space="preserve">Technical Architecture &amp; Documentation</w:t>
      </w:r>
    </w:p>
    <w:p>
      <w:pPr>
        <w:spacing w:before="720"/>
        <w:jc w:val="center"/>
      </w:pPr>
    </w:p>
    <w:p>
      <w:pPr>
        <w:jc w:val="center"/>
      </w:pPr>
      <w:r>
        <w:rPr>
          <w:rFonts w:ascii="Calibri" w:cs="Calibri" w:eastAsia="Calibri" w:hAnsi="Calibri"/>
          <w:i/>
          <w:iCs/>
          <w:color w:val="6B7280"/>
          <w:sz w:val="24"/>
          <w:szCs w:val="24"/>
        </w:rPr>
        <w:t xml:space="preserve">Wu-Weism / Synthesis Engine</w:t>
      </w:r>
    </w:p>
    <w:p>
      <w:pPr>
        <w:jc w:val="center"/>
      </w:pPr>
      <w:r>
        <w:rPr>
          <w:rFonts w:ascii="Calibri" w:cs="Calibri" w:eastAsia="Calibri" w:hAnsi="Calibri"/>
          <w:color w:val="9CA3AF"/>
          <w:sz w:val="22"/>
          <w:szCs w:val="22"/>
        </w:rPr>
        <w:t xml:space="preserve">Version 1.0  |  March 2026</w:t>
      </w:r>
    </w:p>
    <w:p>
      <w:r>
        <w:br w:type="page"/>
      </w:r>
    </w:p>
    <w:p>
      <w:pPr>
        <w:sectPr>
          <w:pgSz w:w="12240" w:h="15840" w:orient="portrait"/>
          <w:pgMar w:top="1440" w:right="1440" w:bottom="1440" w:left="1440" w:header="708" w:footer="708" w:gutter="0"/>
          <w:pgNumType/>
          <w:docGrid w:linePitch="360"/>
        </w:sectPr>
      </w:pPr>
    </w:p>
    <w:p>
      <w:pPr>
        <w:pStyle w:val="Heading1"/>
      </w:pPr>
      <w:r>
        <w:rPr>
          <w:rFonts w:ascii="Calibri" w:cs="Calibri" w:eastAsia="Calibri" w:hAnsi="Calibri"/>
          <w:b/>
          <w:bCs/>
          <w:color w:val="1E3A5F"/>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color w:val="1E3A5F"/>
        </w:rPr>
        <w:t xml:space="preserve">1. Executive Summary</w:t>
      </w:r>
    </w:p>
    <w:p>
      <w:pPr>
        <w:pBdr>
          <w:bottom w:val="single" w:color="2563EB" w:sz="6" w:space="1"/>
        </w:pBdr>
      </w:pPr>
      <w:r>
        <w:t xml:space="preserve"/>
      </w:r>
    </w:p>
    <w:p>
      <w:r>
        <w:t xml:space="preserve"/>
      </w:r>
    </w:p>
    <w:p>
      <w:r>
        <w:rPr>
          <w:rFonts w:ascii="Calibri" w:cs="Calibri" w:eastAsia="Calibri" w:hAnsi="Calibri"/>
          <w:sz w:val="22"/>
          <w:szCs w:val="22"/>
        </w:rPr>
        <w:t xml:space="preserve">MASA (Methods of Automated Scientific Analysis) is the governing architecture for the synthesis-engine — a causal research system designed to produce claims that are testable, attributable, and epistemically honest.</w:t>
      </w:r>
    </w:p>
    <w:p>
      <w:r>
        <w:t xml:space="preserve"/>
      </w:r>
    </w:p>
    <w:p>
      <w:r>
        <w:rPr>
          <w:rFonts w:ascii="Calibri" w:cs="Calibri" w:eastAsia="Calibri" w:hAnsi="Calibri"/>
          <w:sz w:val="22"/>
          <w:szCs w:val="22"/>
        </w:rPr>
        <w:t xml:space="preserve">The core architectural thesis: the fundamental limitation of LLM-based research tools is not capability but epistemics. A system that generates plausible text correlated from training data cannot, by construction, produce scientifically falsifiable claims. MASA replaces the LLM-as-oracle pattern with an LLM-as-instrument-within-a-governed-scientific-loop model.</w:t>
      </w:r>
    </w:p>
    <w:p>
      <w:r>
        <w:t xml:space="preserve"/>
      </w:r>
    </w:p>
    <w:p>
      <w:r>
        <w:rPr>
          <w:rFonts w:ascii="Calibri" w:cs="Calibri" w:eastAsia="Calibri" w:hAnsi="Calibri"/>
          <w:b/>
          <w:bCs/>
          <w:sz w:val="22"/>
          <w:szCs w:val="22"/>
        </w:rPr>
        <w:t xml:space="preserve">The transition being made: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Traditional LLM</w:t>
            </w:r>
          </w:p>
        </w:tc>
        <w:tc>
          <w:tcPr>
            <w:tcW w:type="dxa" w:w="4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MASA Automated Scientist</w:t>
            </w:r>
          </w:p>
        </w:tc>
      </w:tr>
      <w:tr>
        <w:tc>
          <w:tcPr>
            <w:tcW w:type="dxa" w:w="468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Predicts next token</w:t>
            </w:r>
          </w:p>
        </w:tc>
        <w:tc>
          <w:tcPr>
            <w:tcW w:type="dxa" w:w="468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Predicts experimental outcome</w:t>
            </w:r>
          </w:p>
        </w:tc>
      </w:tr>
      <w:tr>
        <w:tc>
          <w:tcPr>
            <w:tcW w:type="dxa" w:w="468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Correlation-based (P(Y|X))</w:t>
            </w:r>
          </w:p>
        </w:tc>
        <w:tc>
          <w:tcPr>
            <w:tcW w:type="dxa" w:w="468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Causation-based (P(Y|do(X)))</w:t>
            </w:r>
          </w:p>
        </w:tc>
      </w:tr>
      <w:tr>
        <w:tc>
          <w:tcPr>
            <w:tcW w:type="dxa" w:w="468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No ground truth mechanism</w:t>
            </w:r>
          </w:p>
        </w:tc>
        <w:tc>
          <w:tcPr>
            <w:tcW w:type="dxa" w:w="468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Empirically falsifiable outputs</w:t>
            </w:r>
          </w:p>
        </w:tc>
      </w:tr>
      <w:tr>
        <w:tc>
          <w:tcPr>
            <w:tcW w:type="dxa" w:w="468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Passive responder</w:t>
            </w:r>
          </w:p>
        </w:tc>
        <w:tc>
          <w:tcPr>
            <w:tcW w:type="dxa" w:w="468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Active, adversarial investigator</w:t>
            </w:r>
          </w:p>
        </w:tc>
      </w:tr>
      <w:tr>
        <w:tc>
          <w:tcPr>
            <w:tcW w:type="dxa" w:w="468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No governance layer</w:t>
            </w:r>
          </w:p>
        </w:tc>
        <w:tc>
          <w:tcPr>
            <w:tcW w:type="dxa" w:w="468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CI-enforced claim governance</w:t>
            </w:r>
          </w:p>
        </w:tc>
      </w:tr>
      <w:tr>
        <w:tc>
          <w:tcPr>
            <w:tcW w:type="dxa" w:w="468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Session-scoped memory</w:t>
            </w:r>
          </w:p>
        </w:tc>
        <w:tc>
          <w:tcPr>
            <w:tcW w:type="dxa" w:w="468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Causal knowledge accumulation</w:t>
            </w:r>
          </w:p>
        </w:tc>
      </w:tr>
    </w:tbl>
    <w:p>
      <w:r>
        <w:t xml:space="preserve"/>
      </w:r>
    </w:p>
    <w:p>
      <w:r>
        <w:rPr>
          <w:rFonts w:ascii="Calibri" w:cs="Calibri" w:eastAsia="Calibri" w:hAnsi="Calibri"/>
          <w:sz w:val="22"/>
          <w:szCs w:val="22"/>
        </w:rPr>
        <w:t xml:space="preserve">The system is organized as four interdependent layers — Interface, Causal Logic, Governance, and Persistence — supporting three first-class research surfaces: causal chat (/chat), contradiction-driven synthesis (/hybrid), and causal legal reasoning (/legal).</w:t>
      </w:r>
    </w:p>
    <w:p>
      <w:r>
        <w:t xml:space="preserve"/>
      </w:r>
    </w:p>
    <w:p>
      <w:r>
        <w:br w:type="page"/>
      </w:r>
    </w:p>
    <w:p>
      <w:pPr>
        <w:pStyle w:val="Heading1"/>
      </w:pPr>
      <w:r>
        <w:rPr>
          <w:rFonts w:ascii="Calibri" w:cs="Calibri" w:eastAsia="Calibri" w:hAnsi="Calibri"/>
          <w:b/>
          <w:bCs/>
          <w:color w:val="1E3A5F"/>
        </w:rPr>
        <w:t xml:space="preserve">2. North Star &amp; Goals</w:t>
      </w:r>
    </w:p>
    <w:p>
      <w:pPr>
        <w:pBdr>
          <w:bottom w:val="single" w:color="2563EB" w:sz="6" w:space="1"/>
        </w:pBdr>
      </w:pPr>
      <w:r>
        <w:t xml:space="preserve"/>
      </w:r>
    </w:p>
    <w:p>
      <w:r>
        <w:t xml:space="preserve"/>
      </w:r>
    </w:p>
    <w:p>
      <w:pPr>
        <w:pStyle w:val="Heading2"/>
      </w:pPr>
      <w:r>
        <w:rPr>
          <w:rFonts w:ascii="Calibri" w:cs="Calibri" w:eastAsia="Calibri" w:hAnsi="Calibri"/>
          <w:b/>
          <w:bCs/>
          <w:color w:val="2563EB"/>
        </w:rPr>
        <w:t xml:space="preserve">2.1 North Star Capability</w:t>
      </w:r>
    </w:p>
    <w:p>
      <w:r>
        <w:rPr>
          <w:rFonts w:ascii="Calibri" w:cs="Calibri" w:eastAsia="Calibri" w:hAnsi="Calibri"/>
          <w:sz w:val="22"/>
          <w:szCs w:val="22"/>
        </w:rPr>
        <w:t xml:space="preserve">A production system that autonomously:</w:t>
      </w:r>
    </w:p>
    <w:p>
      <w:r>
        <w:t xml:space="preserve"/>
      </w:r>
    </w:p>
    <w:p>
      <w:pPr>
        <w:pStyle w:val="ListParagraph"/>
        <w:numPr>
          <w:ilvl w:val="0"/>
          <w:numId w:val="2"/>
        </w:numPr>
      </w:pPr>
      <w:r>
        <w:rPr>
          <w:rFonts w:ascii="Calibri" w:cs="Calibri" w:eastAsia="Calibri" w:hAnsi="Calibri"/>
          <w:sz w:val="22"/>
          <w:szCs w:val="22"/>
        </w:rPr>
        <w:t xml:space="preserve">Ingests heterogeneous evidence from documents, databases, and external literature</w:t>
      </w:r>
    </w:p>
    <w:p>
      <w:pPr>
        <w:pStyle w:val="ListParagraph"/>
        <w:numPr>
          <w:ilvl w:val="0"/>
          <w:numId w:val="2"/>
        </w:numPr>
      </w:pPr>
      <w:r>
        <w:rPr>
          <w:rFonts w:ascii="Calibri" w:cs="Calibri" w:eastAsia="Calibri" w:hAnsi="Calibri"/>
          <w:sz w:val="22"/>
          <w:szCs w:val="22"/>
        </w:rPr>
        <w:t xml:space="preserve">Detects meaningful contradictions in evidence before synthesis</w:t>
      </w:r>
    </w:p>
    <w:p>
      <w:pPr>
        <w:pStyle w:val="ListParagraph"/>
        <w:numPr>
          <w:ilvl w:val="0"/>
          <w:numId w:val="2"/>
        </w:numPr>
      </w:pPr>
      <w:r>
        <w:rPr>
          <w:rFonts w:ascii="Calibri" w:cs="Calibri" w:eastAsia="Calibri" w:hAnsi="Calibri"/>
          <w:sz w:val="22"/>
          <w:szCs w:val="22"/>
        </w:rPr>
        <w:t xml:space="preserve">Generates structured, adversarially-reviewed hypotheses</w:t>
      </w:r>
    </w:p>
    <w:p>
      <w:pPr>
        <w:pStyle w:val="ListParagraph"/>
        <w:numPr>
          <w:ilvl w:val="0"/>
          <w:numId w:val="2"/>
        </w:numPr>
      </w:pPr>
      <w:r>
        <w:rPr>
          <w:rFonts w:ascii="Calibri" w:cs="Calibri" w:eastAsia="Calibri" w:hAnsi="Calibri"/>
          <w:sz w:val="22"/>
          <w:szCs w:val="22"/>
        </w:rPr>
        <w:t xml:space="preserve">Evaluates novelty against prior art with temporal decay weighting</w:t>
      </w:r>
    </w:p>
    <w:p>
      <w:pPr>
        <w:pStyle w:val="ListParagraph"/>
        <w:numPr>
          <w:ilvl w:val="0"/>
          <w:numId w:val="2"/>
        </w:numPr>
      </w:pPr>
      <w:r>
        <w:rPr>
          <w:rFonts w:ascii="Calibri" w:cs="Calibri" w:eastAsia="Calibri" w:hAnsi="Calibri"/>
          <w:sz w:val="22"/>
          <w:szCs w:val="22"/>
        </w:rPr>
        <w:t xml:space="preserve">Enforces falsifiability and identifiability gates before claim release</w:t>
      </w:r>
    </w:p>
    <w:p>
      <w:pPr>
        <w:pStyle w:val="ListParagraph"/>
        <w:numPr>
          <w:ilvl w:val="0"/>
          <w:numId w:val="2"/>
        </w:numPr>
      </w:pPr>
      <w:r>
        <w:rPr>
          <w:rFonts w:ascii="Calibri" w:cs="Calibri" w:eastAsia="Calibri" w:hAnsi="Calibri"/>
          <w:sz w:val="22"/>
          <w:szCs w:val="22"/>
        </w:rPr>
        <w:t xml:space="preserve">Surfaces uncertainty explicitly when evidence is weak or conflicted</w:t>
      </w:r>
    </w:p>
    <w:p>
      <w:pPr>
        <w:pStyle w:val="ListParagraph"/>
        <w:numPr>
          <w:ilvl w:val="0"/>
          <w:numId w:val="2"/>
        </w:numPr>
      </w:pPr>
      <w:r>
        <w:rPr>
          <w:rFonts w:ascii="Calibri" w:cs="Calibri" w:eastAsia="Calibri" w:hAnsi="Calibri"/>
          <w:sz w:val="22"/>
          <w:szCs w:val="22"/>
        </w:rPr>
        <w:t xml:space="preserve">Preserves decisions and provenance for governance and deterministic replay</w:t>
      </w:r>
    </w:p>
    <w:p>
      <w:r>
        <w:t xml:space="preserve"/>
      </w:r>
    </w:p>
    <w:p>
      <w:pPr>
        <w:pStyle w:val="Heading2"/>
      </w:pPr>
      <w:r>
        <w:rPr>
          <w:rFonts w:ascii="Calibri" w:cs="Calibri" w:eastAsia="Calibri" w:hAnsi="Calibri"/>
          <w:b/>
          <w:bCs/>
          <w:color w:val="2563EB"/>
        </w:rPr>
        <w:t xml:space="preserve">2.2 Pearl's Causal Ladder — Position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Level</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Question</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Operator</w:t>
            </w:r>
          </w:p>
        </w:tc>
        <w:tc>
          <w:tcPr>
            <w:tcW w:type="dxa" w:w="2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MASA Status</w:t>
            </w:r>
          </w:p>
        </w:tc>
      </w:tr>
      <w:tr>
        <w:tc>
          <w:tcPr>
            <w:tcW w:type="dxa" w:w="22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1 — Association</w:t>
            </w:r>
          </w:p>
        </w:tc>
        <w:tc>
          <w:tcPr>
            <w:tcW w:type="dxa" w:w="22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What correlates with what?</w:t>
            </w:r>
          </w:p>
        </w:tc>
        <w:tc>
          <w:tcPr>
            <w:tcW w:type="dxa" w:w="22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P(Y|X)</w:t>
            </w:r>
          </w:p>
        </w:tc>
        <w:tc>
          <w:tcPr>
            <w:tcW w:type="dxa" w:w="27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 Baseline — scholar retrieval</w:t>
            </w:r>
          </w:p>
        </w:tc>
      </w:tr>
      <w:tr>
        <w:tc>
          <w:tcPr>
            <w:tcW w:type="dxa" w:w="22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2 — Intervention</w:t>
            </w:r>
          </w:p>
        </w:tc>
        <w:tc>
          <w:tcPr>
            <w:tcW w:type="dxa" w:w="22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What happens if I do X?</w:t>
            </w:r>
          </w:p>
        </w:tc>
        <w:tc>
          <w:tcPr>
            <w:tcW w:type="dxa" w:w="22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P(Y|do(X))</w:t>
            </w:r>
          </w:p>
        </w:tc>
        <w:tc>
          <w:tcPr>
            <w:tcW w:type="dxa" w:w="27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 Active — causal solver</w:t>
            </w:r>
          </w:p>
        </w:tc>
      </w:tr>
      <w:tr>
        <w:tc>
          <w:tcPr>
            <w:tcW w:type="dxa" w:w="22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3 — Counterfactual</w:t>
            </w:r>
          </w:p>
        </w:tc>
        <w:tc>
          <w:tcPr>
            <w:tcW w:type="dxa" w:w="22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What if I had done X differently?</w:t>
            </w:r>
          </w:p>
        </w:tc>
        <w:tc>
          <w:tcPr>
            <w:tcW w:type="dxa" w:w="22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P(Yx|X',Y')</w:t>
            </w:r>
          </w:p>
        </w:tc>
        <w:tc>
          <w:tcPr>
            <w:tcW w:type="dxa" w:w="27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 Planned — counterfactual engine</w:t>
            </w:r>
          </w:p>
        </w:tc>
      </w:tr>
    </w:tbl>
    <w:p>
      <w:r>
        <w:t xml:space="preserve"/>
      </w:r>
    </w:p>
    <w:p>
      <w:pPr>
        <w:pStyle w:val="Heading2"/>
      </w:pPr>
      <w:r>
        <w:rPr>
          <w:rFonts w:ascii="Calibri" w:cs="Calibri" w:eastAsia="Calibri" w:hAnsi="Calibri"/>
          <w:b/>
          <w:bCs/>
          <w:color w:val="2563EB"/>
        </w:rPr>
        <w:t xml:space="preserve">2.3 Non-Goals (Explicit)</w:t>
      </w:r>
    </w:p>
    <w:p>
      <w:r>
        <w:t xml:space="preserve"/>
      </w:r>
    </w:p>
    <w:p>
      <w:pPr>
        <w:pStyle w:val="ListParagraph"/>
        <w:numPr>
          <w:ilvl w:val="0"/>
          <w:numId w:val="3"/>
        </w:numPr>
      </w:pPr>
      <w:r>
        <w:rPr>
          <w:rFonts w:ascii="Calibri" w:cs="Calibri" w:eastAsia="Calibri" w:hAnsi="Calibri"/>
          <w:sz w:val="22"/>
          <w:szCs w:val="22"/>
        </w:rPr>
        <w:t xml:space="preserve">MASA is not a general-purpose chatbot. Output quality for casual conversation is not a design objective.</w:t>
      </w:r>
    </w:p>
    <w:p>
      <w:pPr>
        <w:pStyle w:val="ListParagraph"/>
        <w:numPr>
          <w:ilvl w:val="0"/>
          <w:numId w:val="3"/>
        </w:numPr>
      </w:pPr>
      <w:r>
        <w:rPr>
          <w:rFonts w:ascii="Calibri" w:cs="Calibri" w:eastAsia="Calibri" w:hAnsi="Calibri"/>
          <w:sz w:val="22"/>
          <w:szCs w:val="22"/>
        </w:rPr>
        <w:t xml:space="preserve">MASA does not aim to be the fastest system. Governance gates introduce latency that is a feature, not a bug.</w:t>
      </w:r>
    </w:p>
    <w:p>
      <w:pPr>
        <w:pStyle w:val="ListParagraph"/>
        <w:numPr>
          <w:ilvl w:val="0"/>
          <w:numId w:val="3"/>
        </w:numPr>
      </w:pPr>
      <w:r>
        <w:rPr>
          <w:rFonts w:ascii="Calibri" w:cs="Calibri" w:eastAsia="Calibri" w:hAnsi="Calibri"/>
          <w:sz w:val="22"/>
          <w:szCs w:val="22"/>
        </w:rPr>
        <w:t xml:space="preserve">MASA does not currently target fully autonomous experiment execution (simulation only). Real cloud-lab integration is a future milestone.</w:t>
      </w:r>
    </w:p>
    <w:p>
      <w:r>
        <w:t xml:space="preserve"/>
      </w:r>
    </w:p>
    <w:p>
      <w:r>
        <w:br w:type="page"/>
      </w:r>
    </w:p>
    <w:p>
      <w:pPr>
        <w:pStyle w:val="Heading1"/>
      </w:pPr>
      <w:r>
        <w:rPr>
          <w:rFonts w:ascii="Calibri" w:cs="Calibri" w:eastAsia="Calibri" w:hAnsi="Calibri"/>
          <w:b/>
          <w:bCs/>
          <w:color w:val="1E3A5F"/>
        </w:rPr>
        <w:t xml:space="preserve">3. Architecture — Four Layers</w:t>
      </w:r>
    </w:p>
    <w:p>
      <w:pPr>
        <w:pBdr>
          <w:bottom w:val="single" w:color="2563EB" w:sz="6" w:space="1"/>
        </w:pBdr>
      </w:pPr>
      <w:r>
        <w:t xml:space="preserve"/>
      </w:r>
    </w:p>
    <w:p>
      <w:r>
        <w:t xml:space="preserve"/>
      </w:r>
    </w:p>
    <w:p>
      <w:r>
        <w:rPr>
          <w:rFonts w:ascii="Calibri" w:cs="Calibri" w:eastAsia="Calibri" w:hAnsi="Calibri"/>
          <w:sz w:val="22"/>
          <w:szCs w:val="22"/>
        </w:rPr>
        <w:t xml:space="preserve">MASA uses a strict four-layer model. Each layer has explicit contracts with adjacent layers. No layer may bypass its downstream governance contracts.</w:t>
      </w:r>
    </w:p>
    <w:p>
      <w:r>
        <w:t xml:space="preserve"/>
      </w:r>
    </w:p>
    <w:p>
      <w:pPr>
        <w:pStyle w:val="Heading2"/>
      </w:pPr>
      <w:r>
        <w:rPr>
          <w:rFonts w:ascii="Calibri" w:cs="Calibri" w:eastAsia="Calibri" w:hAnsi="Calibri"/>
          <w:b/>
          <w:bCs/>
          <w:color w:val="2563EB"/>
        </w:rPr>
        <w:t xml:space="preserve">3.1 Layer A — Interface / Workbench</w:t>
      </w:r>
    </w:p>
    <w:p>
      <w:r>
        <w:t xml:space="preserve"/>
      </w:r>
    </w:p>
    <w:p>
      <w:r>
        <w:rPr>
          <w:rFonts w:ascii="Calibri" w:cs="Calibri" w:eastAsia="Calibri" w:hAnsi="Calibri"/>
          <w:sz w:val="22"/>
          <w:szCs w:val="22"/>
        </w:rPr>
        <w:t xml:space="preserve">The research surface. Three primary interfaces share the 2041 Workbench design language, emphasizing evidence transparency and stage telemetry.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Interface</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c>
          <w:tcPr>
            <w:tcW w:type="dxa" w:w="4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Key Features</w:t>
            </w:r>
          </w:p>
        </w:tc>
      </w:tr>
      <w:tr>
        <w:tc>
          <w:tcPr>
            <w:tcW w:type="dxa" w:w="18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/chat</w:t>
            </w:r>
          </w:p>
        </w:tc>
        <w:tc>
          <w:tcPr>
            <w:tcW w:type="dxa" w:w="28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Causal dialogue</w:t>
            </w:r>
          </w:p>
        </w:tc>
        <w:tc>
          <w:tcPr>
            <w:tcW w:type="dxa" w:w="47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Evidence rails, web grounding, uncertainty surfacing, fact-trigger classifier</w:t>
            </w:r>
          </w:p>
        </w:tc>
      </w:tr>
      <w:tr>
        <w:tc>
          <w:tcPr>
            <w:tcW w:type="dxa" w:w="18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/hybrid</w:t>
            </w:r>
          </w:p>
        </w:tc>
        <w:tc>
          <w:tcPr>
            <w:tcW w:type="dxa" w:w="28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Contradiction-driven synthesis</w:t>
            </w:r>
          </w:p>
        </w:tc>
        <w:tc>
          <w:tcPr>
            <w:tcW w:type="dxa" w:w="47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Novelty proof, contradiction matrix, recovery planner, timeline stage model</w:t>
            </w:r>
          </w:p>
        </w:tc>
      </w:tr>
      <w:tr>
        <w:tc>
          <w:tcPr>
            <w:tcW w:type="dxa" w:w="18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/legal</w:t>
            </w:r>
          </w:p>
        </w:tc>
        <w:tc>
          <w:tcPr>
            <w:tcW w:type="dxa" w:w="28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Causal harm reasoning</w:t>
            </w:r>
          </w:p>
        </w:tc>
        <w:tc>
          <w:tcPr>
            <w:tcW w:type="dxa" w:w="47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But-for / proximate causation, structured legal case intake</w:t>
            </w:r>
          </w:p>
        </w:tc>
      </w:tr>
    </w:tbl>
    <w:p>
      <w:r>
        <w:t xml:space="preserve"/>
      </w:r>
    </w:p>
    <w:p>
      <w:r>
        <w:rPr>
          <w:rFonts w:ascii="Calibri" w:cs="Calibri" w:eastAsia="Calibri" w:hAnsi="Calibri"/>
          <w:sz w:val="22"/>
          <w:szCs w:val="22"/>
        </w:rPr>
        <w:t xml:space="preserve">All interfaces emit Server-Sent Events (SSE) for real-time observability. Users see not just outputs but the epistemic process that produced them — grounding sources, causal pruning events, compaction receipts, and lattice operations are surfaced explicitly.</w:t>
      </w:r>
    </w:p>
    <w:p>
      <w:r>
        <w:t xml:space="preserve"/>
      </w:r>
    </w:p>
    <w:p>
      <w:r>
        <w:rPr>
          <w:rFonts w:ascii="Calibri" w:cs="Calibri" w:eastAsia="Calibri" w:hAnsi="Calibri"/>
          <w:b/>
          <w:bCs/>
          <w:sz w:val="22"/>
          <w:szCs w:val="22"/>
        </w:rPr>
        <w:t xml:space="preserve">Design principle:</w:t>
      </w:r>
    </w:p>
    <w:p>
      <w:r>
        <w:rPr>
          <w:rFonts w:ascii="Calibri" w:cs="Calibri" w:eastAsia="Calibri" w:hAnsi="Calibri"/>
          <w:sz w:val="22"/>
          <w:szCs w:val="22"/>
        </w:rPr>
        <w:t xml:space="preserve">Users must never need to infer why a claim is trustworthy. Trustworthiness must be structurally visible.</w:t>
      </w:r>
    </w:p>
    <w:p>
      <w:r>
        <w:t xml:space="preserve"/>
      </w:r>
    </w:p>
    <w:p>
      <w:pPr>
        <w:pStyle w:val="Heading2"/>
      </w:pPr>
      <w:r>
        <w:rPr>
          <w:rFonts w:ascii="Calibri" w:cs="Calibri" w:eastAsia="Calibri" w:hAnsi="Calibri"/>
          <w:b/>
          <w:bCs/>
          <w:color w:val="2563EB"/>
        </w:rPr>
        <w:t xml:space="preserve">3.2 Layer B — Causal Application Logic</w:t>
      </w:r>
    </w:p>
    <w:p>
      <w:r>
        <w:t xml:space="preserve"/>
      </w:r>
    </w:p>
    <w:p>
      <w:r>
        <w:rPr>
          <w:rFonts w:ascii="Calibri" w:cs="Calibri" w:eastAsia="Calibri" w:hAnsi="Calibri"/>
          <w:sz w:val="22"/>
          <w:szCs w:val="22"/>
        </w:rPr>
        <w:t xml:space="preserve">The reasoning core. All synthesis paths are mediated by causal primitives, not raw LLM completion.</w:t>
      </w:r>
    </w:p>
    <w:p>
      <w:r>
        <w:t xml:space="preserve"/>
      </w:r>
    </w:p>
    <w:p>
      <w:pPr>
        <w:pStyle w:val="Heading3"/>
      </w:pPr>
      <w:r>
        <w:rPr>
          <w:rFonts w:ascii="Calibri" w:cs="Calibri" w:eastAsia="Calibri" w:hAnsi="Calibri"/>
          <w:b/>
          <w:bCs/>
        </w:rPr>
        <w:t xml:space="preserve">Domain Classification</w:t>
      </w:r>
    </w:p>
    <w:p>
      <w:r>
        <w:rPr>
          <w:rFonts w:ascii="Calibri" w:cs="Calibri" w:eastAsia="Calibri" w:hAnsi="Calibri"/>
          <w:sz w:val="22"/>
          <w:szCs w:val="22"/>
        </w:rPr>
        <w:t xml:space="preserve">Every query is profiled against a typed domain schema before processing. The classifier injects domain-specific causal constraints, method selections, and uncertainty calibration parameters. This prevents domain-agnostic reasoning from producing structurally invalid claims.</w:t>
      </w:r>
    </w:p>
    <w:p>
      <w:r>
        <w:t xml:space="preserve"/>
      </w:r>
    </w:p>
    <w:p>
      <w:pPr>
        <w:pStyle w:val="ListParagraph"/>
        <w:numPr>
          <w:ilvl w:val="0"/>
          <w:numId w:val="3"/>
        </w:numPr>
      </w:pPr>
      <w:r>
        <w:rPr>
          <w:rFonts w:ascii="Calibri" w:cs="Calibri" w:eastAsia="Calibri" w:hAnsi="Calibri"/>
          <w:sz w:val="22"/>
          <w:szCs w:val="22"/>
        </w:rPr>
        <w:t xml:space="preserve">Source: domain-profiles.v1.json</w:t>
      </w:r>
    </w:p>
    <w:p>
      <w:pPr>
        <w:pStyle w:val="ListParagraph"/>
        <w:numPr>
          <w:ilvl w:val="0"/>
          <w:numId w:val="3"/>
        </w:numPr>
      </w:pPr>
      <w:r>
        <w:rPr>
          <w:rFonts w:ascii="Calibri" w:cs="Calibri" w:eastAsia="Calibri" w:hAnsi="Calibri"/>
          <w:sz w:val="22"/>
          <w:szCs w:val="22"/>
        </w:rPr>
        <w:t xml:space="preserve">Schema: DOMAIN_PROFILE_SCHEMA_WITH_CLASSIFIER_MAPPING.md</w:t>
      </w:r>
    </w:p>
    <w:p>
      <w:r>
        <w:t xml:space="preserve"/>
      </w:r>
    </w:p>
    <w:p>
      <w:pPr>
        <w:pStyle w:val="Heading3"/>
      </w:pPr>
      <w:r>
        <w:rPr>
          <w:rFonts w:ascii="Calibri" w:cs="Calibri" w:eastAsia="Calibri" w:hAnsi="Calibri"/>
          <w:b/>
          <w:bCs/>
        </w:rPr>
        <w:t xml:space="preserve">Synthesis Orchestration — OODA Loop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Phase</w:t>
            </w:r>
          </w:p>
        </w:tc>
        <w:tc>
          <w:tcPr>
            <w:tcW w:type="dxa" w:w="7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Function</w:t>
            </w:r>
          </w:p>
        </w:tc>
      </w:tr>
      <w:tr>
        <w:tc>
          <w:tcPr>
            <w:tcW w:type="dxa" w:w="18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Observe</w:t>
            </w:r>
          </w:p>
        </w:tc>
        <w:tc>
          <w:tcPr>
            <w:tcW w:type="dxa" w:w="75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Ingest evidence from multiple sources (documents, search, prior art)</w:t>
            </w:r>
          </w:p>
        </w:tc>
      </w:tr>
      <w:tr>
        <w:tc>
          <w:tcPr>
            <w:tcW w:type="dxa" w:w="18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Orient</w:t>
            </w:r>
          </w:p>
        </w:tc>
        <w:tc>
          <w:tcPr>
            <w:tcW w:type="dxa" w:w="75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Contextualize against prior art; apply temporal decay; classify domain</w:t>
            </w:r>
          </w:p>
        </w:tc>
      </w:tr>
      <w:tr>
        <w:tc>
          <w:tcPr>
            <w:tcW w:type="dxa" w:w="18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Decide</w:t>
            </w:r>
          </w:p>
        </w:tc>
        <w:tc>
          <w:tcPr>
            <w:tcW w:type="dxa" w:w="75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Generate hypothesis candidates; run adversarial critique</w:t>
            </w:r>
          </w:p>
        </w:tc>
      </w:tr>
      <w:tr>
        <w:tc>
          <w:tcPr>
            <w:tcW w:type="dxa" w:w="18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Act</w:t>
            </w:r>
          </w:p>
        </w:tc>
        <w:tc>
          <w:tcPr>
            <w:tcW w:type="dxa" w:w="75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Gate against novelty and falsifiability thresholds; release or recover</w:t>
            </w:r>
          </w:p>
        </w:tc>
      </w:tr>
    </w:tbl>
    <w:p>
      <w:r>
        <w:t xml:space="preserve"/>
      </w:r>
    </w:p>
    <w:p>
      <w:pPr>
        <w:pStyle w:val="Heading3"/>
      </w:pPr>
      <w:r>
        <w:rPr>
          <w:rFonts w:ascii="Calibri" w:cs="Calibri" w:eastAsia="Calibri" w:hAnsi="Calibri"/>
          <w:b/>
          <w:bCs/>
        </w:rPr>
        <w:t xml:space="preserve">Three-Agent Collaboration Model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Agent</w:t>
            </w:r>
          </w:p>
        </w:tc>
        <w:tc>
          <w:tcPr>
            <w:tcW w:type="dxa" w:w="4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Role</w:t>
            </w:r>
          </w:p>
        </w:tc>
        <w:tc>
          <w:tcPr>
            <w:tcW w:type="dxa" w:w="3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Key File</w:t>
            </w:r>
          </w:p>
        </w:tc>
      </w:tr>
      <w:tr>
        <w:tc>
          <w:tcPr>
            <w:tcW w:type="dxa" w:w="22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Methodologist</w:t>
            </w:r>
          </w:p>
        </w:tc>
        <w:tc>
          <w:tcPr>
            <w:tcW w:type="dxa" w:w="40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Principal Investigator — proposes novel hypotheses via HONG recombination</w:t>
            </w:r>
          </w:p>
        </w:tc>
        <w:tc>
          <w:tcPr>
            <w:tcW w:type="dxa" w:w="31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synthesis-engine.ts, hong-recombination.ts</w:t>
            </w:r>
          </w:p>
        </w:tc>
      </w:tr>
      <w:tr>
        <w:tc>
          <w:tcPr>
            <w:tcW w:type="dxa" w:w="22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Skeptic</w:t>
            </w:r>
          </w:p>
        </w:tc>
        <w:tc>
          <w:tcPr>
            <w:tcW w:type="dxa" w:w="40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Adversarial peer reviewer — attacks hypotheses, detects fallacies and bias</w:t>
            </w:r>
          </w:p>
        </w:tc>
        <w:tc>
          <w:tcPr>
            <w:tcW w:type="dxa" w:w="31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masa-auditor.ts</w:t>
            </w:r>
          </w:p>
        </w:tc>
      </w:tr>
      <w:tr>
        <w:tc>
          <w:tcPr>
            <w:tcW w:type="dxa" w:w="22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Architect</w:t>
            </w:r>
          </w:p>
        </w:tc>
        <w:tc>
          <w:tcPr>
            <w:tcW w:type="dxa" w:w="40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Experimental designer — produces feasible, validated protocols</w:t>
            </w:r>
          </w:p>
        </w:tc>
        <w:tc>
          <w:tcPr>
            <w:tcW w:type="dxa" w:w="31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experiment-generator.ts, protocol-validator.ts</w:t>
            </w:r>
          </w:p>
        </w:tc>
      </w:tr>
    </w:tbl>
    <w:p>
      <w:r>
        <w:t xml:space="preserve"/>
      </w:r>
    </w:p>
    <w:p>
      <w:r>
        <w:rPr>
          <w:rFonts w:ascii="Calibri" w:cs="Calibri" w:eastAsia="Calibri" w:hAnsi="Calibri"/>
          <w:sz w:val="22"/>
          <w:szCs w:val="22"/>
        </w:rPr>
        <w:t xml:space="preserve">The Skeptic agent produces a CriticalAnalysis object with a validity score (0–100), natural language critique, detected logical fallacies, and cognitive biases. No hypothesis is released without surviving Skeptic review.</w:t>
      </w:r>
    </w:p>
    <w:p>
      <w:r>
        <w:t xml:space="preserve"/>
      </w:r>
    </w:p>
    <w:p>
      <w:pPr>
        <w:pStyle w:val="Heading3"/>
      </w:pPr>
      <w:r>
        <w:rPr>
          <w:rFonts w:ascii="Calibri" w:cs="Calibri" w:eastAsia="Calibri" w:hAnsi="Calibri"/>
          <w:b/>
          <w:bCs/>
        </w:rPr>
        <w:t xml:space="preserve">Structural Causal Models</w:t>
      </w:r>
    </w:p>
    <w:p>
      <w:r>
        <w:rPr>
          <w:rFonts w:ascii="Calibri" w:cs="Calibri" w:eastAsia="Calibri" w:hAnsi="Calibri"/>
          <w:sz w:val="22"/>
          <w:szCs w:val="22"/>
        </w:rPr>
        <w:t xml:space="preserve">Domain physics is encoded as Directed Acyclic Graphs (DAGs). Nodes represent variables; edges represent causal mechanisms (not statistical correlations). The causal solver computes P(Y|do(X)) — the effect of explicit intervention — rather than P(Y|X), which is mere observation.</w:t>
      </w:r>
    </w:p>
    <w:p>
      <w:r>
        <w:t xml:space="preserve"/>
      </w:r>
    </w:p>
    <w:p>
      <w:pPr>
        <w:pStyle w:val="Heading3"/>
      </w:pPr>
      <w:r>
        <w:rPr>
          <w:rFonts w:ascii="Calibri" w:cs="Calibri" w:eastAsia="Calibri" w:hAnsi="Calibri"/>
          <w:b/>
          <w:bCs/>
        </w:rPr>
        <w:t xml:space="preserve">Hybrid Synthesis Pipeline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Stage</w:t>
            </w:r>
          </w:p>
        </w:tc>
        <w:tc>
          <w:tcPr>
            <w:tcW w:type="dxa" w:w="6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Component</w:t>
            </w:r>
          </w:p>
        </w:tc>
      </w:tr>
      <w:tr>
        <w:tc>
          <w:tcPr>
            <w:tcW w:type="dxa" w:w="24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Ingestion</w:t>
            </w:r>
          </w:p>
        </w:tc>
        <w:tc>
          <w:tcPr>
            <w:tcW w:type="dxa" w:w="69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Evidence normalization and integrity scoring</w:t>
            </w:r>
          </w:p>
        </w:tc>
      </w:tr>
      <w:tr>
        <w:tc>
          <w:tcPr>
            <w:tcW w:type="dxa" w:w="24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Contradiction Detection</w:t>
            </w:r>
          </w:p>
        </w:tc>
        <w:tc>
          <w:tcPr>
            <w:tcW w:type="dxa" w:w="69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contradiction-matrix.ts — structural conflict identification before synthesis</w:t>
            </w:r>
          </w:p>
        </w:tc>
      </w:tr>
      <w:tr>
        <w:tc>
          <w:tcPr>
            <w:tcW w:type="dxa" w:w="24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Novelty Evaluation</w:t>
            </w:r>
          </w:p>
        </w:tc>
        <w:tc>
          <w:tcPr>
            <w:tcW w:type="dxa" w:w="69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novelty-proof-engine.ts — prior art scoring with temporal decay</w:t>
            </w:r>
          </w:p>
        </w:tc>
      </w:tr>
      <w:tr>
        <w:tc>
          <w:tcPr>
            <w:tcW w:type="dxa" w:w="24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Gate Decision</w:t>
            </w:r>
          </w:p>
        </w:tc>
        <w:tc>
          <w:tcPr>
            <w:tcW w:type="dxa" w:w="69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HYBRID_NOVELTY_PROOF_V1 flag — pass / recover / block</w:t>
            </w:r>
          </w:p>
        </w:tc>
      </w:tr>
      <w:tr>
        <w:tc>
          <w:tcPr>
            <w:tcW w:type="dxa" w:w="24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Recovery</w:t>
            </w:r>
          </w:p>
        </w:tc>
        <w:tc>
          <w:tcPr>
            <w:tcW w:type="dxa" w:w="69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novelty-recovery-planner.ts — reframe hypothesis without hallucinating</w:t>
            </w:r>
          </w:p>
        </w:tc>
      </w:tr>
    </w:tbl>
    <w:p>
      <w:r>
        <w:t xml:space="preserve"/>
      </w:r>
    </w:p>
    <w:p>
      <w:pPr>
        <w:pStyle w:val="Heading2"/>
      </w:pPr>
      <w:r>
        <w:rPr>
          <w:rFonts w:ascii="Calibri" w:cs="Calibri" w:eastAsia="Calibri" w:hAnsi="Calibri"/>
          <w:b/>
          <w:bCs/>
          <w:color w:val="2563EB"/>
        </w:rPr>
        <w:t xml:space="preserve">3.3 Layer C — Governance and Scientific Integrity</w:t>
      </w:r>
    </w:p>
    <w:p>
      <w:r>
        <w:t xml:space="preserve"/>
      </w:r>
    </w:p>
    <w:p>
      <w:r>
        <w:rPr>
          <w:rFonts w:ascii="Calibri" w:cs="Calibri" w:eastAsia="Calibri" w:hAnsi="Calibri"/>
          <w:sz w:val="22"/>
          <w:szCs w:val="22"/>
        </w:rPr>
        <w:t xml:space="preserve">The enforcement layer. This is the structural differentiator of MASA from agent-with-tools systems. Governance contracts are typed, versioned, CI-enforced, and promote through a report-first → controlled enforce → full enforce ladder before becoming blocking gates.</w:t>
      </w:r>
    </w:p>
    <w:p>
      <w:r>
        <w:t xml:space="preserve"/>
      </w:r>
    </w:p>
    <w:p>
      <w:pPr>
        <w:pStyle w:val="Heading3"/>
      </w:pPr>
      <w:r>
        <w:rPr>
          <w:rFonts w:ascii="Calibri" w:cs="Calibri" w:eastAsia="Calibri" w:hAnsi="Calibri"/>
          <w:b/>
          <w:bCs/>
        </w:rPr>
        <w:t xml:space="preserve">Governance Specification Standard</w:t>
      </w:r>
    </w:p>
    <w:p>
      <w:r>
        <w:rPr>
          <w:rFonts w:ascii="Calibri" w:cs="Calibri" w:eastAsia="Calibri" w:hAnsi="Calibri"/>
          <w:sz w:val="22"/>
          <w:szCs w:val="22"/>
        </w:rPr>
        <w:t xml:space="preserve">All governance specs follow a 19-section standard format covering: Executive Summary, Goals, Non-Goals, Current-State Baseline, Interface Contract, Catalog/Taxonomy, Decision Rules, Eligibility/Disqualifiers, Output Contract, Confidence Gates, Benchmark Contract, Runner/Artifact Contract, CI Workflow, Promotion Governance, Overrides, API Updates, Test Plan, Acceptance Criteria, and Critical Gaps.</w:t>
      </w:r>
    </w:p>
    <w:p>
      <w:r>
        <w:t xml:space="preserve"/>
      </w:r>
    </w:p>
    <w:p>
      <w:pPr>
        <w:pStyle w:val="Heading3"/>
      </w:pPr>
      <w:r>
        <w:rPr>
          <w:rFonts w:ascii="Calibri" w:cs="Calibri" w:eastAsia="Calibri" w:hAnsi="Calibri"/>
          <w:b/>
          <w:bCs/>
        </w:rPr>
        <w:t xml:space="preserve">Active Governance Specifications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160"/>
        <w:gridCol w:w="2600"/>
      </w:tblGrid>
      <w:tr>
        <w:trPr>
          <w:tblHeader/>
        </w:trPr>
        <w:tc>
          <w:tcPr>
            <w:tcW w:type="dxa" w:w="3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Spec</w:t>
            </w:r>
          </w:p>
        </w:tc>
        <w:tc>
          <w:tcPr>
            <w:tcW w:type="dxa" w:w="3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Domain</w:t>
            </w:r>
          </w:p>
        </w:tc>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Status</w:t>
            </w:r>
          </w:p>
        </w:tc>
      </w:tr>
      <w:tr>
        <w:tc>
          <w:tcPr>
            <w:tcW w:type="dxa" w:w="36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POLICY_EVALUATION_SPEC.md</w:t>
            </w:r>
          </w:p>
        </w:tc>
        <w:tc>
          <w:tcPr>
            <w:tcW w:type="dxa" w:w="31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Experiment policy evaluation and promotion</w:t>
            </w:r>
          </w:p>
        </w:tc>
        <w:tc>
          <w:tcPr>
            <w:tcW w:type="dxa" w:w="26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Implementation-ready (S1)</w:t>
            </w:r>
          </w:p>
        </w:tc>
      </w:tr>
      <w:tr>
        <w:tc>
          <w:tcPr>
            <w:tcW w:type="dxa" w:w="36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CAUSAL_METHOD_SELECTION_POLICY.md</w:t>
            </w:r>
          </w:p>
        </w:tc>
        <w:tc>
          <w:tcPr>
            <w:tcW w:type="dxa" w:w="31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Causal method routing</w:t>
            </w:r>
          </w:p>
        </w:tc>
        <w:tc>
          <w:tcPr>
            <w:tcW w:type="dxa" w:w="26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Implementation-ready (S1)</w:t>
            </w:r>
          </w:p>
        </w:tc>
      </w:tr>
      <w:tr>
        <w:tc>
          <w:tcPr>
            <w:tcW w:type="dxa" w:w="36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UNCERTAINTY_CALIBRATION_GATES.md</w:t>
            </w:r>
          </w:p>
        </w:tc>
        <w:tc>
          <w:tcPr>
            <w:tcW w:type="dxa" w:w="31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Confidence and uncertainty gating</w:t>
            </w:r>
          </w:p>
        </w:tc>
        <w:tc>
          <w:tcPr>
            <w:tcW w:type="dxa" w:w="26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Implementation-ready (S1)</w:t>
            </w:r>
          </w:p>
        </w:tc>
      </w:tr>
      <w:tr>
        <w:tc>
          <w:tcPr>
            <w:tcW w:type="dxa" w:w="36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LAW_DISCOVERY_FALSIFICATION_PROTOCOL.md</w:t>
            </w:r>
          </w:p>
        </w:tc>
        <w:tc>
          <w:tcPr>
            <w:tcW w:type="dxa" w:w="31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Law-candidate lifecycle and falsification</w:t>
            </w:r>
          </w:p>
        </w:tc>
        <w:tc>
          <w:tcPr>
            <w:tcW w:type="dxa" w:w="26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Implementation-ready (S1)</w:t>
            </w:r>
          </w:p>
        </w:tc>
      </w:tr>
    </w:tbl>
    <w:p>
      <w:r>
        <w:t xml:space="preserve"/>
      </w:r>
    </w:p>
    <w:p>
      <w:pPr>
        <w:pStyle w:val="Heading3"/>
      </w:pPr>
      <w:r>
        <w:rPr>
          <w:rFonts w:ascii="Calibri" w:cs="Calibri" w:eastAsia="Calibri" w:hAnsi="Calibri"/>
          <w:b/>
          <w:bCs/>
        </w:rPr>
        <w:t xml:space="preserve">CI Sentinel Architecture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Sentinel</w:t>
            </w:r>
          </w:p>
        </w:tc>
        <w:tc>
          <w:tcPr>
            <w:tcW w:type="dxa" w:w="3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Function</w:t>
            </w:r>
          </w:p>
        </w:tc>
        <w:tc>
          <w:tcPr>
            <w:tcW w:type="dxa" w:w="2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Current Mode</w:t>
            </w:r>
          </w:p>
        </w:tc>
      </w:tr>
      <w:tr>
        <w:tc>
          <w:tcPr>
            <w:tcW w:type="dxa" w:w="32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claim-drift-sentinel.yml</w:t>
            </w:r>
          </w:p>
        </w:tc>
        <w:tc>
          <w:tcPr>
            <w:tcW w:type="dxa" w:w="34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Detects when claims migrate from their causal evidence base</w:t>
            </w:r>
          </w:p>
        </w:tc>
        <w:tc>
          <w:tcPr>
            <w:tcW w:type="dxa" w:w="27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Report-first</w:t>
            </w:r>
          </w:p>
        </w:tc>
      </w:tr>
      <w:tr>
        <w:tc>
          <w:tcPr>
            <w:tcW w:type="dxa" w:w="32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hybrid-novelty-proof-sentinel.yml</w:t>
            </w:r>
          </w:p>
        </w:tc>
        <w:tc>
          <w:tcPr>
            <w:tcW w:type="dxa" w:w="34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Enforces novelty gate integrity across synthesis runs</w:t>
            </w:r>
          </w:p>
        </w:tc>
        <w:tc>
          <w:tcPr>
            <w:tcW w:type="dxa" w:w="27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Report-first</w:t>
            </w:r>
          </w:p>
        </w:tc>
      </w:tr>
      <w:tr>
        <w:tc>
          <w:tcPr>
            <w:tcW w:type="dxa" w:w="32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persistent-memory-sentinel.yml</w:t>
            </w:r>
          </w:p>
        </w:tc>
        <w:tc>
          <w:tcPr>
            <w:tcW w:type="dxa" w:w="34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Validates causal lattice coherence across sessions</w:t>
            </w:r>
          </w:p>
        </w:tc>
        <w:tc>
          <w:tcPr>
            <w:tcW w:type="dxa" w:w="27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Report-first</w:t>
            </w:r>
          </w:p>
        </w:tc>
      </w:tr>
      <w:tr>
        <w:tc>
          <w:tcPr>
            <w:tcW w:type="dxa" w:w="32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m6-health-check.yml</w:t>
            </w:r>
          </w:p>
        </w:tc>
        <w:tc>
          <w:tcPr>
            <w:tcW w:type="dxa" w:w="34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Milestone-level governance health monitoring</w:t>
            </w:r>
          </w:p>
        </w:tc>
        <w:tc>
          <w:tcPr>
            <w:tcW w:type="dxa" w:w="27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r>
    </w:tbl>
    <w:p>
      <w:r>
        <w:t xml:space="preserve"/>
      </w:r>
    </w:p>
    <w:p>
      <w:pPr>
        <w:pStyle w:val="Heading2"/>
      </w:pPr>
      <w:r>
        <w:rPr>
          <w:rFonts w:ascii="Calibri" w:cs="Calibri" w:eastAsia="Calibri" w:hAnsi="Calibri"/>
          <w:b/>
          <w:bCs/>
          <w:color w:val="2563EB"/>
        </w:rPr>
        <w:t xml:space="preserve">3.4 Layer D — Truth Store / Persistence</w:t>
      </w:r>
    </w:p>
    <w:p>
      <w:r>
        <w:t xml:space="preserve"/>
      </w:r>
    </w:p>
    <w:p>
      <w:r>
        <w:rPr>
          <w:rFonts w:ascii="Calibri" w:cs="Calibri" w:eastAsia="Calibri" w:hAnsi="Calibri"/>
          <w:sz w:val="22"/>
          <w:szCs w:val="22"/>
        </w:rPr>
        <w:t xml:space="preserve">The memory substrate. Supabase + PostgreSQL with migration-led schema evolution. The critical design choice is that memory is not naive transcript storage — the compaction model extracts causal axioms and preserves them while pruning low-signal context.</w:t>
      </w:r>
    </w:p>
    <w:p>
      <w:r>
        <w:t xml:space="preserve"/>
      </w:r>
    </w:p>
    <w:p>
      <w:pPr>
        <w:pStyle w:val="Heading3"/>
      </w:pPr>
      <w:r>
        <w:rPr>
          <w:rFonts w:ascii="Calibri" w:cs="Calibri" w:eastAsia="Calibri" w:hAnsi="Calibri"/>
          <w:b/>
          <w:bCs/>
        </w:rPr>
        <w:t xml:space="preserve">MASA Persistent Memory Components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Component</w:t>
            </w:r>
          </w:p>
        </w:tc>
        <w:tc>
          <w:tcPr>
            <w:tcW w:type="dxa" w:w="3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Function</w:t>
            </w:r>
          </w:p>
        </w:tc>
        <w:tc>
          <w:tcPr>
            <w:tcW w:type="dxa" w:w="2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Feature Flag</w:t>
            </w:r>
          </w:p>
        </w:tc>
      </w:tr>
      <w:tr>
        <w:tc>
          <w:tcPr>
            <w:tcW w:type="dxa" w:w="28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Causal Pruning Policy</w:t>
            </w:r>
          </w:p>
        </w:tc>
        <w:tc>
          <w:tcPr>
            <w:tcW w:type="dxa" w:w="36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Cache-TTL-aware prompt assembly — removes low-causal-weight context, not transcripts</w:t>
            </w:r>
          </w:p>
        </w:tc>
        <w:tc>
          <w:tcPr>
            <w:tcW w:type="dxa" w:w="29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MASA_CAUSAL_PRUNING_V1</w:t>
            </w:r>
          </w:p>
        </w:tc>
      </w:tr>
      <w:tr>
        <w:tc>
          <w:tcPr>
            <w:tcW w:type="dxa" w:w="28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Compaction Orchestrator</w:t>
            </w:r>
          </w:p>
        </w:tc>
        <w:tc>
          <w:tcPr>
            <w:tcW w:type="dxa" w:w="36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Axiom-first compaction with fallback receipt semantics</w:t>
            </w:r>
          </w:p>
        </w:tc>
        <w:tc>
          <w:tcPr>
            <w:tcW w:type="dxa" w:w="29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MASA_COMPACTION_AXIOM_V1</w:t>
            </w:r>
          </w:p>
        </w:tc>
      </w:tr>
      <w:tr>
        <w:tc>
          <w:tcPr>
            <w:tcW w:type="dxa" w:w="28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Memory Retrieval Fusion</w:t>
            </w:r>
          </w:p>
        </w:tc>
        <w:tc>
          <w:tcPr>
            <w:tcW w:type="dxa" w:w="36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Hybrid vector + lexical + causal priority retrieval (RRF)</w:t>
            </w:r>
          </w:p>
        </w:tc>
        <w:tc>
          <w:tcPr>
            <w:tcW w:type="dxa" w:w="29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MASA_MEMORY_FUSION_V1 / MASA_MEMORY_RRF_V1</w:t>
            </w:r>
          </w:p>
        </w:tc>
      </w:tr>
      <w:tr>
        <w:tc>
          <w:tcPr>
            <w:tcW w:type="dxa" w:w="28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Causal Lattice</w:t>
            </w:r>
          </w:p>
        </w:tc>
        <w:tc>
          <w:tcPr>
            <w:tcW w:type="dxa" w:w="36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Cross-session causal graph broadcast (policy-gated)</w:t>
            </w:r>
          </w:p>
        </w:tc>
        <w:tc>
          <w:tcPr>
            <w:tcW w:type="dxa" w:w="29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MASA_CAUSAL_LATTICE_V1</w:t>
            </w:r>
          </w:p>
        </w:tc>
      </w:tr>
    </w:tbl>
    <w:p>
      <w:r>
        <w:t xml:space="preserve"/>
      </w:r>
    </w:p>
    <w:p>
      <w:pPr>
        <w:pStyle w:val="Heading3"/>
      </w:pPr>
      <w:r>
        <w:rPr>
          <w:rFonts w:ascii="Calibri" w:cs="Calibri" w:eastAsia="Calibri" w:hAnsi="Calibri"/>
          <w:b/>
          <w:bCs/>
        </w:rPr>
        <w:t xml:space="preserve">SSE Events — Persistence Layer</w:t>
      </w:r>
    </w:p>
    <w:p>
      <w:r>
        <w:t xml:space="preserve"/>
      </w:r>
    </w:p>
    <w:p>
      <w:pPr>
        <w:pStyle w:val="ListParagraph"/>
        <w:numPr>
          <w:ilvl w:val="0"/>
          <w:numId w:val="3"/>
        </w:numPr>
      </w:pPr>
      <w:r>
        <w:rPr>
          <w:rFonts w:ascii="Calibri" w:cs="Calibri" w:eastAsia="Calibri" w:hAnsi="Calibri"/>
          <w:sz w:val="22"/>
          <w:szCs w:val="22"/>
        </w:rPr>
        <w:t xml:space="preserve">causal_pruning_started / causal_pruning_completed</w:t>
      </w:r>
    </w:p>
    <w:p>
      <w:pPr>
        <w:pStyle w:val="ListParagraph"/>
        <w:numPr>
          <w:ilvl w:val="0"/>
          <w:numId w:val="3"/>
        </w:numPr>
      </w:pPr>
      <w:r>
        <w:rPr>
          <w:rFonts w:ascii="Calibri" w:cs="Calibri" w:eastAsia="Calibri" w:hAnsi="Calibri"/>
          <w:sz w:val="22"/>
          <w:szCs w:val="22"/>
        </w:rPr>
        <w:t xml:space="preserve">compaction_window_opened / axiom_extraction_completed</w:t>
      </w:r>
    </w:p>
    <w:p>
      <w:pPr>
        <w:pStyle w:val="ListParagraph"/>
        <w:numPr>
          <w:ilvl w:val="0"/>
          <w:numId w:val="3"/>
        </w:numPr>
      </w:pPr>
      <w:r>
        <w:rPr>
          <w:rFonts w:ascii="Calibri" w:cs="Calibri" w:eastAsia="Calibri" w:hAnsi="Calibri"/>
          <w:sz w:val="22"/>
          <w:szCs w:val="22"/>
        </w:rPr>
        <w:t xml:space="preserve">compaction_receipt_written / compaction_summary_fallback</w:t>
      </w:r>
    </w:p>
    <w:p>
      <w:pPr>
        <w:pStyle w:val="ListParagraph"/>
        <w:numPr>
          <w:ilvl w:val="0"/>
          <w:numId w:val="3"/>
        </w:numPr>
      </w:pPr>
      <w:r>
        <w:rPr>
          <w:rFonts w:ascii="Calibri" w:cs="Calibri" w:eastAsia="Calibri" w:hAnsi="Calibri"/>
          <w:sz w:val="22"/>
          <w:szCs w:val="22"/>
        </w:rPr>
        <w:t xml:space="preserve">retrieval_fusion_debug</w:t>
      </w:r>
    </w:p>
    <w:p>
      <w:pPr>
        <w:pStyle w:val="ListParagraph"/>
        <w:numPr>
          <w:ilvl w:val="0"/>
          <w:numId w:val="3"/>
        </w:numPr>
      </w:pPr>
      <w:r>
        <w:rPr>
          <w:rFonts w:ascii="Calibri" w:cs="Calibri" w:eastAsia="Calibri" w:hAnsi="Calibri"/>
          <w:sz w:val="22"/>
          <w:szCs w:val="22"/>
        </w:rPr>
        <w:t xml:space="preserve">lattice_broadcast_started / lattice_broadcast_applied / lattice_broadcast_rejected</w:t>
      </w:r>
    </w:p>
    <w:p>
      <w:r>
        <w:t xml:space="preserve"/>
      </w:r>
    </w:p>
    <w:p>
      <w:r>
        <w:br w:type="page"/>
      </w:r>
    </w:p>
    <w:p>
      <w:pPr>
        <w:pStyle w:val="Heading1"/>
      </w:pPr>
      <w:r>
        <w:rPr>
          <w:rFonts w:ascii="Calibri" w:cs="Calibri" w:eastAsia="Calibri" w:hAnsi="Calibri"/>
          <w:b/>
          <w:bCs/>
          <w:color w:val="1E3A5F"/>
        </w:rPr>
        <w:t xml:space="preserve">4. API Surface</w:t>
      </w:r>
    </w:p>
    <w:p>
      <w:pPr>
        <w:pBdr>
          <w:bottom w:val="single" w:color="2563EB" w:sz="6"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Route</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Method</w:t>
            </w:r>
          </w:p>
        </w:tc>
        <w:tc>
          <w:tcPr>
            <w:tcW w:type="dxa" w:w="4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tcW w:type="dxa" w:w="32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/api/causal-chat</w:t>
            </w:r>
          </w:p>
        </w:tc>
        <w:tc>
          <w:tcPr>
            <w:tcW w:type="dxa" w:w="14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POST (SSE)</w:t>
            </w:r>
          </w:p>
        </w:tc>
        <w:tc>
          <w:tcPr>
            <w:tcW w:type="dxa" w:w="47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Causal dialogue with grounding and evidence rail emission</w:t>
            </w:r>
          </w:p>
        </w:tc>
      </w:tr>
      <w:tr>
        <w:tc>
          <w:tcPr>
            <w:tcW w:type="dxa" w:w="32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/api/causal-chat/history</w:t>
            </w:r>
          </w:p>
        </w:tc>
        <w:tc>
          <w:tcPr>
            <w:tcW w:type="dxa" w:w="14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GET</w:t>
            </w:r>
          </w:p>
        </w:tc>
        <w:tc>
          <w:tcPr>
            <w:tcW w:type="dxa" w:w="47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Session history retrieval</w:t>
            </w:r>
          </w:p>
        </w:tc>
      </w:tr>
      <w:tr>
        <w:tc>
          <w:tcPr>
            <w:tcW w:type="dxa" w:w="32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/api/causal-chat/adopt-legacy</w:t>
            </w:r>
          </w:p>
        </w:tc>
        <w:tc>
          <w:tcPr>
            <w:tcW w:type="dxa" w:w="14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POST</w:t>
            </w:r>
          </w:p>
        </w:tc>
        <w:tc>
          <w:tcPr>
            <w:tcW w:type="dxa" w:w="47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Migrate local history to authenticated cloud session</w:t>
            </w:r>
          </w:p>
        </w:tc>
      </w:tr>
      <w:tr>
        <w:tc>
          <w:tcPr>
            <w:tcW w:type="dxa" w:w="32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/api/hybrid-synthesize</w:t>
            </w:r>
          </w:p>
        </w:tc>
        <w:tc>
          <w:tcPr>
            <w:tcW w:type="dxa" w:w="14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POST (SSE)</w:t>
            </w:r>
          </w:p>
        </w:tc>
        <w:tc>
          <w:tcPr>
            <w:tcW w:type="dxa" w:w="47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Contradiction-driven synthesis with novelty gating</w:t>
            </w:r>
          </w:p>
        </w:tc>
      </w:tr>
      <w:tr>
        <w:tc>
          <w:tcPr>
            <w:tcW w:type="dxa" w:w="32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/api/synthesis-history</w:t>
            </w:r>
          </w:p>
        </w:tc>
        <w:tc>
          <w:tcPr>
            <w:tcW w:type="dxa" w:w="14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GET</w:t>
            </w:r>
          </w:p>
        </w:tc>
        <w:tc>
          <w:tcPr>
            <w:tcW w:type="dxa" w:w="47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Synthesis run history</w:t>
            </w:r>
          </w:p>
        </w:tc>
      </w:tr>
      <w:tr>
        <w:tc>
          <w:tcPr>
            <w:tcW w:type="dxa" w:w="32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/api/legal-reasoning</w:t>
            </w:r>
          </w:p>
        </w:tc>
        <w:tc>
          <w:tcPr>
            <w:tcW w:type="dxa" w:w="14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POST</w:t>
            </w:r>
          </w:p>
        </w:tc>
        <w:tc>
          <w:tcPr>
            <w:tcW w:type="dxa" w:w="47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Structural causation analysis for legal cases</w:t>
            </w:r>
          </w:p>
        </w:tc>
      </w:tr>
      <w:tr>
        <w:tc>
          <w:tcPr>
            <w:tcW w:type="dxa" w:w="32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/api/scm/*</w:t>
            </w:r>
          </w:p>
        </w:tc>
        <w:tc>
          <w:tcPr>
            <w:tcW w:type="dxa" w:w="14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Various</w:t>
            </w:r>
          </w:p>
        </w:tc>
        <w:tc>
          <w:tcPr>
            <w:tcW w:type="dxa" w:w="47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Structural Causal Model registry — promote, version, validate</w:t>
            </w:r>
          </w:p>
        </w:tc>
      </w:tr>
      <w:tr>
        <w:tc>
          <w:tcPr>
            <w:tcW w:type="dxa" w:w="32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/api/history/import</w:t>
            </w:r>
          </w:p>
        </w:tc>
        <w:tc>
          <w:tcPr>
            <w:tcW w:type="dxa" w:w="14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POST</w:t>
            </w:r>
          </w:p>
        </w:tc>
        <w:tc>
          <w:tcPr>
            <w:tcW w:type="dxa" w:w="47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Bulk history import for post-auth continuity</w:t>
            </w:r>
          </w:p>
        </w:tc>
      </w:tr>
      <w:tr>
        <w:tc>
          <w:tcPr>
            <w:tcW w:type="dxa" w:w="32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Education routes</w:t>
            </w:r>
          </w:p>
        </w:tc>
        <w:tc>
          <w:tcPr>
            <w:tcW w:type="dxa" w:w="14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Various</w:t>
            </w:r>
          </w:p>
        </w:tc>
        <w:tc>
          <w:tcPr>
            <w:tcW w:type="dxa" w:w="47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Analysis, intervention optimization, plans, apprenticeship</w:t>
            </w:r>
          </w:p>
        </w:tc>
      </w:tr>
      <w:tr>
        <w:tc>
          <w:tcPr>
            <w:tcW w:type="dxa" w:w="32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OpenClaw routes</w:t>
            </w:r>
          </w:p>
        </w:tc>
        <w:tc>
          <w:tcPr>
            <w:tcW w:type="dxa" w:w="14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Various</w:t>
            </w:r>
          </w:p>
        </w:tc>
        <w:tc>
          <w:tcPr>
            <w:tcW w:type="dxa" w:w="47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Status, search, test — external data pipeline endpoints</w:t>
            </w:r>
          </w:p>
        </w:tc>
      </w:tr>
    </w:tbl>
    <w:p>
      <w:r>
        <w:t xml:space="preserve"/>
      </w:r>
    </w:p>
    <w:p>
      <w:pPr>
        <w:pStyle w:val="Heading2"/>
      </w:pPr>
      <w:r>
        <w:rPr>
          <w:rFonts w:ascii="Calibri" w:cs="Calibri" w:eastAsia="Calibri" w:hAnsi="Calibri"/>
          <w:b/>
          <w:bCs/>
          <w:color w:val="2563EB"/>
        </w:rPr>
        <w:t xml:space="preserve">4.1 Chat Grounding Pipeline</w:t>
      </w:r>
    </w:p>
    <w:p>
      <w:r>
        <w:t xml:space="preserve"/>
      </w:r>
    </w:p>
    <w:p>
      <w:r>
        <w:rPr>
          <w:rFonts w:ascii="Calibri" w:cs="Calibri" w:eastAsia="Calibri" w:hAnsi="Calibri"/>
          <w:sz w:val="22"/>
          <w:szCs w:val="22"/>
        </w:rPr>
        <w:t xml:space="preserve">The Chat route implements an anti-hallucination layer on top of causal reasoning. Factual and entity-referencing prompts are intercepted by a trigger classifier and routed through Serper-backed web grounding before response generation.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SSE Event</w:t>
            </w:r>
          </w:p>
        </w:tc>
        <w:tc>
          <w:tcPr>
            <w:tcW w:type="dxa" w:w="6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Meaning</w:t>
            </w:r>
          </w:p>
        </w:tc>
      </w:tr>
      <w:tr>
        <w:tc>
          <w:tcPr>
            <w:tcW w:type="dxa" w:w="32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fact_trigger_evaluated</w:t>
            </w:r>
          </w:p>
        </w:tc>
        <w:tc>
          <w:tcPr>
            <w:tcW w:type="dxa" w:w="61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Classifier decision on whether to ground this prompt</w:t>
            </w:r>
          </w:p>
        </w:tc>
      </w:tr>
      <w:tr>
        <w:tc>
          <w:tcPr>
            <w:tcW w:type="dxa" w:w="32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web_grounding_started</w:t>
            </w:r>
          </w:p>
        </w:tc>
        <w:tc>
          <w:tcPr>
            <w:tcW w:type="dxa" w:w="61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Serper query initiated</w:t>
            </w:r>
          </w:p>
        </w:tc>
      </w:tr>
      <w:tr>
        <w:tc>
          <w:tcPr>
            <w:tcW w:type="dxa" w:w="32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web_grounding_completed</w:t>
            </w:r>
          </w:p>
        </w:tc>
        <w:tc>
          <w:tcPr>
            <w:tcW w:type="dxa" w:w="61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Sources retrieved — citations available</w:t>
            </w:r>
          </w:p>
        </w:tc>
      </w:tr>
      <w:tr>
        <w:tc>
          <w:tcPr>
            <w:tcW w:type="dxa" w:w="32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web_grounding_failed</w:t>
            </w:r>
          </w:p>
        </w:tc>
        <w:tc>
          <w:tcPr>
            <w:tcW w:type="dxa" w:w="61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Grounding unavailable — fallback to uncertainty response</w:t>
            </w:r>
          </w:p>
        </w:tc>
      </w:tr>
      <w:tr>
        <w:tc>
          <w:tcPr>
            <w:tcW w:type="dxa" w:w="32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factual_confidence_assessed</w:t>
            </w:r>
          </w:p>
        </w:tc>
        <w:tc>
          <w:tcPr>
            <w:tcW w:type="dxa" w:w="61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Final confidence score after grounding evaluation</w:t>
            </w:r>
          </w:p>
        </w:tc>
      </w:tr>
    </w:tbl>
    <w:p>
      <w:r>
        <w:t xml:space="preserve"/>
      </w:r>
    </w:p>
    <w:p>
      <w:r>
        <w:br w:type="page"/>
      </w:r>
    </w:p>
    <w:p>
      <w:pPr>
        <w:pStyle w:val="Heading1"/>
      </w:pPr>
      <w:r>
        <w:rPr>
          <w:rFonts w:ascii="Calibri" w:cs="Calibri" w:eastAsia="Calibri" w:hAnsi="Calibri"/>
          <w:b/>
          <w:bCs/>
          <w:color w:val="1E3A5F"/>
        </w:rPr>
        <w:t xml:space="preserve">5. Governance — Deep Dive</w:t>
      </w:r>
    </w:p>
    <w:p>
      <w:pPr>
        <w:pBdr>
          <w:bottom w:val="single" w:color="2563EB" w:sz="6" w:space="1"/>
        </w:pBdr>
      </w:pPr>
      <w:r>
        <w:t xml:space="preserve"/>
      </w:r>
    </w:p>
    <w:p>
      <w:r>
        <w:t xml:space="preserve"/>
      </w:r>
    </w:p>
    <w:p>
      <w:pPr>
        <w:pStyle w:val="Heading2"/>
      </w:pPr>
      <w:r>
        <w:rPr>
          <w:rFonts w:ascii="Calibri" w:cs="Calibri" w:eastAsia="Calibri" w:hAnsi="Calibri"/>
          <w:b/>
          <w:bCs/>
          <w:color w:val="2563EB"/>
        </w:rPr>
        <w:t xml:space="preserve">5.1 Promotion Ladder</w:t>
      </w:r>
    </w:p>
    <w:p>
      <w:r>
        <w:t xml:space="preserve"/>
      </w:r>
    </w:p>
    <w:p>
      <w:r>
        <w:rPr>
          <w:rFonts w:ascii="Calibri" w:cs="Calibri" w:eastAsia="Calibri" w:hAnsi="Calibri"/>
          <w:sz w:val="22"/>
          <w:szCs w:val="22"/>
        </w:rPr>
        <w:t xml:space="preserve">All governance enforcement streams follow a three-phase promotion ladder before becoming blocking gates:</w:t>
      </w:r>
    </w:p>
    <w:p>
      <w:r>
        <w:t xml:space="preserve"/>
      </w:r>
    </w:p>
    <w:p>
      <w:pPr>
        <w:pStyle w:val="ListParagraph"/>
        <w:numPr>
          <w:ilvl w:val="0"/>
          <w:numId w:val="2"/>
        </w:numPr>
      </w:pPr>
      <w:r>
        <w:rPr>
          <w:rFonts w:ascii="Calibri" w:cs="Calibri" w:eastAsia="Calibri" w:hAnsi="Calibri"/>
          <w:sz w:val="22"/>
          <w:szCs w:val="22"/>
        </w:rPr>
        <w:t xml:space="preserve">Report-first — stream produces diagnostic output only; CI does not block</w:t>
      </w:r>
    </w:p>
    <w:p>
      <w:pPr>
        <w:pStyle w:val="ListParagraph"/>
        <w:numPr>
          <w:ilvl w:val="0"/>
          <w:numId w:val="2"/>
        </w:numPr>
      </w:pPr>
      <w:r>
        <w:rPr>
          <w:rFonts w:ascii="Calibri" w:cs="Calibri" w:eastAsia="Calibri" w:hAnsi="Calibri"/>
          <w:sz w:val="22"/>
          <w:szCs w:val="22"/>
        </w:rPr>
        <w:t xml:space="preserve">Controlled enforce — stream blocks on high-confidence violations; threshold calibration active</w:t>
      </w:r>
    </w:p>
    <w:p>
      <w:pPr>
        <w:pStyle w:val="ListParagraph"/>
        <w:numPr>
          <w:ilvl w:val="0"/>
          <w:numId w:val="2"/>
        </w:numPr>
      </w:pPr>
      <w:r>
        <w:rPr>
          <w:rFonts w:ascii="Calibri" w:cs="Calibri" w:eastAsia="Calibri" w:hAnsi="Calibri"/>
          <w:sz w:val="22"/>
          <w:szCs w:val="22"/>
        </w:rPr>
        <w:t xml:space="preserve">Full enforce — stream is fully blocking; violations prevent merge/deploy</w:t>
      </w:r>
    </w:p>
    <w:p>
      <w:r>
        <w:t xml:space="preserve"/>
      </w:r>
    </w:p>
    <w:p>
      <w:r>
        <w:rPr>
          <w:rFonts w:ascii="Calibri" w:cs="Calibri" w:eastAsia="Calibri" w:hAnsi="Calibri"/>
          <w:sz w:val="22"/>
          <w:szCs w:val="22"/>
        </w:rPr>
        <w:t xml:space="preserve">This model prevents governance from blocking development velocity during initial calibration while ensuring deterministic enforcement once thresholds are validated.</w:t>
      </w:r>
    </w:p>
    <w:p>
      <w:r>
        <w:t xml:space="preserve"/>
      </w:r>
    </w:p>
    <w:p>
      <w:pPr>
        <w:pStyle w:val="Heading2"/>
      </w:pPr>
      <w:r>
        <w:rPr>
          <w:rFonts w:ascii="Calibri" w:cs="Calibri" w:eastAsia="Calibri" w:hAnsi="Calibri"/>
          <w:b/>
          <w:bCs/>
          <w:color w:val="2563EB"/>
        </w:rPr>
        <w:t xml:space="preserve">5.2 Claim Drift</w:t>
      </w:r>
    </w:p>
    <w:p>
      <w:r>
        <w:t xml:space="preserve"/>
      </w:r>
    </w:p>
    <w:p>
      <w:r>
        <w:rPr>
          <w:rFonts w:ascii="Calibri" w:cs="Calibri" w:eastAsia="Calibri" w:hAnsi="Calibri"/>
          <w:sz w:val="22"/>
          <w:szCs w:val="22"/>
        </w:rPr>
        <w:t xml:space="preserve">Claim drift occurs when a generated claim migrates semantically from its causal evidence base through successive iterations, edits, or model refinements. The drift sentinel monitors causal distance between claims and their source evidence, flagging degradation before it reaches users.</w:t>
      </w:r>
    </w:p>
    <w:p>
      <w:r>
        <w:t xml:space="preserve"/>
      </w:r>
    </w:p>
    <w:p>
      <w:pPr>
        <w:pStyle w:val="Heading2"/>
      </w:pPr>
      <w:r>
        <w:rPr>
          <w:rFonts w:ascii="Calibri" w:cs="Calibri" w:eastAsia="Calibri" w:hAnsi="Calibri"/>
          <w:b/>
          <w:bCs/>
          <w:color w:val="2563EB"/>
        </w:rPr>
        <w:t xml:space="preserve">5.3 Novelty Proof Pipeline</w:t>
      </w:r>
    </w:p>
    <w:p>
      <w:r>
        <w:t xml:space="preserve"/>
      </w:r>
    </w:p>
    <w:p>
      <w:r>
        <w:rPr>
          <w:rFonts w:ascii="Calibri" w:cs="Calibri" w:eastAsia="Calibri" w:hAnsi="Calibri"/>
          <w:sz w:val="22"/>
          <w:szCs w:val="22"/>
        </w:rPr>
        <w:t xml:space="preserve">Every hypothesis generated by the synthesis engine must pass a novelty gate before release. The gate evaluates:</w:t>
      </w:r>
    </w:p>
    <w:p>
      <w:r>
        <w:t xml:space="preserve"/>
      </w:r>
    </w:p>
    <w:p>
      <w:pPr>
        <w:pStyle w:val="ListParagraph"/>
        <w:numPr>
          <w:ilvl w:val="0"/>
          <w:numId w:val="3"/>
        </w:numPr>
      </w:pPr>
      <w:r>
        <w:rPr>
          <w:rFonts w:ascii="Calibri" w:cs="Calibri" w:eastAsia="Calibri" w:hAnsi="Calibri"/>
          <w:sz w:val="22"/>
          <w:szCs w:val="22"/>
        </w:rPr>
        <w:t xml:space="preserve">Similarity to prior art (Serper/ArXiv/PubMed-backed retrieval)</w:t>
      </w:r>
    </w:p>
    <w:p>
      <w:pPr>
        <w:pStyle w:val="ListParagraph"/>
        <w:numPr>
          <w:ilvl w:val="0"/>
          <w:numId w:val="3"/>
        </w:numPr>
      </w:pPr>
      <w:r>
        <w:rPr>
          <w:rFonts w:ascii="Calibri" w:cs="Calibri" w:eastAsia="Calibri" w:hAnsi="Calibri"/>
          <w:sz w:val="22"/>
          <w:szCs w:val="22"/>
        </w:rPr>
        <w:t xml:space="preserve">Temporal decay applied to older prior art (exponential decay: adjustedSimilarity = originalSimilarity × exp(−λ × age))</w:t>
      </w:r>
    </w:p>
    <w:p>
      <w:pPr>
        <w:pStyle w:val="ListParagraph"/>
        <w:numPr>
          <w:ilvl w:val="0"/>
          <w:numId w:val="3"/>
        </w:numPr>
      </w:pPr>
      <w:r>
        <w:rPr>
          <w:rFonts w:ascii="Calibri" w:cs="Calibri" w:eastAsia="Calibri" w:hAnsi="Calibri"/>
          <w:sz w:val="22"/>
          <w:szCs w:val="22"/>
        </w:rPr>
        <w:t xml:space="preserve">Novelty score threshold — currently enforced by HYBRID_NOVELTY_PROOF_V1 feature flag</w:t>
      </w:r>
    </w:p>
    <w:p>
      <w:r>
        <w:t xml:space="preserve"/>
      </w:r>
    </w:p>
    <w:p>
      <w:r>
        <w:rPr>
          <w:rFonts w:ascii="Calibri" w:cs="Calibri" w:eastAsia="Calibri" w:hAnsi="Calibri"/>
          <w:sz w:val="22"/>
          <w:szCs w:val="22"/>
        </w:rPr>
        <w:t xml:space="preserve">If novelty gate fails, the recovery planner is invoked — it reframes the hypothesis rather than generating a new one from scratch, preserving causal structure while differentiating from existing work.</w:t>
      </w:r>
    </w:p>
    <w:p>
      <w:r>
        <w:t xml:space="preserve"/>
      </w:r>
    </w:p>
    <w:p>
      <w:pPr>
        <w:pStyle w:val="Heading2"/>
      </w:pPr>
      <w:r>
        <w:rPr>
          <w:rFonts w:ascii="Calibri" w:cs="Calibri" w:eastAsia="Calibri" w:hAnsi="Calibri"/>
          <w:b/>
          <w:bCs/>
          <w:color w:val="2563EB"/>
        </w:rPr>
        <w:t xml:space="preserve">5.4 Uncertainty Calibration</w:t>
      </w:r>
    </w:p>
    <w:p>
      <w:r>
        <w:t xml:space="preserve"/>
      </w:r>
    </w:p>
    <w:p>
      <w:r>
        <w:rPr>
          <w:rFonts w:ascii="Calibri" w:cs="Calibri" w:eastAsia="Calibri" w:hAnsi="Calibri"/>
          <w:sz w:val="22"/>
          <w:szCs w:val="22"/>
        </w:rPr>
        <w:t xml:space="preserve">Confidence scoring in MASA is not a single LLM-assigned number. It is computed from a structured ConfidenceFactors object that includes:</w:t>
      </w:r>
    </w:p>
    <w:p>
      <w:r>
        <w:t xml:space="preserve"/>
      </w:r>
    </w:p>
    <w:p>
      <w:pPr>
        <w:pStyle w:val="ListParagraph"/>
        <w:numPr>
          <w:ilvl w:val="0"/>
          <w:numId w:val="3"/>
        </w:numPr>
      </w:pPr>
      <w:r>
        <w:rPr>
          <w:rFonts w:ascii="Calibri" w:cs="Calibri" w:eastAsia="Calibri" w:hAnsi="Calibri"/>
          <w:sz w:val="22"/>
          <w:szCs w:val="22"/>
        </w:rPr>
        <w:t xml:space="preserve">Evidence weight and integrity score</w:t>
      </w:r>
    </w:p>
    <w:p>
      <w:pPr>
        <w:pStyle w:val="ListParagraph"/>
        <w:numPr>
          <w:ilvl w:val="0"/>
          <w:numId w:val="3"/>
        </w:numPr>
      </w:pPr>
      <w:r>
        <w:rPr>
          <w:rFonts w:ascii="Calibri" w:cs="Calibri" w:eastAsia="Calibri" w:hAnsi="Calibri"/>
          <w:sz w:val="22"/>
          <w:szCs w:val="22"/>
        </w:rPr>
        <w:t xml:space="preserve">Prior art adjusted similarity (post temporal decay)</w:t>
      </w:r>
    </w:p>
    <w:p>
      <w:pPr>
        <w:pStyle w:val="ListParagraph"/>
        <w:numPr>
          <w:ilvl w:val="0"/>
          <w:numId w:val="3"/>
        </w:numPr>
      </w:pPr>
      <w:r>
        <w:rPr>
          <w:rFonts w:ascii="Calibri" w:cs="Calibri" w:eastAsia="Calibri" w:hAnsi="Calibri"/>
          <w:sz w:val="22"/>
          <w:szCs w:val="22"/>
        </w:rPr>
        <w:t xml:space="preserve">Statistical metrics: p-value, effect size, confidence interval, sample size</w:t>
      </w:r>
    </w:p>
    <w:p>
      <w:pPr>
        <w:pStyle w:val="ListParagraph"/>
        <w:numPr>
          <w:ilvl w:val="0"/>
          <w:numId w:val="3"/>
        </w:numPr>
      </w:pPr>
      <w:r>
        <w:rPr>
          <w:rFonts w:ascii="Calibri" w:cs="Calibri" w:eastAsia="Calibri" w:hAnsi="Calibri"/>
          <w:sz w:val="22"/>
          <w:szCs w:val="22"/>
        </w:rPr>
        <w:t xml:space="preserve">temporalDecayApplied boolean flag for auditability</w:t>
      </w:r>
    </w:p>
    <w:p>
      <w:r>
        <w:t xml:space="preserve"/>
      </w:r>
    </w:p>
    <w:p>
      <w:r>
        <w:rPr>
          <w:rFonts w:ascii="Calibri" w:cs="Calibri" w:eastAsia="Calibri" w:hAnsi="Calibri"/>
          <w:sz w:val="22"/>
          <w:szCs w:val="22"/>
        </w:rPr>
        <w:t xml:space="preserve">Outputs that cannot meet minimum confidence thresholds are surfaced with explicit uncertainty language rather than falsely confident text.</w:t>
      </w:r>
    </w:p>
    <w:p>
      <w:r>
        <w:t xml:space="preserve"/>
      </w:r>
    </w:p>
    <w:p>
      <w:r>
        <w:br w:type="page"/>
      </w:r>
    </w:p>
    <w:p>
      <w:pPr>
        <w:pStyle w:val="Heading1"/>
      </w:pPr>
      <w:r>
        <w:rPr>
          <w:rFonts w:ascii="Calibri" w:cs="Calibri" w:eastAsia="Calibri" w:hAnsi="Calibri"/>
          <w:b/>
          <w:bCs/>
          <w:color w:val="1E3A5F"/>
        </w:rPr>
        <w:t xml:space="preserve">6. Configuration &amp; Feature Flags</w:t>
      </w:r>
    </w:p>
    <w:p>
      <w:pPr>
        <w:pBdr>
          <w:bottom w:val="single" w:color="2563EB" w:sz="6" w:space="1"/>
        </w:pBdr>
      </w:pPr>
      <w:r>
        <w:t xml:space="preserve"/>
      </w:r>
    </w:p>
    <w:p>
      <w:r>
        <w:t xml:space="preserve"/>
      </w:r>
    </w:p>
    <w:p>
      <w:pPr>
        <w:pStyle w:val="Heading2"/>
      </w:pPr>
      <w:r>
        <w:rPr>
          <w:rFonts w:ascii="Calibri" w:cs="Calibri" w:eastAsia="Calibri" w:hAnsi="Calibri"/>
          <w:b/>
          <w:bCs/>
          <w:color w:val="2563EB"/>
        </w:rPr>
        <w:t xml:space="preserve">6.1 Environment Variables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Variable</w:t>
            </w:r>
          </w:p>
        </w:tc>
        <w:tc>
          <w:tcPr>
            <w:tcW w:type="dxa" w:w="5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tcW w:type="dxa" w:w="36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NEXT_PUBLIC_SUPABASE_URL</w:t>
            </w:r>
          </w:p>
        </w:tc>
        <w:tc>
          <w:tcPr>
            <w:tcW w:type="dxa" w:w="57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Supabase project URL</w:t>
            </w:r>
          </w:p>
        </w:tc>
      </w:tr>
      <w:tr>
        <w:tc>
          <w:tcPr>
            <w:tcW w:type="dxa" w:w="36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NEXT_PUBLIC_SUPABASE_ANON_KEY</w:t>
            </w:r>
          </w:p>
        </w:tc>
        <w:tc>
          <w:tcPr>
            <w:tcW w:type="dxa" w:w="57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Supabase public anon key (frontend-safe)</w:t>
            </w:r>
          </w:p>
        </w:tc>
      </w:tr>
      <w:tr>
        <w:tc>
          <w:tcPr>
            <w:tcW w:type="dxa" w:w="36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SUPABASE_SERVICE_ROLE_KEY</w:t>
            </w:r>
          </w:p>
        </w:tc>
        <w:tc>
          <w:tcPr>
            <w:tcW w:type="dxa" w:w="57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Supabase service key (server-only)</w:t>
            </w:r>
          </w:p>
        </w:tc>
      </w:tr>
      <w:tr>
        <w:tc>
          <w:tcPr>
            <w:tcW w:type="dxa" w:w="36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GOOGLE_GENERATIVE_AI_API_KEY</w:t>
            </w:r>
          </w:p>
        </w:tc>
        <w:tc>
          <w:tcPr>
            <w:tcW w:type="dxa" w:w="57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Google Gemini AI access</w:t>
            </w:r>
          </w:p>
        </w:tc>
      </w:tr>
      <w:tr>
        <w:tc>
          <w:tcPr>
            <w:tcW w:type="dxa" w:w="36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SERPER_API_KEY</w:t>
            </w:r>
          </w:p>
        </w:tc>
        <w:tc>
          <w:tcPr>
            <w:tcW w:type="dxa" w:w="57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Serper web search for grounding and prior-art retrieval</w:t>
            </w:r>
          </w:p>
        </w:tc>
      </w:tr>
      <w:tr>
        <w:tc>
          <w:tcPr>
            <w:tcW w:type="dxa" w:w="36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ENABLE_STATISTICAL_VALIDATION</w:t>
            </w:r>
          </w:p>
        </w:tc>
        <w:tc>
          <w:tcPr>
            <w:tcW w:type="dxa" w:w="57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Enables p-value / effect size computation (true/false)</w:t>
            </w:r>
          </w:p>
        </w:tc>
      </w:tr>
      <w:tr>
        <w:tc>
          <w:tcPr>
            <w:tcW w:type="dxa" w:w="36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ENABLE_TEMPORAL_DECAY</w:t>
            </w:r>
          </w:p>
        </w:tc>
        <w:tc>
          <w:tcPr>
            <w:tcW w:type="dxa" w:w="57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Enables prior art temporal decay weighting</w:t>
            </w:r>
          </w:p>
        </w:tc>
      </w:tr>
      <w:tr>
        <w:tc>
          <w:tcPr>
            <w:tcW w:type="dxa" w:w="36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ENABLE_CITATION_LINKING</w:t>
            </w:r>
          </w:p>
        </w:tc>
        <w:tc>
          <w:tcPr>
            <w:tcW w:type="dxa" w:w="57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Enables PDF snippet extraction and citation linking</w:t>
            </w:r>
          </w:p>
        </w:tc>
      </w:tr>
    </w:tbl>
    <w:p>
      <w:r>
        <w:t xml:space="preserve"/>
      </w:r>
    </w:p>
    <w:p>
      <w:pPr>
        <w:pStyle w:val="Heading2"/>
      </w:pPr>
      <w:r>
        <w:rPr>
          <w:rFonts w:ascii="Calibri" w:cs="Calibri" w:eastAsia="Calibri" w:hAnsi="Calibri"/>
          <w:b/>
          <w:bCs/>
          <w:color w:val="2563EB"/>
        </w:rPr>
        <w:t xml:space="preserve">6.2 MASA Memory Feature Flags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Flag</w:t>
            </w:r>
          </w:p>
        </w:tc>
        <w:tc>
          <w:tcPr>
            <w:tcW w:type="dxa" w:w="3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Component</w:t>
            </w:r>
          </w:p>
        </w:tc>
        <w:tc>
          <w:tcPr>
            <w:tcW w:type="dxa" w:w="2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Default</w:t>
            </w:r>
          </w:p>
        </w:tc>
      </w:tr>
      <w:tr>
        <w:tc>
          <w:tcPr>
            <w:tcW w:type="dxa" w:w="32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MASA_CAUSAL_PRUNING_V1</w:t>
            </w:r>
          </w:p>
        </w:tc>
        <w:tc>
          <w:tcPr>
            <w:tcW w:type="dxa" w:w="38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Causal pruning policy</w:t>
            </w:r>
          </w:p>
        </w:tc>
        <w:tc>
          <w:tcPr>
            <w:tcW w:type="dxa" w:w="23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OFF</w:t>
            </w:r>
          </w:p>
        </w:tc>
      </w:tr>
      <w:tr>
        <w:tc>
          <w:tcPr>
            <w:tcW w:type="dxa" w:w="32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MASA_COMPACTION_AXIOM_V1</w:t>
            </w:r>
          </w:p>
        </w:tc>
        <w:tc>
          <w:tcPr>
            <w:tcW w:type="dxa" w:w="38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Axiom-first compaction orchestrator</w:t>
            </w:r>
          </w:p>
        </w:tc>
        <w:tc>
          <w:tcPr>
            <w:tcW w:type="dxa" w:w="23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OFF</w:t>
            </w:r>
          </w:p>
        </w:tc>
      </w:tr>
      <w:tr>
        <w:tc>
          <w:tcPr>
            <w:tcW w:type="dxa" w:w="32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MASA_MEMORY_FUSION_V1</w:t>
            </w:r>
          </w:p>
        </w:tc>
        <w:tc>
          <w:tcPr>
            <w:tcW w:type="dxa" w:w="38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Hybrid retrieval fusion</w:t>
            </w:r>
          </w:p>
        </w:tc>
        <w:tc>
          <w:tcPr>
            <w:tcW w:type="dxa" w:w="23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OFF</w:t>
            </w:r>
          </w:p>
        </w:tc>
      </w:tr>
      <w:tr>
        <w:tc>
          <w:tcPr>
            <w:tcW w:type="dxa" w:w="32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MASA_MEMORY_RRF_V1</w:t>
            </w:r>
          </w:p>
        </w:tc>
        <w:tc>
          <w:tcPr>
            <w:tcW w:type="dxa" w:w="38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Reciprocal rank fusion in retrieval</w:t>
            </w:r>
          </w:p>
        </w:tc>
        <w:tc>
          <w:tcPr>
            <w:tcW w:type="dxa" w:w="23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OFF</w:t>
            </w:r>
          </w:p>
        </w:tc>
      </w:tr>
      <w:tr>
        <w:tc>
          <w:tcPr>
            <w:tcW w:type="dxa" w:w="32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MASA_CAUSAL_LATTICE_V1</w:t>
            </w:r>
          </w:p>
        </w:tc>
        <w:tc>
          <w:tcPr>
            <w:tcW w:type="dxa" w:w="38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Cross-session causal lattice broadcast</w:t>
            </w:r>
          </w:p>
        </w:tc>
        <w:tc>
          <w:tcPr>
            <w:tcW w:type="dxa" w:w="23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OFF</w:t>
            </w:r>
          </w:p>
        </w:tc>
      </w:tr>
      <w:tr>
        <w:tc>
          <w:tcPr>
            <w:tcW w:type="dxa" w:w="32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HYBRID_NOVELTY_PROOF_V1</w:t>
            </w:r>
          </w:p>
        </w:tc>
        <w:tc>
          <w:tcPr>
            <w:tcW w:type="dxa" w:w="38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Novelty gate enforcement in Hybrid</w:t>
            </w:r>
          </w:p>
        </w:tc>
        <w:tc>
          <w:tcPr>
            <w:tcW w:type="dxa" w:w="23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ON</w:t>
            </w:r>
          </w:p>
        </w:tc>
      </w:tr>
    </w:tbl>
    <w:p>
      <w:r>
        <w:t xml:space="preserve"/>
      </w:r>
    </w:p>
    <w:p>
      <w:r>
        <w:rPr>
          <w:rFonts w:ascii="Calibri" w:cs="Calibri" w:eastAsia="Calibri" w:hAnsi="Calibri"/>
          <w:sz w:val="22"/>
          <w:szCs w:val="22"/>
        </w:rPr>
        <w:t xml:space="preserve">All MASA memory flags are default-OFF and require explicit operator activation. They are additive — existing behavior is unaffected when flags are disabled.</w:t>
      </w:r>
    </w:p>
    <w:p>
      <w:r>
        <w:t xml:space="preserve"/>
      </w:r>
    </w:p>
    <w:p>
      <w:pPr>
        <w:pStyle w:val="Heading2"/>
      </w:pPr>
      <w:r>
        <w:rPr>
          <w:rFonts w:ascii="Calibri" w:cs="Calibri" w:eastAsia="Calibri" w:hAnsi="Calibri"/>
          <w:b/>
          <w:bCs/>
          <w:color w:val="2563EB"/>
        </w:rPr>
        <w:t xml:space="preserve">6.3 Build Configuration</w:t>
      </w:r>
    </w:p>
    <w:p>
      <w:r>
        <w:t xml:space="preserve"/>
      </w:r>
    </w:p>
    <w:p>
      <w:pPr>
        <w:pStyle w:val="ListParagraph"/>
        <w:numPr>
          <w:ilvl w:val="0"/>
          <w:numId w:val="3"/>
        </w:numPr>
      </w:pPr>
      <w:r>
        <w:rPr>
          <w:rFonts w:ascii="Calibri" w:cs="Calibri" w:eastAsia="Calibri" w:hAnsi="Calibri"/>
          <w:sz w:val="22"/>
          <w:szCs w:val="22"/>
        </w:rPr>
        <w:t xml:space="preserve">Framework: Next.js 14+ (App Router)</w:t>
      </w:r>
    </w:p>
    <w:p>
      <w:pPr>
        <w:pStyle w:val="ListParagraph"/>
        <w:numPr>
          <w:ilvl w:val="0"/>
          <w:numId w:val="3"/>
        </w:numPr>
      </w:pPr>
      <w:r>
        <w:rPr>
          <w:rFonts w:ascii="Calibri" w:cs="Calibri" w:eastAsia="Calibri" w:hAnsi="Calibri"/>
          <w:sz w:val="22"/>
          <w:szCs w:val="22"/>
        </w:rPr>
        <w:t xml:space="preserve">Language: TypeScript (strict mode)</w:t>
      </w:r>
    </w:p>
    <w:p>
      <w:pPr>
        <w:pStyle w:val="ListParagraph"/>
        <w:numPr>
          <w:ilvl w:val="0"/>
          <w:numId w:val="3"/>
        </w:numPr>
      </w:pPr>
      <w:r>
        <w:rPr>
          <w:rFonts w:ascii="Calibri" w:cs="Calibri" w:eastAsia="Calibri" w:hAnsi="Calibri"/>
          <w:sz w:val="22"/>
          <w:szCs w:val="22"/>
        </w:rPr>
        <w:t xml:space="preserve">Bundler: Webpack (switched from Turbopack to resolve cache corruption)</w:t>
      </w:r>
    </w:p>
    <w:p>
      <w:pPr>
        <w:pStyle w:val="ListParagraph"/>
        <w:numPr>
          <w:ilvl w:val="0"/>
          <w:numId w:val="3"/>
        </w:numPr>
      </w:pPr>
      <w:r>
        <w:rPr>
          <w:rFonts w:ascii="Calibri" w:cs="Calibri" w:eastAsia="Calibri" w:hAnsi="Calibri"/>
          <w:sz w:val="22"/>
          <w:szCs w:val="22"/>
        </w:rPr>
        <w:t xml:space="preserve">Database: Supabase + PostgreSQL</w:t>
      </w:r>
    </w:p>
    <w:p>
      <w:pPr>
        <w:pStyle w:val="ListParagraph"/>
        <w:numPr>
          <w:ilvl w:val="0"/>
          <w:numId w:val="3"/>
        </w:numPr>
      </w:pPr>
      <w:r>
        <w:rPr>
          <w:rFonts w:ascii="Calibri" w:cs="Calibri" w:eastAsia="Calibri" w:hAnsi="Calibri"/>
          <w:sz w:val="22"/>
          <w:szCs w:val="22"/>
        </w:rPr>
        <w:t xml:space="preserve">AI SDK: Vercel AI SDK v3</w:t>
      </w:r>
    </w:p>
    <w:p>
      <w:pPr>
        <w:pStyle w:val="ListParagraph"/>
        <w:numPr>
          <w:ilvl w:val="0"/>
          <w:numId w:val="3"/>
        </w:numPr>
      </w:pPr>
      <w:r>
        <w:rPr>
          <w:rFonts w:ascii="Calibri" w:cs="Calibri" w:eastAsia="Calibri" w:hAnsi="Calibri"/>
          <w:sz w:val="22"/>
          <w:szCs w:val="22"/>
        </w:rPr>
        <w:t xml:space="preserve">Statistical: jstat ^1.9.6</w:t>
      </w:r>
    </w:p>
    <w:p>
      <w:pPr>
        <w:pStyle w:val="ListParagraph"/>
        <w:numPr>
          <w:ilvl w:val="0"/>
          <w:numId w:val="3"/>
        </w:numPr>
      </w:pPr>
      <w:r>
        <w:rPr>
          <w:rFonts w:ascii="Calibri" w:cs="Calibri" w:eastAsia="Calibri" w:hAnsi="Calibri"/>
          <w:sz w:val="22"/>
          <w:szCs w:val="22"/>
        </w:rPr>
        <w:t xml:space="preserve">PDF: pdfjs-dist ^3.11.174</w:t>
      </w:r>
    </w:p>
    <w:p>
      <w:r>
        <w:t xml:space="preserve"/>
      </w:r>
    </w:p>
    <w:p>
      <w:r>
        <w:br w:type="page"/>
      </w:r>
    </w:p>
    <w:p>
      <w:pPr>
        <w:pStyle w:val="Heading1"/>
      </w:pPr>
      <w:r>
        <w:rPr>
          <w:rFonts w:ascii="Calibri" w:cs="Calibri" w:eastAsia="Calibri" w:hAnsi="Calibri"/>
          <w:b/>
          <w:bCs/>
          <w:color w:val="1E3A5F"/>
        </w:rPr>
        <w:t xml:space="preserve">7. Current State &amp; Critical Gaps</w:t>
      </w:r>
    </w:p>
    <w:p>
      <w:pPr>
        <w:pBdr>
          <w:bottom w:val="single" w:color="2563EB" w:sz="6" w:space="1"/>
        </w:pBdr>
      </w:pPr>
      <w:r>
        <w:t xml:space="preserve"/>
      </w:r>
    </w:p>
    <w:p>
      <w:r>
        <w:t xml:space="preserve"/>
      </w:r>
    </w:p>
    <w:p>
      <w:pPr>
        <w:pStyle w:val="Heading2"/>
      </w:pPr>
      <w:r>
        <w:rPr>
          <w:rFonts w:ascii="Calibri" w:cs="Calibri" w:eastAsia="Calibri" w:hAnsi="Calibri"/>
          <w:b/>
          <w:bCs/>
          <w:color w:val="2563EB"/>
        </w:rPr>
        <w:t xml:space="preserve">7.1 Implementation Status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Component</w:t>
            </w:r>
          </w:p>
        </w:tc>
        <w:tc>
          <w:tcPr>
            <w:tcW w:type="dxa" w:w="4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Status</w:t>
            </w:r>
          </w:p>
        </w:tc>
      </w:tr>
      <w:tr>
        <w:tc>
          <w:tcPr>
            <w:tcW w:type="dxa" w:w="52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Causal Chat with fact grounding</w:t>
            </w:r>
          </w:p>
        </w:tc>
        <w:tc>
          <w:tcPr>
            <w:tcW w:type="dxa" w:w="41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 Implemented and active</w:t>
            </w:r>
          </w:p>
        </w:tc>
      </w:tr>
      <w:tr>
        <w:tc>
          <w:tcPr>
            <w:tcW w:type="dxa" w:w="52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Hybrid synthesis with novelty proof</w:t>
            </w:r>
          </w:p>
        </w:tc>
        <w:tc>
          <w:tcPr>
            <w:tcW w:type="dxa" w:w="41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 Implemented and active</w:t>
            </w:r>
          </w:p>
        </w:tc>
      </w:tr>
      <w:tr>
        <w:tc>
          <w:tcPr>
            <w:tcW w:type="dxa" w:w="52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Legal reasoning interface</w:t>
            </w:r>
          </w:p>
        </w:tc>
        <w:tc>
          <w:tcPr>
            <w:tcW w:type="dxa" w:w="41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 Implemented and active</w:t>
            </w:r>
          </w:p>
        </w:tc>
      </w:tr>
      <w:tr>
        <w:tc>
          <w:tcPr>
            <w:tcW w:type="dxa" w:w="52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Governance spec suite (S1)</w:t>
            </w:r>
          </w:p>
        </w:tc>
        <w:tc>
          <w:tcPr>
            <w:tcW w:type="dxa" w:w="41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 Implementation-ready, report-first mode</w:t>
            </w:r>
          </w:p>
        </w:tc>
      </w:tr>
      <w:tr>
        <w:tc>
          <w:tcPr>
            <w:tcW w:type="dxa" w:w="52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CI sentinel suite</w:t>
            </w:r>
          </w:p>
        </w:tc>
        <w:tc>
          <w:tcPr>
            <w:tcW w:type="dxa" w:w="41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 Deployed, report-first mode</w:t>
            </w:r>
          </w:p>
        </w:tc>
      </w:tr>
      <w:tr>
        <w:tc>
          <w:tcPr>
            <w:tcW w:type="dxa" w:w="52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MASA persistent memory (all flags)</w:t>
            </w:r>
          </w:p>
        </w:tc>
        <w:tc>
          <w:tcPr>
            <w:tcW w:type="dxa" w:w="41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 Authored, awaiting operator activation</w:t>
            </w:r>
          </w:p>
        </w:tc>
      </w:tr>
      <w:tr>
        <w:tc>
          <w:tcPr>
            <w:tcW w:type="dxa" w:w="52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Persistent memory migration (20260213)</w:t>
            </w:r>
          </w:p>
        </w:tc>
        <w:tc>
          <w:tcPr>
            <w:tcW w:type="dxa" w:w="41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 Authored, awaiting DB execution</w:t>
            </w:r>
          </w:p>
        </w:tc>
      </w:tr>
      <w:tr>
        <w:tc>
          <w:tcPr>
            <w:tcW w:type="dxa" w:w="52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Counterfactual reasoning (Level 3 Pearl)</w:t>
            </w:r>
          </w:p>
        </w:tc>
        <w:tc>
          <w:tcPr>
            <w:tcW w:type="dxa" w:w="41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 Planned — not started</w:t>
            </w:r>
          </w:p>
        </w:tc>
      </w:tr>
      <w:tr>
        <w:tc>
          <w:tcPr>
            <w:tcW w:type="dxa" w:w="52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Real cloud lab API integration</w:t>
            </w:r>
          </w:p>
        </w:tc>
        <w:tc>
          <w:tcPr>
            <w:tcW w:type="dxa" w:w="41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 Planned — currently simulated</w:t>
            </w:r>
          </w:p>
        </w:tc>
      </w:tr>
      <w:tr>
        <w:tc>
          <w:tcPr>
            <w:tcW w:type="dxa" w:w="52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Symbolic law discovery</w:t>
            </w:r>
          </w:p>
        </w:tc>
        <w:tc>
          <w:tcPr>
            <w:tcW w:type="dxa" w:w="41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 Planned — aspirational</w:t>
            </w:r>
          </w:p>
        </w:tc>
      </w:tr>
      <w:tr>
        <w:tc>
          <w:tcPr>
            <w:tcW w:type="dxa" w:w="52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Full governance enforce mode</w:t>
            </w:r>
          </w:p>
        </w:tc>
        <w:tc>
          <w:tcPr>
            <w:tcW w:type="dxa" w:w="41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 Calibration in progress</w:t>
            </w:r>
          </w:p>
        </w:tc>
      </w:tr>
    </w:tbl>
    <w:p>
      <w:r>
        <w:t xml:space="preserve"/>
      </w:r>
    </w:p>
    <w:p>
      <w:pPr>
        <w:pStyle w:val="Heading2"/>
      </w:pPr>
      <w:r>
        <w:rPr>
          <w:rFonts w:ascii="Calibri" w:cs="Calibri" w:eastAsia="Calibri" w:hAnsi="Calibri"/>
          <w:b/>
          <w:bCs/>
          <w:color w:val="2563EB"/>
        </w:rPr>
        <w:t xml:space="preserve">7.2 Priority Gaps to Close</w:t>
      </w:r>
    </w:p>
    <w:p>
      <w:r>
        <w:t xml:space="preserve"/>
      </w:r>
    </w:p>
    <w:p>
      <w:pPr>
        <w:pStyle w:val="ListParagraph"/>
        <w:numPr>
          <w:ilvl w:val="0"/>
          <w:numId w:val="2"/>
        </w:numPr>
      </w:pPr>
      <w:r>
        <w:rPr>
          <w:rFonts w:ascii="Calibri" w:cs="Calibri" w:eastAsia="Calibri" w:hAnsi="Calibri"/>
          <w:sz w:val="22"/>
          <w:szCs w:val="22"/>
        </w:rPr>
        <w:t xml:space="preserve">Activate persistent memory rollout gates — apply 20260213 migration, enable flags in staging, monitor sentinel in report mode before enforce</w:t>
      </w:r>
    </w:p>
    <w:p>
      <w:pPr>
        <w:pStyle w:val="ListParagraph"/>
        <w:numPr>
          <w:ilvl w:val="0"/>
          <w:numId w:val="2"/>
        </w:numPr>
      </w:pPr>
      <w:r>
        <w:rPr>
          <w:rFonts w:ascii="Calibri" w:cs="Calibri" w:eastAsia="Calibri" w:hAnsi="Calibri"/>
          <w:sz w:val="22"/>
          <w:szCs w:val="22"/>
        </w:rPr>
        <w:t xml:space="preserve">Tighten Chat grounding coverage — expand trigger classifier and add source reliability scoring</w:t>
      </w:r>
    </w:p>
    <w:p>
      <w:pPr>
        <w:pStyle w:val="ListParagraph"/>
        <w:numPr>
          <w:ilvl w:val="0"/>
          <w:numId w:val="2"/>
        </w:numPr>
      </w:pPr>
      <w:r>
        <w:rPr>
          <w:rFonts w:ascii="Calibri" w:cs="Calibri" w:eastAsia="Calibri" w:hAnsi="Calibri"/>
          <w:sz w:val="22"/>
          <w:szCs w:val="22"/>
        </w:rPr>
        <w:t xml:space="preserve">Ramp governance sentinels to controlled enforce mode — target Claim Drift first</w:t>
      </w:r>
    </w:p>
    <w:p>
      <w:pPr>
        <w:pStyle w:val="ListParagraph"/>
        <w:numPr>
          <w:ilvl w:val="0"/>
          <w:numId w:val="2"/>
        </w:numPr>
      </w:pPr>
      <w:r>
        <w:rPr>
          <w:rFonts w:ascii="Calibri" w:cs="Calibri" w:eastAsia="Calibri" w:hAnsi="Calibri"/>
          <w:sz w:val="22"/>
          <w:szCs w:val="22"/>
        </w:rPr>
        <w:t xml:space="preserve">Implement evidence_snippets and prior_art_cache DB migrations</w:t>
      </w:r>
    </w:p>
    <w:p>
      <w:pPr>
        <w:pStyle w:val="ListParagraph"/>
        <w:numPr>
          <w:ilvl w:val="0"/>
          <w:numId w:val="2"/>
        </w:numPr>
      </w:pPr>
      <w:r>
        <w:rPr>
          <w:rFonts w:ascii="Calibri" w:cs="Calibri" w:eastAsia="Calibri" w:hAnsi="Calibri"/>
          <w:sz w:val="22"/>
          <w:szCs w:val="22"/>
        </w:rPr>
        <w:t xml:space="preserve">Harden trace persistence — every high-impact claim must be reconstructible from stored causal artifacts</w:t>
      </w:r>
    </w:p>
    <w:p>
      <w:pPr>
        <w:pStyle w:val="ListParagraph"/>
        <w:numPr>
          <w:ilvl w:val="0"/>
          <w:numId w:val="2"/>
        </w:numPr>
      </w:pPr>
      <w:r>
        <w:rPr>
          <w:rFonts w:ascii="Calibri" w:cs="Calibri" w:eastAsia="Calibri" w:hAnsi="Calibri"/>
          <w:sz w:val="22"/>
          <w:szCs w:val="22"/>
        </w:rPr>
        <w:t xml:space="preserve">Deepen Hybrid as flagship scientific surface — novelty proof + falsification + recovery must be mandatory, not optional</w:t>
      </w:r>
    </w:p>
    <w:p>
      <w:r>
        <w:t xml:space="preserve"/>
      </w:r>
    </w:p>
    <w:p>
      <w:r>
        <w:br w:type="page"/>
      </w:r>
    </w:p>
    <w:p>
      <w:pPr>
        <w:pStyle w:val="Heading1"/>
      </w:pPr>
      <w:r>
        <w:rPr>
          <w:rFonts w:ascii="Calibri" w:cs="Calibri" w:eastAsia="Calibri" w:hAnsi="Calibri"/>
          <w:b/>
          <w:bCs/>
          <w:color w:val="1E3A5F"/>
        </w:rPr>
        <w:t xml:space="preserve">8. Identity Doctrine — CHAT_FUNDAMENTALS.md</w:t>
      </w:r>
    </w:p>
    <w:p>
      <w:pPr>
        <w:pBdr>
          <w:bottom w:val="single" w:color="2563EB" w:sz="6" w:space="1"/>
        </w:pBdr>
      </w:pPr>
      <w:r>
        <w:t xml:space="preserve"/>
      </w:r>
    </w:p>
    <w:p>
      <w:r>
        <w:t xml:space="preserve"/>
      </w:r>
    </w:p>
    <w:p>
      <w:r>
        <w:rPr>
          <w:rFonts w:ascii="Calibri" w:cs="Calibri" w:eastAsia="Calibri" w:hAnsi="Calibri"/>
          <w:sz w:val="22"/>
          <w:szCs w:val="22"/>
        </w:rPr>
        <w:t xml:space="preserve">MASA's behavioral standard is formalized in the canonical Chat Fundamentals manifesto (openclaw-skills/CHAT_FUNDAMENTALS.md). This document governs how the system presents itself, refuses, and recovers.</w:t>
      </w:r>
    </w:p>
    <w:p>
      <w:r>
        <w:t xml:space="preserve"/>
      </w:r>
    </w:p>
    <w:p>
      <w:pPr>
        <w:pStyle w:val="Heading2"/>
      </w:pPr>
      <w:r>
        <w:rPr>
          <w:rFonts w:ascii="Calibri" w:cs="Calibri" w:eastAsia="Calibri" w:hAnsi="Calibri"/>
          <w:b/>
          <w:bCs/>
          <w:color w:val="2563EB"/>
        </w:rPr>
        <w:t xml:space="preserve">8.1 Core Behavioral Principles</w:t>
      </w:r>
    </w:p>
    <w:p>
      <w:r>
        <w:t xml:space="preserve"/>
      </w:r>
    </w:p>
    <w:p>
      <w:pPr>
        <w:pStyle w:val="ListParagraph"/>
        <w:numPr>
          <w:ilvl w:val="0"/>
          <w:numId w:val="3"/>
        </w:numPr>
      </w:pPr>
      <w:r>
        <w:rPr>
          <w:rFonts w:ascii="Calibri" w:cs="Calibri" w:eastAsia="Calibri" w:hAnsi="Calibri"/>
          <w:sz w:val="22"/>
          <w:szCs w:val="22"/>
        </w:rPr>
        <w:t xml:space="preserve">Causal-first response doctrine — every response must be anchored to a structural causal claim, not a probabilistic pattern</w:t>
      </w:r>
    </w:p>
    <w:p>
      <w:pPr>
        <w:pStyle w:val="ListParagraph"/>
        <w:numPr>
          <w:ilvl w:val="0"/>
          <w:numId w:val="3"/>
        </w:numPr>
      </w:pPr>
      <w:r>
        <w:rPr>
          <w:rFonts w:ascii="Calibri" w:cs="Calibri" w:eastAsia="Calibri" w:hAnsi="Calibri"/>
          <w:sz w:val="22"/>
          <w:szCs w:val="22"/>
        </w:rPr>
        <w:t xml:space="preserve">Operational Taoist tone — concise, precise, non-performative. Output that earns trust through restraint</w:t>
      </w:r>
    </w:p>
    <w:p>
      <w:pPr>
        <w:pStyle w:val="ListParagraph"/>
        <w:numPr>
          <w:ilvl w:val="0"/>
          <w:numId w:val="3"/>
        </w:numPr>
      </w:pPr>
      <w:r>
        <w:rPr>
          <w:rFonts w:ascii="Calibri" w:cs="Calibri" w:eastAsia="Calibri" w:hAnsi="Calibri"/>
          <w:sz w:val="22"/>
          <w:szCs w:val="22"/>
        </w:rPr>
        <w:t xml:space="preserve">Refusal behavior — when evidence is insufficient, the system surfaces uncertainty explicitly rather than generating plausible-sounding content</w:t>
      </w:r>
    </w:p>
    <w:p>
      <w:pPr>
        <w:pStyle w:val="ListParagraph"/>
        <w:numPr>
          <w:ilvl w:val="0"/>
          <w:numId w:val="3"/>
        </w:numPr>
      </w:pPr>
      <w:r>
        <w:rPr>
          <w:rFonts w:ascii="Calibri" w:cs="Calibri" w:eastAsia="Calibri" w:hAnsi="Calibri"/>
          <w:sz w:val="22"/>
          <w:szCs w:val="22"/>
        </w:rPr>
        <w:t xml:space="preserve">Recovery behavior — when grounding fails, the system falls back to the verify-or-uncertain policy: verified fact or explicit uncertainty, never confident hallucination</w:t>
      </w:r>
    </w:p>
    <w:p>
      <w:r>
        <w:t xml:space="preserve"/>
      </w:r>
    </w:p>
    <w:p>
      <w:pPr>
        <w:pStyle w:val="Heading2"/>
      </w:pPr>
      <w:r>
        <w:rPr>
          <w:rFonts w:ascii="Calibri" w:cs="Calibri" w:eastAsia="Calibri" w:hAnsi="Calibri"/>
          <w:b/>
          <w:bCs/>
          <w:color w:val="2563EB"/>
        </w:rPr>
        <w:t xml:space="preserve">8.2 OpenClaw as Operational Control Plane</w:t>
      </w:r>
    </w:p>
    <w:p>
      <w:r>
        <w:t xml:space="preserve"/>
      </w:r>
    </w:p>
    <w:p>
      <w:r>
        <w:rPr>
          <w:rFonts w:ascii="Calibri" w:cs="Calibri" w:eastAsia="Calibri" w:hAnsi="Calibri"/>
          <w:sz w:val="22"/>
          <w:szCs w:val="22"/>
        </w:rPr>
        <w:t xml:space="preserve">OpenClaw serves as the operational interface for session tooling, agent visibility, and MASA traceability inspection. It is not part of the synthesis pipeline — it is the surface through which operators observe and govern production behavior.</w:t>
      </w:r>
    </w:p>
    <w:p>
      <w:r>
        <w:t xml:space="preserve"/>
      </w:r>
    </w:p>
    <w:p>
      <w:r>
        <w:rPr>
          <w:rFonts w:ascii="Calibri" w:cs="Calibri" w:eastAsia="Calibri" w:hAnsi="Calibri"/>
          <w:sz w:val="22"/>
          <w:szCs w:val="22"/>
        </w:rPr>
        <w:t xml:space="preserve">Strategic alignment: a causal research system requires not just good outputs, but visibility into how those outputs were produced, audited, and can be replayed. OpenClaw is the operationalization of that requirement.</w:t>
      </w:r>
    </w:p>
    <w:p>
      <w:r>
        <w:t xml:space="preserve"/>
      </w:r>
    </w:p>
    <w:p>
      <w:r>
        <w:br w:type="page"/>
      </w:r>
    </w:p>
    <w:p>
      <w:pPr>
        <w:pStyle w:val="Heading1"/>
      </w:pPr>
      <w:r>
        <w:rPr>
          <w:rFonts w:ascii="Calibri" w:cs="Calibri" w:eastAsia="Calibri" w:hAnsi="Calibri"/>
          <w:b/>
          <w:bCs/>
          <w:color w:val="1E3A5F"/>
        </w:rPr>
        <w:t xml:space="preserve">9. Roadmap</w:t>
      </w:r>
    </w:p>
    <w:p>
      <w:pPr>
        <w:pBdr>
          <w:bottom w:val="single" w:color="2563EB" w:sz="6"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560"/>
      </w:tblGrid>
      <w:tr>
        <w:trPr>
          <w:tblHeader/>
        </w:trPr>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Phase</w:t>
            </w:r>
          </w:p>
        </w:tc>
        <w:tc>
          <w:tcPr>
            <w:tcW w:type="dxa" w:w="5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Milestone</w:t>
            </w:r>
          </w:p>
        </w:tc>
        <w:tc>
          <w:tcPr>
            <w:tcW w:type="dxa" w:w="2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Status</w:t>
            </w:r>
          </w:p>
        </w:tc>
      </w:tr>
      <w:tr>
        <w:tc>
          <w:tcPr>
            <w:tcW w:type="dxa" w:w="16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Now</w:t>
            </w:r>
          </w:p>
        </w:tc>
        <w:tc>
          <w:tcPr>
            <w:tcW w:type="dxa" w:w="52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Activate MASA persistent memory (migration + flags + sentinel monitor)</w:t>
            </w:r>
          </w:p>
        </w:tc>
        <w:tc>
          <w:tcPr>
            <w:tcW w:type="dxa" w:w="25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 Ready to execute</w:t>
            </w:r>
          </w:p>
        </w:tc>
      </w:tr>
      <w:tr>
        <w:tc>
          <w:tcPr>
            <w:tcW w:type="dxa" w:w="16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Now</w:t>
            </w:r>
          </w:p>
        </w:tc>
        <w:tc>
          <w:tcPr>
            <w:tcW w:type="dxa" w:w="52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Expand Chat grounding trigger coverage and source reliability scoring</w:t>
            </w:r>
          </w:p>
        </w:tc>
        <w:tc>
          <w:tcPr>
            <w:tcW w:type="dxa" w:w="25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In progress</w:t>
            </w:r>
          </w:p>
        </w:tc>
      </w:tr>
      <w:tr>
        <w:tc>
          <w:tcPr>
            <w:tcW w:type="dxa" w:w="16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Near</w:t>
            </w:r>
          </w:p>
        </w:tc>
        <w:tc>
          <w:tcPr>
            <w:tcW w:type="dxa" w:w="52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Ramp Claim Drift sentinel to controlled enforce mode</w:t>
            </w:r>
          </w:p>
        </w:tc>
        <w:tc>
          <w:tcPr>
            <w:tcW w:type="dxa" w:w="25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Planned</w:t>
            </w:r>
          </w:p>
        </w:tc>
      </w:tr>
      <w:tr>
        <w:tc>
          <w:tcPr>
            <w:tcW w:type="dxa" w:w="16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Near</w:t>
            </w:r>
          </w:p>
        </w:tc>
        <w:tc>
          <w:tcPr>
            <w:tcW w:type="dxa" w:w="52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Execute evidence_snippets and prior_art_cache migrations</w:t>
            </w:r>
          </w:p>
        </w:tc>
        <w:tc>
          <w:tcPr>
            <w:tcW w:type="dxa" w:w="25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Drafted</w:t>
            </w:r>
          </w:p>
        </w:tc>
      </w:tr>
      <w:tr>
        <w:tc>
          <w:tcPr>
            <w:tcW w:type="dxa" w:w="16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Near</w:t>
            </w:r>
          </w:p>
        </w:tc>
        <w:tc>
          <w:tcPr>
            <w:tcW w:type="dxa" w:w="52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Deepen Hybrid trace persistence — all claims reconstructible</w:t>
            </w:r>
          </w:p>
        </w:tc>
        <w:tc>
          <w:tcPr>
            <w:tcW w:type="dxa" w:w="25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Planned</w:t>
            </w:r>
          </w:p>
        </w:tc>
      </w:tr>
      <w:tr>
        <w:tc>
          <w:tcPr>
            <w:tcW w:type="dxa" w:w="16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Mid</w:t>
            </w:r>
          </w:p>
        </w:tc>
        <w:tc>
          <w:tcPr>
            <w:tcW w:type="dxa" w:w="52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Governance full enforce mode across all S1 specs</w:t>
            </w:r>
          </w:p>
        </w:tc>
        <w:tc>
          <w:tcPr>
            <w:tcW w:type="dxa" w:w="25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Calibration in progress</w:t>
            </w:r>
          </w:p>
        </w:tc>
      </w:tr>
      <w:tr>
        <w:tc>
          <w:tcPr>
            <w:tcW w:type="dxa" w:w="16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Mid</w:t>
            </w:r>
          </w:p>
        </w:tc>
        <w:tc>
          <w:tcPr>
            <w:tcW w:type="dxa" w:w="52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Scope and begin counterfactual reasoning (Level 3 Pearl)</w:t>
            </w:r>
          </w:p>
        </w:tc>
        <w:tc>
          <w:tcPr>
            <w:tcW w:type="dxa" w:w="25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Not started</w:t>
            </w:r>
          </w:p>
        </w:tc>
      </w:tr>
      <w:tr>
        <w:tc>
          <w:tcPr>
            <w:tcW w:type="dxa" w:w="16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Future</w:t>
            </w:r>
          </w:p>
        </w:tc>
        <w:tc>
          <w:tcPr>
            <w:tcW w:type="dxa" w:w="52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Real cloud lab API integration (Emerald Cloud Lab / Strateos)</w:t>
            </w:r>
          </w:p>
        </w:tc>
        <w:tc>
          <w:tcPr>
            <w:tcW w:type="dxa" w:w="25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Aspirational</w:t>
            </w:r>
          </w:p>
        </w:tc>
      </w:tr>
      <w:tr>
        <w:tc>
          <w:tcPr>
            <w:tcW w:type="dxa" w:w="16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Future</w:t>
            </w:r>
          </w:p>
        </w:tc>
        <w:tc>
          <w:tcPr>
            <w:tcW w:type="dxa" w:w="520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Symbolic law discovery from experimental results</w:t>
            </w:r>
          </w:p>
        </w:tc>
        <w:tc>
          <w:tcPr>
            <w:tcW w:type="dxa" w:w="2560"/>
            <w:tcBorders>
              <w:top w:val="single" w:color="C7D7F0" w:sz="1"/>
              <w:left w:val="single" w:color="C7D7F0" w:sz="1"/>
              <w:bottom w:val="single" w:color="C7D7F0" w:sz="1"/>
              <w:right w:val="single" w:color="C7D7F0" w:sz="1"/>
            </w:tcBorders>
            <w:shd w:fill="EEF3FB" w:val="clear"/>
            <w:tcMar>
              <w:top w:type="dxa" w:w="80"/>
              <w:left w:type="dxa" w:w="120"/>
              <w:bottom w:type="dxa" w:w="80"/>
              <w:right w:type="dxa" w:w="120"/>
            </w:tcMar>
          </w:tcPr>
          <w:p>
            <w:r>
              <w:rPr>
                <w:rFonts w:ascii="Calibri" w:cs="Calibri" w:eastAsia="Calibri" w:hAnsi="Calibri"/>
                <w:sz w:val="20"/>
                <w:szCs w:val="20"/>
              </w:rPr>
              <w:t xml:space="preserve">Aspirational</w:t>
            </w:r>
          </w:p>
        </w:tc>
      </w:tr>
      <w:tr>
        <w:tc>
          <w:tcPr>
            <w:tcW w:type="dxa" w:w="16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Future</w:t>
            </w:r>
          </w:p>
        </w:tc>
        <w:tc>
          <w:tcPr>
            <w:tcW w:type="dxa" w:w="520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Full closed-loop autonomous discovery without human gating</w:t>
            </w:r>
          </w:p>
        </w:tc>
        <w:tc>
          <w:tcPr>
            <w:tcW w:type="dxa" w:w="2560"/>
            <w:tcBorders>
              <w:top w:val="single" w:color="C7D7F0" w:sz="1"/>
              <w:left w:val="single" w:color="C7D7F0" w:sz="1"/>
              <w:bottom w:val="single" w:color="C7D7F0" w:sz="1"/>
              <w:right w:val="single" w:color="C7D7F0" w:sz="1"/>
            </w:tcBorders>
            <w:shd w:fill="FFFFFF" w:val="clear"/>
            <w:tcMar>
              <w:top w:type="dxa" w:w="80"/>
              <w:left w:type="dxa" w:w="120"/>
              <w:bottom w:type="dxa" w:w="80"/>
              <w:right w:type="dxa" w:w="120"/>
            </w:tcMar>
          </w:tcPr>
          <w:p>
            <w:r>
              <w:rPr>
                <w:rFonts w:ascii="Calibri" w:cs="Calibri" w:eastAsia="Calibri" w:hAnsi="Calibri"/>
                <w:sz w:val="20"/>
                <w:szCs w:val="20"/>
              </w:rPr>
              <w:t xml:space="preserve">North star</w:t>
            </w:r>
          </w:p>
        </w:tc>
      </w:tr>
    </w:tbl>
    <w:p>
      <w:r>
        <w:t xml:space="preserve"/>
      </w:r>
    </w:p>
    <w:p>
      <w:r>
        <w:br w:type="page"/>
      </w:r>
    </w:p>
    <w:p>
      <w:pPr>
        <w:pStyle w:val="Heading1"/>
      </w:pPr>
      <w:r>
        <w:rPr>
          <w:rFonts w:ascii="Calibri" w:cs="Calibri" w:eastAsia="Calibri" w:hAnsi="Calibri"/>
          <w:b/>
          <w:bCs/>
          <w:color w:val="1E3A5F"/>
        </w:rPr>
        <w:t xml:space="preserve">10. References</w:t>
      </w:r>
    </w:p>
    <w:p>
      <w:pPr>
        <w:pBdr>
          <w:bottom w:val="single" w:color="2563EB" w:sz="6" w:space="1"/>
        </w:pBdr>
      </w:pPr>
      <w:r>
        <w:t xml:space="preserve"/>
      </w:r>
    </w:p>
    <w:p>
      <w:r>
        <w:t xml:space="preserve"/>
      </w:r>
    </w:p>
    <w:p>
      <w:pPr>
        <w:pStyle w:val="Heading2"/>
      </w:pPr>
      <w:r>
        <w:rPr>
          <w:rFonts w:ascii="Calibri" w:cs="Calibri" w:eastAsia="Calibri" w:hAnsi="Calibri"/>
          <w:b/>
          <w:bCs/>
          <w:color w:val="2563EB"/>
        </w:rPr>
        <w:t xml:space="preserve">Primary Documents</w:t>
      </w:r>
    </w:p>
    <w:p>
      <w:pPr>
        <w:pStyle w:val="ListParagraph"/>
        <w:numPr>
          <w:ilvl w:val="0"/>
          <w:numId w:val="3"/>
        </w:numPr>
      </w:pPr>
      <w:r>
        <w:rPr>
          <w:rFonts w:ascii="Calibri" w:cs="Calibri" w:eastAsia="Calibri" w:hAnsi="Calibri"/>
          <w:sz w:val="22"/>
          <w:szCs w:val="22"/>
        </w:rPr>
        <w:t xml:space="preserve">MASA_White_Paper.html — Strategic intent and conceptual north star</w:t>
      </w:r>
    </w:p>
    <w:p>
      <w:pPr>
        <w:pStyle w:val="ListParagraph"/>
        <w:numPr>
          <w:ilvl w:val="0"/>
          <w:numId w:val="3"/>
        </w:numPr>
      </w:pPr>
      <w:r>
        <w:rPr>
          <w:rFonts w:ascii="Calibri" w:cs="Calibri" w:eastAsia="Calibri" w:hAnsi="Calibri"/>
          <w:sz w:val="22"/>
          <w:szCs w:val="22"/>
        </w:rPr>
        <w:t xml:space="preserve">ADR-001-MASA-Architecture.md — Architecture Decision Record</w:t>
      </w:r>
    </w:p>
    <w:p>
      <w:pPr>
        <w:pStyle w:val="ListParagraph"/>
        <w:numPr>
          <w:ilvl w:val="0"/>
          <w:numId w:val="3"/>
        </w:numPr>
      </w:pPr>
      <w:r>
        <w:rPr>
          <w:rFonts w:ascii="Calibri" w:cs="Calibri" w:eastAsia="Calibri" w:hAnsi="Calibri"/>
          <w:sz w:val="22"/>
          <w:szCs w:val="22"/>
        </w:rPr>
        <w:t xml:space="preserve">MASA_ARCHITECTURE_CURRENT_STATE_SUMMARY_2026-02-12.md — Implementation snapshot</w:t>
      </w:r>
    </w:p>
    <w:p>
      <w:pPr>
        <w:pStyle w:val="ListParagraph"/>
        <w:numPr>
          <w:ilvl w:val="0"/>
          <w:numId w:val="3"/>
        </w:numPr>
      </w:pPr>
      <w:r>
        <w:rPr>
          <w:rFonts w:ascii="Calibri" w:cs="Calibri" w:eastAsia="Calibri" w:hAnsi="Calibri"/>
          <w:sz w:val="22"/>
          <w:szCs w:val="22"/>
        </w:rPr>
        <w:t xml:space="preserve">GOVERNANCE_SPEC_INDEX.md — All active governance specifications</w:t>
      </w:r>
    </w:p>
    <w:p>
      <w:pPr>
        <w:pStyle w:val="ListParagraph"/>
        <w:numPr>
          <w:ilvl w:val="0"/>
          <w:numId w:val="3"/>
        </w:numPr>
      </w:pPr>
      <w:r>
        <w:rPr>
          <w:rFonts w:ascii="Calibri" w:cs="Calibri" w:eastAsia="Calibri" w:hAnsi="Calibri"/>
          <w:sz w:val="22"/>
          <w:szCs w:val="22"/>
        </w:rPr>
        <w:t xml:space="preserve">AUTOMATED_SCIENTIST_IMPLEMENTATION_SUMMARY.md — Component deep-dive</w:t>
      </w:r>
    </w:p>
    <w:p>
      <w:r>
        <w:t xml:space="preserve"/>
      </w:r>
    </w:p>
    <w:p>
      <w:pPr>
        <w:pStyle w:val="Heading2"/>
      </w:pPr>
      <w:r>
        <w:rPr>
          <w:rFonts w:ascii="Calibri" w:cs="Calibri" w:eastAsia="Calibri" w:hAnsi="Calibri"/>
          <w:b/>
          <w:bCs/>
          <w:color w:val="2563EB"/>
        </w:rPr>
        <w:t xml:space="preserve">Governance Specs</w:t>
      </w:r>
    </w:p>
    <w:p>
      <w:pPr>
        <w:pStyle w:val="ListParagraph"/>
        <w:numPr>
          <w:ilvl w:val="0"/>
          <w:numId w:val="3"/>
        </w:numPr>
      </w:pPr>
      <w:r>
        <w:rPr>
          <w:rFonts w:ascii="Calibri" w:cs="Calibri" w:eastAsia="Calibri" w:hAnsi="Calibri"/>
          <w:sz w:val="22"/>
          <w:szCs w:val="22"/>
        </w:rPr>
        <w:t xml:space="preserve">POLICY_EVALUATION_SPEC.md</w:t>
      </w:r>
    </w:p>
    <w:p>
      <w:pPr>
        <w:pStyle w:val="ListParagraph"/>
        <w:numPr>
          <w:ilvl w:val="0"/>
          <w:numId w:val="3"/>
        </w:numPr>
      </w:pPr>
      <w:r>
        <w:rPr>
          <w:rFonts w:ascii="Calibri" w:cs="Calibri" w:eastAsia="Calibri" w:hAnsi="Calibri"/>
          <w:sz w:val="22"/>
          <w:szCs w:val="22"/>
        </w:rPr>
        <w:t xml:space="preserve">CAUSAL_METHOD_SELECTION_POLICY.md</w:t>
      </w:r>
    </w:p>
    <w:p>
      <w:pPr>
        <w:pStyle w:val="ListParagraph"/>
        <w:numPr>
          <w:ilvl w:val="0"/>
          <w:numId w:val="3"/>
        </w:numPr>
      </w:pPr>
      <w:r>
        <w:rPr>
          <w:rFonts w:ascii="Calibri" w:cs="Calibri" w:eastAsia="Calibri" w:hAnsi="Calibri"/>
          <w:sz w:val="22"/>
          <w:szCs w:val="22"/>
        </w:rPr>
        <w:t xml:space="preserve">UNCERTAINTY_CALIBRATION_GATES.md</w:t>
      </w:r>
    </w:p>
    <w:p>
      <w:pPr>
        <w:pStyle w:val="ListParagraph"/>
        <w:numPr>
          <w:ilvl w:val="0"/>
          <w:numId w:val="3"/>
        </w:numPr>
      </w:pPr>
      <w:r>
        <w:rPr>
          <w:rFonts w:ascii="Calibri" w:cs="Calibri" w:eastAsia="Calibri" w:hAnsi="Calibri"/>
          <w:sz w:val="22"/>
          <w:szCs w:val="22"/>
        </w:rPr>
        <w:t xml:space="preserve">LAW_DISCOVERY_FALSIFICATION_PROTOCOL.md</w:t>
      </w:r>
    </w:p>
    <w:p>
      <w:r>
        <w:t xml:space="preserve"/>
      </w:r>
    </w:p>
    <w:p>
      <w:pPr>
        <w:pStyle w:val="Heading2"/>
      </w:pPr>
      <w:r>
        <w:rPr>
          <w:rFonts w:ascii="Calibri" w:cs="Calibri" w:eastAsia="Calibri" w:hAnsi="Calibri"/>
          <w:b/>
          <w:bCs/>
          <w:color w:val="2563EB"/>
        </w:rPr>
        <w:t xml:space="preserve">Key Implementation Files</w:t>
      </w:r>
    </w:p>
    <w:p>
      <w:pPr>
        <w:pStyle w:val="ListParagraph"/>
        <w:numPr>
          <w:ilvl w:val="0"/>
          <w:numId w:val="3"/>
        </w:numPr>
      </w:pPr>
      <w:r>
        <w:rPr>
          <w:rFonts w:ascii="Calibri" w:cs="Calibri" w:eastAsia="Calibri" w:hAnsi="Calibri"/>
          <w:sz w:val="22"/>
          <w:szCs w:val="22"/>
        </w:rPr>
        <w:t xml:space="preserve">src/app/api/causal-chat/route.ts — Chat route with grounding and SSE</w:t>
      </w:r>
    </w:p>
    <w:p>
      <w:pPr>
        <w:pStyle w:val="ListParagraph"/>
        <w:numPr>
          <w:ilvl w:val="0"/>
          <w:numId w:val="3"/>
        </w:numPr>
      </w:pPr>
      <w:r>
        <w:rPr>
          <w:rFonts w:ascii="Calibri" w:cs="Calibri" w:eastAsia="Calibri" w:hAnsi="Calibri"/>
          <w:sz w:val="22"/>
          <w:szCs w:val="22"/>
        </w:rPr>
        <w:t xml:space="preserve">src/lib/ai/synthesis-engine.ts — Synthesis OODA loop</w:t>
      </w:r>
    </w:p>
    <w:p>
      <w:pPr>
        <w:pStyle w:val="ListParagraph"/>
        <w:numPr>
          <w:ilvl w:val="0"/>
          <w:numId w:val="3"/>
        </w:numPr>
      </w:pPr>
      <w:r>
        <w:rPr>
          <w:rFonts w:ascii="Calibri" w:cs="Calibri" w:eastAsia="Calibri" w:hAnsi="Calibri"/>
          <w:sz w:val="22"/>
          <w:szCs w:val="22"/>
        </w:rPr>
        <w:t xml:space="preserve">src/lib/services/novelty-proof-engine.ts — Novelty evaluation</w:t>
      </w:r>
    </w:p>
    <w:p>
      <w:pPr>
        <w:pStyle w:val="ListParagraph"/>
        <w:numPr>
          <w:ilvl w:val="0"/>
          <w:numId w:val="3"/>
        </w:numPr>
      </w:pPr>
      <w:r>
        <w:rPr>
          <w:rFonts w:ascii="Calibri" w:cs="Calibri" w:eastAsia="Calibri" w:hAnsi="Calibri"/>
          <w:sz w:val="22"/>
          <w:szCs w:val="22"/>
        </w:rPr>
        <w:t xml:space="preserve">src/lib/services/contradiction-matrix.ts — Evidence conflict detection</w:t>
      </w:r>
    </w:p>
    <w:p>
      <w:pPr>
        <w:pStyle w:val="ListParagraph"/>
        <w:numPr>
          <w:ilvl w:val="0"/>
          <w:numId w:val="3"/>
        </w:numPr>
      </w:pPr>
      <w:r>
        <w:rPr>
          <w:rFonts w:ascii="Calibri" w:cs="Calibri" w:eastAsia="Calibri" w:hAnsi="Calibri"/>
          <w:sz w:val="22"/>
          <w:szCs w:val="22"/>
        </w:rPr>
        <w:t xml:space="preserve">src/lib/services/causal-pruning-policy.ts — Memory pruning</w:t>
      </w:r>
    </w:p>
    <w:p>
      <w:pPr>
        <w:pStyle w:val="ListParagraph"/>
        <w:numPr>
          <w:ilvl w:val="0"/>
          <w:numId w:val="3"/>
        </w:numPr>
      </w:pPr>
      <w:r>
        <w:rPr>
          <w:rFonts w:ascii="Calibri" w:cs="Calibri" w:eastAsia="Calibri" w:hAnsi="Calibri"/>
          <w:sz w:val="22"/>
          <w:szCs w:val="22"/>
        </w:rPr>
        <w:t xml:space="preserve">src/lib/services/compaction-orchestrator.ts — Axiom-first compaction</w:t>
      </w:r>
    </w:p>
    <w:p>
      <w:pPr>
        <w:pStyle w:val="ListParagraph"/>
        <w:numPr>
          <w:ilvl w:val="0"/>
          <w:numId w:val="3"/>
        </w:numPr>
      </w:pPr>
      <w:r>
        <w:rPr>
          <w:rFonts w:ascii="Calibri" w:cs="Calibri" w:eastAsia="Calibri" w:hAnsi="Calibri"/>
          <w:sz w:val="22"/>
          <w:szCs w:val="22"/>
        </w:rPr>
        <w:t xml:space="preserve">src/lib/services/memory-retrieval-fusion.ts — Hybrid retrieval</w:t>
      </w:r>
    </w:p>
    <w:p>
      <w:pPr>
        <w:pStyle w:val="ListParagraph"/>
        <w:numPr>
          <w:ilvl w:val="0"/>
          <w:numId w:val="3"/>
        </w:numPr>
      </w:pPr>
      <w:r>
        <w:rPr>
          <w:rFonts w:ascii="Calibri" w:cs="Calibri" w:eastAsia="Calibri" w:hAnsi="Calibri"/>
          <w:sz w:val="22"/>
          <w:szCs w:val="22"/>
        </w:rPr>
        <w:t xml:space="preserve">src/lib/services/causal-lattice.ts — Cross-session causal graph</w:t>
      </w:r>
    </w:p>
    <w:p>
      <w:pPr>
        <w:pStyle w:val="ListParagraph"/>
        <w:numPr>
          <w:ilvl w:val="0"/>
          <w:numId w:val="3"/>
        </w:numPr>
      </w:pPr>
      <w:r>
        <w:rPr>
          <w:rFonts w:ascii="Calibri" w:cs="Calibri" w:eastAsia="Calibri" w:hAnsi="Calibri"/>
          <w:sz w:val="22"/>
          <w:szCs w:val="22"/>
        </w:rPr>
        <w:t xml:space="preserve">openclaw-skills/CHAT_FUNDAMENTALS.md — Identity and behavioral doctrine</w:t>
      </w:r>
    </w:p>
    <w:p>
      <w:r>
        <w:t xml:space="preserve"/>
      </w:r>
    </w:p>
    <w:p>
      <w:pPr>
        <w:pStyle w:val="Heading2"/>
      </w:pPr>
      <w:r>
        <w:rPr>
          <w:rFonts w:ascii="Calibri" w:cs="Calibri" w:eastAsia="Calibri" w:hAnsi="Calibri"/>
          <w:b/>
          <w:bCs/>
          <w:color w:val="2563EB"/>
        </w:rPr>
        <w:t xml:space="preserve">Academic References</w:t>
      </w:r>
    </w:p>
    <w:p>
      <w:pPr>
        <w:pStyle w:val="ListParagraph"/>
        <w:numPr>
          <w:ilvl w:val="0"/>
          <w:numId w:val="3"/>
        </w:numPr>
      </w:pPr>
      <w:r>
        <w:rPr>
          <w:rFonts w:ascii="Calibri" w:cs="Calibri" w:eastAsia="Calibri" w:hAnsi="Calibri"/>
          <w:sz w:val="22"/>
          <w:szCs w:val="22"/>
        </w:rPr>
        <w:t xml:space="preserve">Pearl, J. (2009). Causality: Models, Reasoning, and Inference. Cambridge University Press.</w:t>
      </w:r>
    </w:p>
    <w:p>
      <w:pPr>
        <w:pStyle w:val="ListParagraph"/>
        <w:numPr>
          <w:ilvl w:val="0"/>
          <w:numId w:val="3"/>
        </w:numPr>
      </w:pPr>
      <w:r>
        <w:rPr>
          <w:rFonts w:ascii="Calibri" w:cs="Calibri" w:eastAsia="Calibri" w:hAnsi="Calibri"/>
          <w:sz w:val="22"/>
          <w:szCs w:val="22"/>
        </w:rPr>
        <w:t xml:space="preserve">Pearl, J. &amp; Mackenzie, D. (2018). The Book of Why. Basic Books.</w:t>
      </w:r>
    </w:p>
    <w:p>
      <w:pPr>
        <w:pStyle w:val="ListParagraph"/>
        <w:numPr>
          <w:ilvl w:val="0"/>
          <w:numId w:val="3"/>
        </w:numPr>
      </w:pPr>
      <w:r>
        <w:rPr>
          <w:rFonts w:ascii="Calibri" w:cs="Calibri" w:eastAsia="Calibri" w:hAnsi="Calibri"/>
          <w:sz w:val="22"/>
          <w:szCs w:val="22"/>
        </w:rPr>
        <w:t xml:space="preserve">Spirtes, Glymour &amp; Scheines (2000). Causation, Prediction, and Search. MIT Press.</w:t>
      </w:r>
    </w:p>
    <w:p>
      <w:pPr>
        <w:pStyle w:val="ListParagraph"/>
        <w:numPr>
          <w:ilvl w:val="0"/>
          <w:numId w:val="3"/>
        </w:numPr>
      </w:pPr>
      <w:r>
        <w:rPr>
          <w:rFonts w:ascii="Calibri" w:cs="Calibri" w:eastAsia="Calibri" w:hAnsi="Calibri"/>
          <w:sz w:val="22"/>
          <w:szCs w:val="22"/>
        </w:rPr>
        <w:t xml:space="preserve">King, R.D. et al. (2009). The Automation of Science. Science, 324(5923).</w:t>
      </w:r>
    </w:p>
    <w:p>
      <w:pPr>
        <w:pStyle w:val="ListParagraph"/>
        <w:numPr>
          <w:ilvl w:val="0"/>
          <w:numId w:val="3"/>
        </w:numPr>
      </w:pPr>
      <w:r>
        <w:rPr>
          <w:rFonts w:ascii="Calibri" w:cs="Calibri" w:eastAsia="Calibri" w:hAnsi="Calibri"/>
          <w:sz w:val="22"/>
          <w:szCs w:val="22"/>
        </w:rPr>
        <w:t xml:space="preserve">Friston, K. (2010). The Free-Energy Principle: A Unified Brain Theory? Nature Reviews Neuroscience.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jc w:val="right"/>
    </w:pPr>
    <w:r>
      <w:rPr>
        <w:rFonts w:ascii="Calibri" w:cs="Calibri" w:eastAsia="Calibri" w:hAnsi="Calibri"/>
        <w:color w:val="9CA3AF"/>
        <w:sz w:val="18"/>
        <w:szCs w:val="18"/>
      </w:rPr>
      <w:t xml:space="preserve">Page </w:t>
    </w:r>
    <w:r>
      <w:rPr>
        <w:rFonts w:ascii="Calibri" w:cs="Calibri" w:eastAsia="Calibri" w:hAnsi="Calibri"/>
        <w:color w:val="9CA3AF"/>
        <w:sz w:val="18"/>
        <w:szCs w:val="18"/>
      </w:rPr>
      <w:fldChar w:fldCharType="begin"/>
      <w:instrText xml:space="preserve">PAGE</w:instrText>
      <w:fldChar w:fldCharType="separate"/>
      <w:fldChar w:fldCharType="end"/>
    </w:r>
    <w:r>
      <w:rPr>
        <w:rFonts w:ascii="Calibri" w:cs="Calibri" w:eastAsia="Calibri" w:hAnsi="Calibri"/>
        <w:color w:val="9CA3AF"/>
        <w:sz w:val="18"/>
        <w:szCs w:val="18"/>
      </w:rPr>
      <w:t xml:space="preserve"> of </w:t>
    </w:r>
    <w:r>
      <w:rPr>
        <w:rFonts w:ascii="Calibri" w:cs="Calibri" w:eastAsia="Calibri" w:hAnsi="Calibri"/>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pPr>
    <w:r>
      <w:rPr>
        <w:rFonts w:ascii="Calibri" w:cs="Calibri" w:eastAsia="Calibri" w:hAnsi="Calibri"/>
        <w:color w:val="1E3A5F"/>
        <w:sz w:val="18"/>
        <w:szCs w:val="18"/>
      </w:rPr>
      <w:t xml:space="preserve">MASA — Methods of Automated Scientific Analysis</w:t>
    </w:r>
    <w:r>
      <w:rPr>
        <w:rFonts w:ascii="Calibri" w:cs="Calibri" w:eastAsia="Calibri" w:hAnsi="Calibri"/>
        <w:color w:val="9CA3AF"/>
        <w:sz w:val="18"/>
        <w:szCs w:val="18"/>
      </w:rPr>
      <w:t xml:space="preserve">  |  Technical Documentation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E3A5F"/>
      <w:sz w:val="36"/>
      <w:szCs w:val="36"/>
    </w:rPr>
  </w:style>
  <w:style w:type="paragraph" w:styleId="Heading2">
    <w:name w:val="Heading 2"/>
    <w:basedOn w:val="Normal"/>
    <w:next w:val="Normal"/>
    <w:qFormat/>
    <w:pPr>
      <w:spacing w:after="160" w:before="360"/>
      <w:outlineLvl w:val="1"/>
    </w:pPr>
    <w:rPr>
      <w:rFonts w:ascii="Calibri" w:cs="Calibri" w:eastAsia="Calibri" w:hAnsi="Calibri"/>
      <w:b/>
      <w:bCs/>
      <w:color w:val="2563EB"/>
      <w:sz w:val="28"/>
      <w:szCs w:val="28"/>
    </w:rPr>
  </w:style>
  <w:style w:type="paragraph" w:styleId="Heading3">
    <w:name w:val="Heading 3"/>
    <w:basedOn w:val="Normal"/>
    <w:next w:val="Normal"/>
    <w:qFormat/>
    <w:pPr>
      <w:spacing w:after="120" w:before="24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2026-03-08T08:14:31.107Z</dcterms:created>
  <dcterms:modified xsi:type="dcterms:W3CDTF">2026-03-08T08:14:31.108Z</dcterms:modified>
</cp:coreProperties>
</file>

<file path=docProps/custom.xml><?xml version="1.0" encoding="utf-8"?>
<Properties xmlns="http://schemas.openxmlformats.org/officeDocument/2006/custom-properties" xmlns:vt="http://schemas.openxmlformats.org/officeDocument/2006/docPropsVTypes"/>
</file>