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X09dd42d61c57e6475cedbb938d992bc8024556a"/>
    <w:p>
      <w:pPr>
        <w:pStyle w:val="Heading1"/>
      </w:pPr>
      <w:r>
        <w:t xml:space="preserve">Theoretical Foundations for Autonomous Closed-Loop Scientific Discovery</w:t>
      </w:r>
    </w:p>
    <w:bookmarkStart w:id="23" w:name="scope-and-formal-problem-statement"/>
    <w:p>
      <w:pPr>
        <w:pStyle w:val="Heading2"/>
      </w:pPr>
      <w:r>
        <w:t xml:space="preserve">Scope and formal problem statement</w:t>
      </w:r>
    </w:p>
    <w:p>
      <w:pPr>
        <w:pStyle w:val="FirstParagraph"/>
      </w:pPr>
      <w:r>
        <w:t xml:space="preserve">Autonomous closed-loop scientific discovery systems—often called “self-driving laboratories,” “robot scientists,” or “AI scientists”—aim to automate an iterative cycle that (i) represents uncertain knowledge about a domain, (ii) generates hypotheses or candidate models, (iii) chooses and executes interventions (experiments) in either the physical world or a simulator, and (iv) updates beliefs/models based on outcomes—repeating until a scientific objective is reached or resources are exhausted. Modern surveys emphasize that the most capable systems increasingly cover most of this loop end-to-end (hypothesis generation → experimental design → execution → analysis → hypothesis/model update), and that “cloud labs” can externalize execution via remote robotic facilities.</w:t>
      </w:r>
      <w:r>
        <w:t xml:space="preserve"> </w:t>
      </w:r>
      <w:hyperlink r:id="rId21">
        <w:r>
          <w:rPr>
            <w:rStyle w:val="Hyperlink"/>
          </w:rPr>
          <w:t xml:space="preserve">[1]</w:t>
        </w:r>
      </w:hyperlink>
    </w:p>
    <w:p>
      <w:pPr>
        <w:pStyle w:val="BodyText"/>
      </w:pPr>
      <w:r>
        <w:t xml:space="preserve">A rigorous abstraction treats “doing science” as sequential decision-making under uncertainty, where the</w:t>
      </w:r>
      <w:r>
        <w:t xml:space="preserve"> </w:t>
      </w:r>
      <w:r>
        <w:rPr>
          <w:b/>
          <w:bCs/>
        </w:rPr>
        <w:t xml:space="preserve">action</w:t>
      </w:r>
      <w:r>
        <w:t xml:space="preserve"> </w:t>
      </w:r>
      <w:r>
        <w:t xml:space="preserve">is an experiment (choice of intervention target, settings, replicate count, measurement modality, etc.), the</w:t>
      </w:r>
      <w:r>
        <w:t xml:space="preserve"> </w:t>
      </w:r>
      <w:r>
        <w:rPr>
          <w:b/>
          <w:bCs/>
        </w:rPr>
        <w:t xml:space="preserve">observation</w:t>
      </w:r>
      <w:r>
        <w:t xml:space="preserve"> </w:t>
      </w:r>
      <w:r>
        <w:t xml:space="preserve">is experimental data, and the</w:t>
      </w:r>
      <w:r>
        <w:t xml:space="preserve"> </w:t>
      </w:r>
      <w:r>
        <w:rPr>
          <w:b/>
          <w:bCs/>
        </w:rPr>
        <w:t xml:space="preserve">latent state</w:t>
      </w:r>
      <w:r>
        <w:t xml:space="preserve"> </w:t>
      </w:r>
      <w:r>
        <w:t xml:space="preserve">encodes unknown mechanisms/parameters/structures of the world. This is naturally formalized as a (possibly large) partially observable Markov decision process (POMDP), but with an unusual action space (interventions) and objective space (scientific utility, not only task reward). The Bayesian experimental design (BED) literature frames each decision as selecting a design variable</w:t>
      </w:r>
      <w:r>
        <w:t xml:space="preserve"> </w:t>
      </w:r>
      <m:oMath>
        <m:r>
          <m:t>ξ</m:t>
        </m:r>
      </m:oMath>
      <w:r>
        <w:t xml:space="preserve"> </w:t>
      </w:r>
      <w:r>
        <w:t xml:space="preserve">to maximize an expected utility—most commonly</w:t>
      </w:r>
      <w:r>
        <w:t xml:space="preserve"> </w:t>
      </w:r>
      <w:r>
        <w:rPr>
          <w:b/>
          <w:bCs/>
        </w:rPr>
        <w:t xml:space="preserve">expected information gain</w:t>
      </w:r>
      <w:r>
        <w:t xml:space="preserve"> </w:t>
      </w:r>
      <w:r>
        <w:t xml:space="preserve">(EIG)—followed by Bayesian updating.</w:t>
      </w:r>
      <w:r>
        <w:t xml:space="preserve"> </w:t>
      </w:r>
      <w:hyperlink r:id="rId22">
        <w:r>
          <w:rPr>
            <w:rStyle w:val="Hyperlink"/>
          </w:rPr>
          <w:t xml:space="preserve">[2]</w:t>
        </w:r>
      </w:hyperlink>
    </w:p>
    <w:p>
      <w:pPr>
        <w:pStyle w:val="BodyText"/>
      </w:pPr>
      <w:r>
        <w:rPr>
          <w:b/>
          <w:bCs/>
        </w:rPr>
        <w:t xml:space="preserve">Open constraints (unspecified in the request; treated as degrees of freedom):</w:t>
      </w:r>
      <w:r>
        <w:t xml:space="preserve"> </w:t>
      </w:r>
      <w:r>
        <w:t xml:space="preserve">target scientific domain (chemistry/materials/biology/physics/social science), whether experiments are</w:t>
      </w:r>
      <w:r>
        <w:t xml:space="preserve"> </w:t>
      </w:r>
      <w:r>
        <w:rPr>
          <w:b/>
          <w:bCs/>
        </w:rPr>
        <w:t xml:space="preserve">physical</w:t>
      </w:r>
      <w:r>
        <w:t xml:space="preserve">,</w:t>
      </w:r>
      <w:r>
        <w:t xml:space="preserve"> </w:t>
      </w:r>
      <w:r>
        <w:rPr>
          <w:b/>
          <w:bCs/>
        </w:rPr>
        <w:t xml:space="preserve">simulated</w:t>
      </w:r>
      <w:r>
        <w:t xml:space="preserve">, or</w:t>
      </w:r>
      <w:r>
        <w:t xml:space="preserve"> </w:t>
      </w:r>
      <w:r>
        <w:rPr>
          <w:b/>
          <w:bCs/>
        </w:rPr>
        <w:t xml:space="preserve">hybrid</w:t>
      </w:r>
      <w:r>
        <w:t xml:space="preserve"> </w:t>
      </w:r>
      <w:r>
        <w:t xml:space="preserve">(multi-fidelity), accessible instrumentation and APIs, allowable intervention types (soft vs hard do-interventions), safety regime (biosafety/chemical hazards), resource model (time/cost/consumables/queue latency), and evaluation criteria (novelty, correctness, mechanistic interpretability, downstream utility). Recent policy-oriented reviews stress that these constraints strongly shape feasible autonomy and risk.</w:t>
      </w:r>
      <w:r>
        <w:t xml:space="preserve"> </w:t>
      </w:r>
      <w:hyperlink r:id="rId21">
        <w:r>
          <w:rPr>
            <w:rStyle w:val="Hyperlink"/>
          </w:rPr>
          <w:t xml:space="preserve">[3]</w:t>
        </w:r>
      </w:hyperlink>
    </w:p>
    <w:bookmarkEnd w:id="23"/>
    <w:bookmarkStart w:id="30" w:name="Xc24ec2a2384a452070d172fdc2acd69b4dc6ea8"/>
    <w:p>
      <w:pPr>
        <w:pStyle w:val="Heading2"/>
      </w:pPr>
      <w:r>
        <w:t xml:space="preserve">Architectures for an AI Scientist in a closed loop</w:t>
      </w:r>
    </w:p>
    <w:p>
      <w:pPr>
        <w:pStyle w:val="FirstParagraph"/>
      </w:pPr>
      <w:r>
        <w:t xml:space="preserve">The core architectural question is where “scientific knowledge” lives (symbolic hypotheses, probabilistic generative models, learned surrogates, causal graphs, LLM-generated programs), and how experiment choice is computed (Bayesian utility, information gain, active inference, RL, heuristics). Recent surveys of “AI scientists” also highlight pipeline decomposition into stages (literature understanding, idea generation, experiment preparation/execution, analysis, writing/evaluation), with current systems spanning from mostly-simulated loops to hybrid physical execution via lab APIs.</w:t>
      </w:r>
      <w:r>
        <w:t xml:space="preserve"> </w:t>
      </w:r>
      <w:hyperlink r:id="rId24">
        <w:r>
          <w:rPr>
            <w:rStyle w:val="Hyperlink"/>
          </w:rPr>
          <w:t xml:space="preserve">[4]</w:t>
        </w:r>
      </w:hyperlink>
    </w:p>
    <w:p>
      <w:pPr>
        <w:pStyle w:val="BodyText"/>
      </w:pPr>
      <w:r>
        <w:t xml:space="preserve">A minimal closed-loop architecture (common across families) looks like:</w:t>
      </w:r>
    </w:p>
    <w:p>
      <w:pPr>
        <w:pStyle w:val="SourceCode"/>
      </w:pPr>
      <w:r>
        <w:rPr>
          <w:rStyle w:val="VerbatimChar"/>
        </w:rPr>
        <w:t xml:space="preserve">    ┌───────────────┐      propose      ┌───────────────┐</w:t>
      </w:r>
      <w:r>
        <w:br/>
      </w:r>
      <w:r>
        <w:rPr>
          <w:rStyle w:val="VerbatimChar"/>
        </w:rPr>
        <w:t xml:space="preserve">    │   World model  │ ───────────────► │ Hypotheses /   │</w:t>
      </w:r>
      <w:r>
        <w:br/>
      </w:r>
      <w:r>
        <w:rPr>
          <w:rStyle w:val="VerbatimChar"/>
        </w:rPr>
        <w:t xml:space="preserve">    │ (beliefs over  │                  │ candidate      │</w:t>
      </w:r>
      <w:r>
        <w:br/>
      </w:r>
      <w:r>
        <w:rPr>
          <w:rStyle w:val="VerbatimChar"/>
        </w:rPr>
        <w:t xml:space="preserve">    │ mechanisms)    │ ◄─────────────── │ models         │</w:t>
      </w:r>
      <w:r>
        <w:br/>
      </w:r>
      <w:r>
        <w:rPr>
          <w:rStyle w:val="VerbatimChar"/>
        </w:rPr>
        <w:t xml:space="preserve">    └──────┬────────┘     update        └──────┬────────┘</w:t>
      </w:r>
      <w:r>
        <w:br/>
      </w:r>
      <w:r>
        <w:rPr>
          <w:rStyle w:val="VerbatimChar"/>
        </w:rPr>
        <w:t xml:space="preserve">           │                                   │</w:t>
      </w:r>
      <w:r>
        <w:br/>
      </w:r>
      <w:r>
        <w:rPr>
          <w:rStyle w:val="VerbatimChar"/>
        </w:rPr>
        <w:t xml:space="preserve">           │ choose experiment                  │ constraints/prior knowledge</w:t>
      </w:r>
      <w:r>
        <w:br/>
      </w:r>
      <w:r>
        <w:rPr>
          <w:rStyle w:val="VerbatimChar"/>
        </w:rPr>
        <w:t xml:space="preserve">           ▼                                   ▼</w:t>
      </w:r>
      <w:r>
        <w:br/>
      </w:r>
      <w:r>
        <w:rPr>
          <w:rStyle w:val="VerbatimChar"/>
        </w:rPr>
        <w:t xml:space="preserve">    ┌───────────────┐     compile/plan   ┌───────────────┐</w:t>
      </w:r>
      <w:r>
        <w:br/>
      </w:r>
      <w:r>
        <w:rPr>
          <w:rStyle w:val="VerbatimChar"/>
        </w:rPr>
        <w:t xml:space="preserve">    │ Experiment     │ ───────────────►  │ Executor       │</w:t>
      </w:r>
      <w:r>
        <w:br/>
      </w:r>
      <w:r>
        <w:rPr>
          <w:rStyle w:val="VerbatimChar"/>
        </w:rPr>
        <w:t xml:space="preserve">    │ selection      │                   │ (simulator or  │</w:t>
      </w:r>
      <w:r>
        <w:br/>
      </w:r>
      <w:r>
        <w:rPr>
          <w:rStyle w:val="VerbatimChar"/>
        </w:rPr>
        <w:t xml:space="preserve">    │ (utility)      │ ◄──────────────►  │ lab robots)    │</w:t>
      </w:r>
      <w:r>
        <w:br/>
      </w:r>
      <w:r>
        <w:rPr>
          <w:rStyle w:val="VerbatimChar"/>
        </w:rPr>
        <w:t xml:space="preserve">    └──────┬────────┘   telemetry/data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Data/metadata layer (provenance, calibration, QC,    │</w:t>
      </w:r>
      <w:r>
        <w:br/>
      </w:r>
      <w:r>
        <w:rPr>
          <w:rStyle w:val="VerbatimChar"/>
        </w:rPr>
        <w:t xml:space="preserve">    │ replication, safety checks, audit logs)              │</w:t>
      </w:r>
      <w:r>
        <w:br/>
      </w:r>
      <w:r>
        <w:rPr>
          <w:rStyle w:val="VerbatimChar"/>
        </w:rPr>
        <w:t xml:space="preserve">    └─────────────────────────────────────────────────────┘</w:t>
      </w:r>
    </w:p>
    <w:p>
      <w:pPr>
        <w:pStyle w:val="FirstParagraph"/>
      </w:pPr>
      <w:r>
        <w:t xml:space="preserve">This “data/metadata layer” is not optional in practice: orchestration systems for self-driving labs explicitly emphasize structured communication, instruction management, and traceable data exchange among components.</w:t>
      </w:r>
      <w:r>
        <w:t xml:space="preserve"> </w:t>
      </w:r>
      <w:hyperlink r:id="rId25">
        <w:r>
          <w:rPr>
            <w:rStyle w:val="Hyperlink"/>
          </w:rPr>
          <w:t xml:space="preserve">[5]</w:t>
        </w:r>
      </w:hyperlink>
    </w:p>
    <w:bookmarkStart w:id="29" w:name="X7548e92b8fe8bf77ed79358549684aa71a4a432"/>
    <w:p>
      <w:pPr>
        <w:pStyle w:val="Heading3"/>
      </w:pPr>
      <w:r>
        <w:t xml:space="preserve">Comparative table of architecture families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Architecture family</w:t>
            </w:r>
          </w:p>
        </w:tc>
        <w:tc>
          <w:tcPr/>
          <w:p>
            <w:pPr>
              <w:pStyle w:val="Compact"/>
            </w:pPr>
            <w:r>
              <w:t xml:space="preserve">Knowledge representation</w:t>
            </w:r>
          </w:p>
        </w:tc>
        <w:tc>
          <w:tcPr/>
          <w:p>
            <w:pPr>
              <w:pStyle w:val="Compact"/>
            </w:pPr>
            <w:r>
              <w:t xml:space="preserve">Experiment selection objective</w:t>
            </w:r>
          </w:p>
        </w:tc>
        <w:tc>
          <w:tcPr/>
          <w:p>
            <w:pPr>
              <w:pStyle w:val="Compact"/>
            </w:pPr>
            <w:r>
              <w:t xml:space="preserve">Execution integration</w:t>
            </w:r>
          </w:p>
        </w:tc>
        <w:tc>
          <w:tcPr/>
          <w:p>
            <w:pPr>
              <w:pStyle w:val="Compact"/>
            </w:pPr>
            <w:r>
              <w:t xml:space="preserve">Strengths in closed-loop science</w:t>
            </w:r>
          </w:p>
        </w:tc>
        <w:tc>
          <w:tcPr/>
          <w:p>
            <w:pPr>
              <w:pStyle w:val="Compact"/>
            </w:pPr>
            <w:r>
              <w:t xml:space="preserve">Typical failure modes / limits</w:t>
            </w:r>
          </w:p>
        </w:tc>
      </w:tr>
      <w:tr>
        <w:tc>
          <w:tcPr/>
          <w:p>
            <w:pPr>
              <w:pStyle w:val="Compact"/>
            </w:pPr>
            <w:r>
              <w:t xml:space="preserve">Symbolic “robot scientist” (hypothesis-led)</w:t>
            </w:r>
          </w:p>
        </w:tc>
        <w:tc>
          <w:tcPr/>
          <w:p>
            <w:pPr>
              <w:pStyle w:val="Compact"/>
            </w:pPr>
            <w:r>
              <w:t xml:space="preserve">Explicit hypothesis space + domain model/ontology; often logic/constraints</w:t>
            </w:r>
          </w:p>
        </w:tc>
        <w:tc>
          <w:tcPr/>
          <w:p>
            <w:pPr>
              <w:pStyle w:val="Compact"/>
            </w:pPr>
            <w:r>
              <w:t xml:space="preserve">Discriminative experiment choice to falsify/select hypotheses</w:t>
            </w:r>
          </w:p>
        </w:tc>
        <w:tc>
          <w:tcPr/>
          <w:p>
            <w:pPr>
              <w:pStyle w:val="Compact"/>
            </w:pPr>
            <w:r>
              <w:t xml:space="preserve">Tight coupling to specific assays/robots</w:t>
            </w:r>
          </w:p>
        </w:tc>
        <w:tc>
          <w:tcPr/>
          <w:p>
            <w:pPr>
              <w:pStyle w:val="Compact"/>
            </w:pPr>
            <w:r>
              <w:t xml:space="preserve">Mechanistic transparency; explicit falsification logic; good for narrow, well-formalized domains</w:t>
            </w:r>
          </w:p>
        </w:tc>
        <w:tc>
          <w:tcPr/>
          <w:p>
            <w:pPr>
              <w:pStyle w:val="Compact"/>
            </w:pPr>
            <w:r>
              <w:t xml:space="preserve">Brittle to mis-specified hypothesis space; hard to scale to high-dimensional continuous spaces or noisy assays</w:t>
            </w:r>
          </w:p>
        </w:tc>
      </w:tr>
      <w:tr>
        <w:tc>
          <w:tcPr/>
          <w:p>
            <w:pPr>
              <w:pStyle w:val="Compact"/>
            </w:pPr>
            <w:r>
              <w:t xml:space="preserve">Bayesian surrogate + Bayesian optimization (BO)</w:t>
            </w:r>
          </w:p>
        </w:tc>
        <w:tc>
          <w:tcPr/>
          <w:p>
            <w:pPr>
              <w:pStyle w:val="Compact"/>
            </w:pPr>
            <w:r>
              <w:t xml:space="preserve">Probabilistic surrogate (often GP, sometimes BNN/ensembles) for objective(s)</w:t>
            </w:r>
          </w:p>
        </w:tc>
        <w:tc>
          <w:tcPr/>
          <w:p>
            <w:pPr>
              <w:pStyle w:val="Compact"/>
            </w:pPr>
            <w:r>
              <w:t xml:space="preserve">Acquisition functions (EI/UCB/entropy/knowledge gradient); can be multi-objective</w:t>
            </w:r>
          </w:p>
        </w:tc>
        <w:tc>
          <w:tcPr/>
          <w:p>
            <w:pPr>
              <w:pStyle w:val="Compact"/>
            </w:pPr>
            <w:r>
              <w:t xml:space="preserve">Natural fit for self-driving labs optimizing materials/reactions</w:t>
            </w:r>
          </w:p>
        </w:tc>
        <w:tc>
          <w:tcPr/>
          <w:p>
            <w:pPr>
              <w:pStyle w:val="Compact"/>
            </w:pPr>
            <w:r>
              <w:t xml:space="preserve">Sample-efficient optimization under expensive evaluations; handles noise; supports constraints, multi-fidelity, batching</w:t>
            </w:r>
          </w:p>
        </w:tc>
        <w:tc>
          <w:tcPr/>
          <w:p>
            <w:pPr>
              <w:pStyle w:val="Compact"/>
            </w:pPr>
            <w:r>
              <w:t xml:space="preserve">Surrogate misspecification, curse of dimensionality; tends to optimize rather than</w:t>
            </w:r>
            <w:r>
              <w:t xml:space="preserve"> </w:t>
            </w:r>
            <w:r>
              <w:rPr>
                <w:i/>
                <w:iCs/>
              </w:rPr>
              <w:t xml:space="preserve">explain</w:t>
            </w:r>
            <w:r>
              <w:t xml:space="preserve"> </w:t>
            </w:r>
            <w:r>
              <w:t xml:space="preserve">unless paired with interpretability</w:t>
            </w:r>
          </w:p>
        </w:tc>
      </w:tr>
      <w:tr>
        <w:tc>
          <w:tcPr/>
          <w:p>
            <w:pPr>
              <w:pStyle w:val="Compact"/>
            </w:pPr>
            <w:r>
              <w:t xml:space="preserve">Bayesian experimental design (BED) / probabilistic programming</w:t>
            </w:r>
          </w:p>
        </w:tc>
        <w:tc>
          <w:tcPr/>
          <w:p>
            <w:pPr>
              <w:pStyle w:val="Compact"/>
            </w:pPr>
            <w:r>
              <w:t xml:space="preserve">Generative model</w:t>
            </w:r>
            <w:r>
              <w:t xml:space="preserve"> </w:t>
            </w:r>
            <m:oMath>
              <m:r>
                <m:t>p</m:t>
              </m:r>
              <m:d>
                <m:dPr>
                  <m:begChr m:val="("/>
                  <m:sepChr m:val=""/>
                  <m:endChr m:val=")"/>
                  <m:grow/>
                </m:dPr>
                <m:e>
                  <m:r>
                    <m:t>y</m:t>
                  </m:r>
                  <m:r>
                    <m:rPr>
                      <m:sty m:val="p"/>
                    </m:rPr>
                    <m:t>|</m:t>
                  </m:r>
                  <m:r>
                    <m:t>θ</m:t>
                  </m:r>
                  <m:r>
                    <m:rPr>
                      <m:sty m:val="p"/>
                    </m:rPr>
                    <m:t>,</m:t>
                  </m:r>
                  <m:r>
                    <m:t>ξ</m:t>
                  </m:r>
                </m:e>
              </m:d>
            </m:oMath>
            <w:r>
              <w:t xml:space="preserve">, prior</w:t>
            </w:r>
            <w:r>
              <w:t xml:space="preserve"> </w:t>
            </w:r>
            <m:oMath>
              <m:r>
                <m:t>p</m:t>
              </m:r>
              <m:d>
                <m:dPr>
                  <m:begChr m:val="("/>
                  <m:sepChr m:val=""/>
                  <m:endChr m:val=")"/>
                  <m:grow/>
                </m:dPr>
                <m:e>
                  <m:r>
                    <m:t>θ</m:t>
                  </m:r>
                </m:e>
              </m:d>
            </m:oMath>
            <w:r>
              <w:t xml:space="preserve">, posterior</w:t>
            </w:r>
            <w:r>
              <w:t xml:space="preserve"> </w:t>
            </w:r>
            <m:oMath>
              <m:r>
                <m:t>p</m:t>
              </m:r>
              <m:d>
                <m:dPr>
                  <m:begChr m:val="("/>
                  <m:sepChr m:val=""/>
                  <m:endChr m:val=")"/>
                  <m:grow/>
                </m:dPr>
                <m:e>
                  <m:r>
                    <m:t>θ</m:t>
                  </m:r>
                  <m:r>
                    <m:rPr>
                      <m:sty m:val="p"/>
                    </m:rPr>
                    <m:t>|</m:t>
                  </m:r>
                  <m:r>
                    <m:t>D</m:t>
                  </m:r>
                </m:e>
              </m:d>
            </m:oMath>
          </w:p>
        </w:tc>
        <w:tc>
          <w:tcPr/>
          <w:p>
            <w:pPr>
              <w:pStyle w:val="Compact"/>
            </w:pPr>
            <w:r>
              <w:t xml:space="preserve">Expected information gain</w:t>
            </w:r>
            <w:r>
              <w:t xml:space="preserve"> </w:t>
            </w:r>
            <m:oMath>
              <m:r>
                <m:t>I</m:t>
              </m:r>
              <m:d>
                <m:dPr>
                  <m:begChr m:val="("/>
                  <m:sepChr m:val=""/>
                  <m:endChr m:val=")"/>
                  <m:grow/>
                </m:dPr>
                <m:e>
                  <m:r>
                    <m:t>θ</m:t>
                  </m:r>
                  <m:r>
                    <m:rPr>
                      <m:sty m:val="p"/>
                    </m:rPr>
                    <m:t>;</m:t>
                  </m:r>
                  <m:r>
                    <m:t>y</m:t>
                  </m:r>
                  <m:r>
                    <m:rPr>
                      <m:sty m:val="p"/>
                    </m:rPr>
                    <m:t>|</m:t>
                  </m:r>
                  <m:r>
                    <m:t>ξ</m:t>
                  </m:r>
                </m:e>
              </m:d>
            </m:oMath>
            <w:r>
              <w:t xml:space="preserve"> </w:t>
            </w:r>
            <w:r>
              <w:t xml:space="preserve">or task utility</w:t>
            </w:r>
          </w:p>
        </w:tc>
        <w:tc>
          <w:tcPr/>
          <w:p>
            <w:pPr>
              <w:pStyle w:val="Compact"/>
            </w:pPr>
            <w:r>
              <w:t xml:space="preserve">Works with simulators or labs; requires likelihood (explicit or implicit)</w:t>
            </w:r>
          </w:p>
        </w:tc>
        <w:tc>
          <w:tcPr/>
          <w:p>
            <w:pPr>
              <w:pStyle w:val="Compact"/>
            </w:pPr>
            <w:r>
              <w:t xml:space="preserve">Principled utility of experiments; unifies inference + design; direct link to mutual information</w:t>
            </w:r>
          </w:p>
        </w:tc>
        <w:tc>
          <w:tcPr/>
          <w:p>
            <w:pPr>
              <w:pStyle w:val="Compact"/>
            </w:pPr>
            <w:r>
              <w:t xml:space="preserve">EIG estimation is computationally heavy; sensitive to model misspecification; needs good priors and observation models</w:t>
            </w:r>
          </w:p>
        </w:tc>
      </w:tr>
      <w:tr>
        <w:tc>
          <w:tcPr/>
          <w:p>
            <w:pPr>
              <w:pStyle w:val="Compact"/>
            </w:pPr>
            <w:r>
              <w:t xml:space="preserve">Active inference / free energy principle</w:t>
            </w:r>
          </w:p>
        </w:tc>
        <w:tc>
          <w:tcPr/>
          <w:p>
            <w:pPr>
              <w:pStyle w:val="Compact"/>
            </w:pPr>
            <w:r>
              <w:t xml:space="preserve">Generative model over observations and latent states; preferences encoded as priors over outcomes</w:t>
            </w:r>
          </w:p>
        </w:tc>
        <w:tc>
          <w:tcPr/>
          <w:p>
            <w:pPr>
              <w:pStyle w:val="Compact"/>
            </w:pPr>
            <w:r>
              <w:t xml:space="preserve">Minimize expected free energy (EFE), combining “risk” (preference mismatch) + “epistemic value” (uncertainty reduction)</w:t>
            </w:r>
          </w:p>
        </w:tc>
        <w:tc>
          <w:tcPr/>
          <w:p>
            <w:pPr>
              <w:pStyle w:val="Compact"/>
            </w:pPr>
            <w:r>
              <w:t xml:space="preserve">Often demonstrated in simulated POMDPs; can, in principle, drive experiment choice</w:t>
            </w:r>
          </w:p>
        </w:tc>
        <w:tc>
          <w:tcPr/>
          <w:p>
            <w:pPr>
              <w:pStyle w:val="Compact"/>
            </w:pPr>
            <w:r>
              <w:t xml:space="preserve">Single objective that blends goal-seeking + exploration; explicit treatment of preferences and uncertainty</w:t>
            </w:r>
          </w:p>
        </w:tc>
        <w:tc>
          <w:tcPr/>
          <w:p>
            <w:pPr>
              <w:pStyle w:val="Compact"/>
            </w:pPr>
            <w:r>
              <w:t xml:space="preserve">Practical inference/planning can be complex; behavior depends strongly on generative model and preference encoding; scalability remains a challenge</w:t>
            </w:r>
          </w:p>
        </w:tc>
      </w:tr>
      <w:tr>
        <w:tc>
          <w:tcPr/>
          <w:p>
            <w:pPr>
              <w:pStyle w:val="Compact"/>
            </w:pPr>
            <w:r>
              <w:t xml:space="preserve">Causal-discovery-centered (SCM learning)</w:t>
            </w:r>
          </w:p>
        </w:tc>
        <w:tc>
          <w:tcPr/>
          <w:p>
            <w:pPr>
              <w:pStyle w:val="Compact"/>
            </w:pPr>
            <w:r>
              <w:t xml:space="preserve">Causal graph + mechanisms (SCM), possibly Bayesian posterior over graphs</w:t>
            </w:r>
          </w:p>
        </w:tc>
        <w:tc>
          <w:tcPr/>
          <w:p>
            <w:pPr>
              <w:pStyle w:val="Compact"/>
            </w:pPr>
            <w:r>
              <w:t xml:space="preserve">Interventions chosen to learn graph/query (graph entropy reduction / mutual information about causal query)</w:t>
            </w:r>
          </w:p>
        </w:tc>
        <w:tc>
          <w:tcPr/>
          <w:p>
            <w:pPr>
              <w:pStyle w:val="Compact"/>
            </w:pPr>
            <w:r>
              <w:t xml:space="preserve">Well-suited to closed-loop</w:t>
            </w:r>
            <w:r>
              <w:t xml:space="preserve"> </w:t>
            </w:r>
            <w:r>
              <w:rPr>
                <w:i/>
                <w:iCs/>
              </w:rPr>
              <w:t xml:space="preserve">intervention</w:t>
            </w:r>
            <w:r>
              <w:t xml:space="preserve"> </w:t>
            </w:r>
            <w:r>
              <w:t xml:space="preserve">settings</w:t>
            </w:r>
          </w:p>
        </w:tc>
        <w:tc>
          <w:tcPr/>
          <w:p>
            <w:pPr>
              <w:pStyle w:val="Compact"/>
            </w:pPr>
            <w:r>
              <w:t xml:space="preserve">Targets mechanistic causal structure; supports counterfactual/interventional reasoning</w:t>
            </w:r>
          </w:p>
        </w:tc>
        <w:tc>
          <w:tcPr/>
          <w:p>
            <w:pPr>
              <w:pStyle w:val="Compact"/>
            </w:pPr>
            <w:r>
              <w:t xml:space="preserve">Identifiability requires assumptions; hidden confounding and selection bias are hard; interventions may be constrained/unsafe</w:t>
            </w:r>
          </w:p>
        </w:tc>
      </w:tr>
      <w:tr>
        <w:tc>
          <w:tcPr/>
          <w:p>
            <w:pPr>
              <w:pStyle w:val="Compact"/>
            </w:pPr>
            <w:r>
              <w:t xml:space="preserve">LLM-agent “AI scientist” (tool-using)</w:t>
            </w:r>
          </w:p>
        </w:tc>
        <w:tc>
          <w:tcPr/>
          <w:p>
            <w:pPr>
              <w:pStyle w:val="Compact"/>
            </w:pPr>
            <w:r>
              <w:t xml:space="preserve">Mixed: text/code memories, programs, partial models; sometimes self-review/evaluation</w:t>
            </w:r>
          </w:p>
        </w:tc>
        <w:tc>
          <w:tcPr/>
          <w:p>
            <w:pPr>
              <w:pStyle w:val="Compact"/>
            </w:pPr>
            <w:r>
              <w:t xml:space="preserve">Heuristics, tree-search over plans, or model-based utilities; often hybrid with BO/BED</w:t>
            </w:r>
          </w:p>
        </w:tc>
        <w:tc>
          <w:tcPr/>
          <w:p>
            <w:pPr>
              <w:pStyle w:val="Compact"/>
            </w:pPr>
            <w:r>
              <w:t xml:space="preserve">Strong at “glue” work: reading docs, writing code, calling APIs</w:t>
            </w:r>
          </w:p>
        </w:tc>
        <w:tc>
          <w:tcPr/>
          <w:p>
            <w:pPr>
              <w:pStyle w:val="Compact"/>
            </w:pPr>
            <w:r>
              <w:t xml:space="preserve">Automates planning, code, documentation search, workflow composition; can bridge unstructured to structured actions</w:t>
            </w:r>
          </w:p>
        </w:tc>
        <w:tc>
          <w:tcPr/>
          <w:p>
            <w:pPr>
              <w:pStyle w:val="Compact"/>
            </w:pPr>
            <w:r>
              <w:t xml:space="preserve">Hallucinated plans, weak grounding, unreliable long-horizon tool use; needs rigorous validation/QC gates</w:t>
            </w:r>
          </w:p>
        </w:tc>
      </w:tr>
    </w:tbl>
    <w:p>
      <w:pPr>
        <w:pStyle w:val="BodyText"/>
      </w:pPr>
      <w:r>
        <w:rPr>
          <w:b/>
          <w:bCs/>
        </w:rPr>
        <w:t xml:space="preserve">Evidence anchors:</w:t>
      </w:r>
      <w:r>
        <w:t xml:space="preserve"> </w:t>
      </w:r>
      <w:r>
        <w:t xml:space="preserve">agentic “AI scientist” frameworks that autonomously generate ideas, write/execute code experiments, and produce papers are documented (simulator-first), while LLM-driven systems that control lab hardware through documentation + APIs have been demonstrated in chemistry tasks.</w:t>
      </w:r>
      <w:r>
        <w:t xml:space="preserve"> </w:t>
      </w:r>
      <w:hyperlink r:id="rId26">
        <w:r>
          <w:rPr>
            <w:rStyle w:val="Hyperlink"/>
          </w:rPr>
          <w:t xml:space="preserve">[6]</w:t>
        </w:r>
      </w:hyperlink>
    </w:p>
    <w:p>
      <w:pPr>
        <w:pStyle w:val="BodyText"/>
      </w:pPr>
      <w:r>
        <w:t xml:space="preserve">A useful empirical distinction is</w:t>
      </w:r>
      <w:r>
        <w:t xml:space="preserve"> </w:t>
      </w:r>
      <w:r>
        <w:rPr>
          <w:b/>
          <w:bCs/>
        </w:rPr>
        <w:t xml:space="preserve">optimizer loops</w:t>
      </w:r>
      <w:r>
        <w:t xml:space="preserve"> </w:t>
      </w:r>
      <w:r>
        <w:t xml:space="preserve">vs</w:t>
      </w:r>
      <w:r>
        <w:t xml:space="preserve"> </w:t>
      </w:r>
      <w:r>
        <w:rPr>
          <w:b/>
          <w:bCs/>
        </w:rPr>
        <w:t xml:space="preserve">discovery loops</w:t>
      </w:r>
      <w:r>
        <w:t xml:space="preserve">. Optimizer loops aim to maximize objectives (mobility, conductivity, yield, etc.)—an area where BO-guided self-driving labs have strong evidence (thin-film materials optimization; multi-objective Pareto front mapping; chemical synthesis automation).</w:t>
      </w:r>
      <w:r>
        <w:t xml:space="preserve"> </w:t>
      </w:r>
      <w:hyperlink r:id="rId27">
        <w:r>
          <w:rPr>
            <w:rStyle w:val="Hyperlink"/>
          </w:rPr>
          <w:t xml:space="preserve">[7]</w:t>
        </w:r>
      </w:hyperlink>
      <w:r>
        <w:t xml:space="preserve"> </w:t>
      </w:r>
      <w:r>
        <w:t xml:space="preserve">Discovery loops additionally aim to infer</w:t>
      </w:r>
      <w:r>
        <w:t xml:space="preserve"> </w:t>
      </w:r>
      <w:r>
        <w:rPr>
          <w:i/>
          <w:iCs/>
        </w:rPr>
        <w:t xml:space="preserve">structure</w:t>
      </w:r>
      <w:r>
        <w:t xml:space="preserve"> </w:t>
      </w:r>
      <w:r>
        <w:t xml:space="preserve">(causal graphs, laws/equations) and produce transferable explanations—where causal discovery and symbolic regression become central and where evidence is more mixed and domain-dependent.</w:t>
      </w:r>
      <w:r>
        <w:t xml:space="preserve"> </w:t>
      </w:r>
      <w:hyperlink r:id="rId28">
        <w:r>
          <w:rPr>
            <w:rStyle w:val="Hyperlink"/>
          </w:rPr>
          <w:t xml:space="preserve">[8]</w:t>
        </w:r>
      </w:hyperlink>
    </w:p>
    <w:p>
      <w:pPr>
        <w:pStyle w:val="BodyText"/>
      </w:pPr>
      <w:r>
        <w:t xml:space="preserve">One high-impact hybrid pattern in real systems is an</w:t>
      </w:r>
      <w:r>
        <w:t xml:space="preserve"> </w:t>
      </w:r>
      <w:r>
        <w:rPr>
          <w:b/>
          <w:bCs/>
        </w:rPr>
        <w:t xml:space="preserve">orchestrator + optimizer + lab abstraction</w:t>
      </w:r>
      <w:r>
        <w:t xml:space="preserve"> </w:t>
      </w:r>
      <w:r>
        <w:t xml:space="preserve">stack: orchestration software coordinates instruments and data exchange, while optimizers propose new experiments, and lab APIs execute. ChemOS is presented explicitly as an orchestration layer supplying “structured layers” for deploying self-driving labs.</w:t>
      </w:r>
      <w:r>
        <w:t xml:space="preserve"> </w:t>
      </w:r>
      <w:hyperlink r:id="rId25">
        <w:r>
          <w:rPr>
            <w:rStyle w:val="Hyperlink"/>
          </w:rPr>
          <w:t xml:space="preserve">[9]</w:t>
        </w:r>
      </w:hyperlink>
    </w:p>
    <w:bookmarkEnd w:id="29"/>
    <w:bookmarkEnd w:id="30"/>
    <w:bookmarkStart w:id="40" w:name="X8cae7ce6702ab4ce2f66ea08100dc3288786c78"/>
    <w:p>
      <w:pPr>
        <w:pStyle w:val="Heading2"/>
      </w:pPr>
      <w:r>
        <w:t xml:space="preserve">Experiment selection: active inference/free energy vs information gain</w:t>
      </w:r>
    </w:p>
    <w:p>
      <w:pPr>
        <w:pStyle w:val="FirstParagraph"/>
      </w:pPr>
      <w:r>
        <w:t xml:space="preserve">This section compares two families of experiment choice principles:</w:t>
      </w:r>
    </w:p>
    <w:p>
      <w:pPr>
        <w:pStyle w:val="Compact"/>
        <w:numPr>
          <w:ilvl w:val="0"/>
          <w:numId w:val="1001"/>
        </w:numPr>
      </w:pPr>
      <w:r>
        <w:rPr>
          <w:b/>
          <w:bCs/>
        </w:rPr>
        <w:t xml:space="preserve">Information-gain–driven experiment design</w:t>
      </w:r>
      <w:r>
        <w:t xml:space="preserve"> </w:t>
      </w:r>
      <w:r>
        <w:t xml:space="preserve">(BED/active learning/BO entropy search): choose experiments that maximally reduce uncertainty about parameters/models/queries.</w:t>
      </w:r>
    </w:p>
    <w:p>
      <w:pPr>
        <w:pStyle w:val="Compact"/>
        <w:numPr>
          <w:ilvl w:val="0"/>
          <w:numId w:val="1001"/>
        </w:numPr>
      </w:pPr>
      <w:r>
        <w:rPr>
          <w:b/>
          <w:bCs/>
        </w:rPr>
        <w:t xml:space="preserve">Active inference / expected free energy</w:t>
      </w:r>
      <w:r>
        <w:t xml:space="preserve">: choose policies/actions that minimize a variational functional combining preference satisfaction and epistemic uncertainty reduction.</w:t>
      </w:r>
    </w:p>
    <w:bookmarkStart w:id="31" w:name="X4d71ee29d7ff9151f4d2e7809fa47da01bf2120"/>
    <w:p>
      <w:pPr>
        <w:pStyle w:val="Heading3"/>
      </w:pPr>
      <w:r>
        <w:t xml:space="preserve">Information gain as a canonical experimental utility</w:t>
      </w:r>
    </w:p>
    <w:p>
      <w:pPr>
        <w:pStyle w:val="FirstParagraph"/>
      </w:pPr>
      <w:r>
        <w:t xml:space="preserve">Let</w:t>
      </w:r>
      <w:r>
        <w:t xml:space="preserve"> </w:t>
      </w:r>
      <m:oMath>
        <m:r>
          <m:t>θ</m:t>
        </m:r>
      </m:oMath>
      <w:r>
        <w:t xml:space="preserve"> </w:t>
      </w:r>
      <w:r>
        <w:t xml:space="preserve">denote unknown parameters/structures (including discrete model indices, causal graphs, or continuous parameters),</w:t>
      </w:r>
      <w:r>
        <w:t xml:space="preserve"> </w:t>
      </w:r>
      <m:oMath>
        <m:r>
          <m:t>y</m:t>
        </m:r>
      </m:oMath>
      <w:r>
        <w:t xml:space="preserve"> </w:t>
      </w:r>
      <w:r>
        <w:t xml:space="preserve">denote the outcome of an experiment, and</w:t>
      </w:r>
      <w:r>
        <w:t xml:space="preserve"> </w:t>
      </w:r>
      <m:oMath>
        <m:r>
          <m:t>ξ</m:t>
        </m:r>
      </m:oMath>
      <w:r>
        <w:t xml:space="preserve"> </w:t>
      </w:r>
      <w:r>
        <w:t xml:space="preserve">denote the design (intervention choice, settings, measurement plan). In BED, the expected information gain (EIG) is:</w:t>
      </w:r>
    </w:p>
    <w:p>
      <w:pPr>
        <w:pStyle w:val="BodyText"/>
      </w:pPr>
      <m:oMathPara>
        <m:oMathParaPr>
          <m:jc m:val="center"/>
        </m:oMathParaPr>
        <m:oMath>
          <m:sSub>
            <m:e>
              <m:r>
                <m:rPr>
                  <m:sty m:val="p"/>
                </m:rPr>
                <m:t>E</m:t>
              </m:r>
              <m:r>
                <m:rPr>
                  <m:sty m:val="p"/>
                </m:rPr>
                <m:t>I</m:t>
              </m:r>
              <m:r>
                <m:rPr>
                  <m:sty m:val="p"/>
                </m:rPr>
                <m:t>G</m:t>
              </m:r>
            </m:e>
            <m:sub>
              <m:r>
                <m:t>θ</m:t>
              </m:r>
            </m:sub>
          </m:sSub>
          <m:d>
            <m:dPr>
              <m:begChr m:val="("/>
              <m:sepChr m:val=""/>
              <m:endChr m:val=")"/>
              <m:grow/>
            </m:dPr>
            <m:e>
              <m:r>
                <m:t>ξ</m:t>
              </m:r>
            </m:e>
          </m:d>
          <m:r>
            <m:rPr>
              <m:sty m:val="p"/>
            </m:rPr>
            <m:t>=</m:t>
          </m:r>
          <m:sSub>
            <m:e>
              <m:r>
                <m:rPr>
                  <m:sty m:val="p"/>
                  <m:scr m:val="double-struck"/>
                </m:rPr>
                <m:t>E</m:t>
              </m:r>
            </m:e>
            <m:sub>
              <m:r>
                <m:t>p</m:t>
              </m:r>
              <m:d>
                <m:dPr>
                  <m:begChr m:val="("/>
                  <m:sepChr m:val=""/>
                  <m:endChr m:val=")"/>
                  <m:grow/>
                </m:dPr>
                <m:e>
                  <m:r>
                    <m:t>y</m:t>
                  </m:r>
                  <m:r>
                    <m:rPr>
                      <m:sty m:val="p"/>
                    </m:rPr>
                    <m:t>|</m:t>
                  </m:r>
                  <m:r>
                    <m:t>ξ</m:t>
                  </m:r>
                </m:e>
              </m:d>
            </m:sub>
          </m:sSub>
          <m:r>
            <m:t>​</m:t>
          </m:r>
          <m:d>
            <m:dPr>
              <m:begChr m:val="["/>
              <m:sepChr m:val=""/>
              <m:endChr m:val="]"/>
              <m:grow/>
            </m:dPr>
            <m:e>
              <m:r>
                <m:rPr>
                  <m:sty m:val="p"/>
                </m:rPr>
                <m:t>K</m:t>
              </m:r>
              <m:r>
                <m:rPr>
                  <m:sty m:val="p"/>
                </m:rPr>
                <m:t>L</m:t>
              </m:r>
              <m:d>
                <m:dPr>
                  <m:begChr m:val="("/>
                  <m:sepChr m:val=""/>
                  <m:endChr m:val=")"/>
                  <m:grow/>
                </m:dPr>
                <m:e>
                  <m:r>
                    <m:t>p</m:t>
                  </m:r>
                  <m:d>
                    <m:dPr>
                      <m:begChr m:val="("/>
                      <m:sepChr m:val=""/>
                      <m:endChr m:val=")"/>
                      <m:grow/>
                    </m:dPr>
                    <m:e>
                      <m:r>
                        <m:t>θ</m:t>
                      </m:r>
                      <m:r>
                        <m:rPr>
                          <m:sty m:val="p"/>
                        </m:rPr>
                        <m:t>|</m:t>
                      </m:r>
                      <m:r>
                        <m:t>y</m:t>
                      </m:r>
                      <m:r>
                        <m:rPr>
                          <m:sty m:val="p"/>
                        </m:rPr>
                        <m:t>,</m:t>
                      </m:r>
                      <m:r>
                        <m:t>ξ</m:t>
                      </m:r>
                    </m:e>
                  </m:d>
                  <m:r>
                    <m:t> </m:t>
                  </m:r>
                  <m:r>
                    <m:rPr>
                      <m:sty m:val="p"/>
                    </m:rPr>
                    <m:t>∥</m:t>
                  </m:r>
                  <m:r>
                    <m:t> </m:t>
                  </m:r>
                  <m:r>
                    <m:t>p</m:t>
                  </m:r>
                  <m:d>
                    <m:dPr>
                      <m:begChr m:val="("/>
                      <m:sepChr m:val=""/>
                      <m:endChr m:val=")"/>
                      <m:grow/>
                    </m:dPr>
                    <m:e>
                      <m:r>
                        <m:t>θ</m:t>
                      </m:r>
                    </m:e>
                  </m:d>
                </m:e>
              </m:d>
            </m:e>
          </m:d>
          <m:r>
            <m:rPr>
              <m:sty m:val="p"/>
            </m:rPr>
            <m:t>=</m:t>
          </m:r>
          <m:sSub>
            <m:e>
              <m:r>
                <m:rPr>
                  <m:sty m:val="p"/>
                  <m:scr m:val="double-struck"/>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ξ</m:t>
                  </m:r>
                </m:e>
              </m:d>
            </m:sub>
          </m:sSub>
          <m:r>
            <m:t>​</m:t>
          </m:r>
          <m:d>
            <m:dPr>
              <m:begChr m:val="["/>
              <m:sepChr m:val=""/>
              <m:endChr m:val="]"/>
              <m:grow/>
            </m:dPr>
            <m:e>
              <m:r>
                <m:rPr>
                  <m:sty m:val="p"/>
                </m:rPr>
                <m:t>log</m:t>
              </m:r>
              <m:r>
                <m:t>p</m:t>
              </m:r>
              <m:d>
                <m:dPr>
                  <m:begChr m:val="("/>
                  <m:sepChr m:val=""/>
                  <m:endChr m:val=")"/>
                  <m:grow/>
                </m:dPr>
                <m:e>
                  <m:r>
                    <m:t>θ</m:t>
                  </m:r>
                  <m:r>
                    <m:rPr>
                      <m:sty m:val="p"/>
                    </m:rPr>
                    <m:t>|</m:t>
                  </m:r>
                  <m:r>
                    <m:t>y</m:t>
                  </m:r>
                  <m:r>
                    <m:rPr>
                      <m:sty m:val="p"/>
                    </m:rPr>
                    <m:t>,</m:t>
                  </m:r>
                  <m:r>
                    <m:t>ξ</m:t>
                  </m:r>
                </m:e>
              </m:d>
              <m:r>
                <m:rPr>
                  <m:sty m:val="p"/>
                </m:rPr>
                <m:t>−</m:t>
              </m:r>
              <m:r>
                <m:rPr>
                  <m:sty m:val="p"/>
                </m:rPr>
                <m:t>log</m:t>
              </m:r>
              <m:r>
                <m:t>p</m:t>
              </m:r>
              <m:d>
                <m:dPr>
                  <m:begChr m:val="("/>
                  <m:sepChr m:val=""/>
                  <m:endChr m:val=")"/>
                  <m:grow/>
                </m:dPr>
                <m:e>
                  <m:r>
                    <m:t>θ</m:t>
                  </m:r>
                </m:e>
              </m:d>
            </m:e>
          </m:d>
          <m:r>
            <m:rPr>
              <m:sty m:val="p"/>
            </m:rPr>
            <m:t>=</m:t>
          </m:r>
          <m:sSub>
            <m:e>
              <m:r>
                <m:rPr>
                  <m:sty m:val="p"/>
                  <m:scr m:val="double-struck"/>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ξ</m:t>
                  </m:r>
                </m:e>
              </m:d>
            </m:sub>
          </m:sSub>
          <m:r>
            <m:t>​</m:t>
          </m:r>
          <m:d>
            <m:dPr>
              <m:begChr m:val="["/>
              <m:sepChr m:val=""/>
              <m:endChr m:val="]"/>
              <m:grow/>
            </m:dPr>
            <m:e>
              <m:r>
                <m:rPr>
                  <m:sty m:val="p"/>
                </m:rPr>
                <m:t>log</m:t>
              </m:r>
              <m:r>
                <m:t>p</m:t>
              </m:r>
              <m:d>
                <m:dPr>
                  <m:begChr m:val="("/>
                  <m:sepChr m:val=""/>
                  <m:endChr m:val=")"/>
                  <m:grow/>
                </m:dPr>
                <m:e>
                  <m:r>
                    <m:t>y</m:t>
                  </m:r>
                  <m:r>
                    <m:rPr>
                      <m:sty m:val="p"/>
                    </m:rPr>
                    <m:t>|</m:t>
                  </m:r>
                  <m:r>
                    <m:t>θ</m:t>
                  </m:r>
                  <m:r>
                    <m:rPr>
                      <m:sty m:val="p"/>
                    </m:rPr>
                    <m:t>,</m:t>
                  </m:r>
                  <m:r>
                    <m:t>ξ</m:t>
                  </m:r>
                </m:e>
              </m:d>
              <m:r>
                <m:rPr>
                  <m:sty m:val="p"/>
                </m:rPr>
                <m:t>−</m:t>
              </m:r>
              <m:r>
                <m:rPr>
                  <m:sty m:val="p"/>
                </m:rPr>
                <m:t>log</m:t>
              </m:r>
              <m:r>
                <m:t>p</m:t>
              </m:r>
              <m:d>
                <m:dPr>
                  <m:begChr m:val="("/>
                  <m:sepChr m:val=""/>
                  <m:endChr m:val=")"/>
                  <m:grow/>
                </m:dPr>
                <m:e>
                  <m:r>
                    <m:t>y</m:t>
                  </m:r>
                  <m:r>
                    <m:rPr>
                      <m:sty m:val="p"/>
                    </m:rPr>
                    <m:t>|</m:t>
                  </m:r>
                  <m:r>
                    <m:t>ξ</m:t>
                  </m:r>
                </m:e>
              </m:d>
            </m:e>
          </m:d>
          <m:r>
            <m:rPr>
              <m:sty m:val="p"/>
            </m:rPr>
            <m:t>.</m:t>
          </m:r>
        </m:oMath>
      </m:oMathPara>
    </w:p>
    <w:p>
      <w:pPr>
        <w:pStyle w:val="FirstParagraph"/>
      </w:pPr>
      <w:hyperlink r:id="rId22">
        <w:r>
          <w:rPr>
            <w:rStyle w:val="Hyperlink"/>
          </w:rPr>
          <w:t xml:space="preserve">[2]</w:t>
        </w:r>
      </w:hyperlink>
    </w:p>
    <w:p>
      <w:pPr>
        <w:pStyle w:val="BodyText"/>
      </w:pPr>
      <w:r>
        <w:t xml:space="preserve">This directly shows EIG as a</w:t>
      </w:r>
      <w:r>
        <w:t xml:space="preserve"> </w:t>
      </w:r>
      <w:r>
        <w:rPr>
          <w:b/>
          <w:bCs/>
        </w:rPr>
        <w:t xml:space="preserve">mutual information</w:t>
      </w:r>
      <w:r>
        <w:t xml:space="preserve"> </w:t>
      </w:r>
      <w:r>
        <w:t xml:space="preserve">between</w:t>
      </w:r>
      <w:r>
        <w:t xml:space="preserve"> </w:t>
      </w:r>
      <m:oMath>
        <m:r>
          <m:t>θ</m:t>
        </m:r>
      </m:oMath>
      <w:r>
        <w:t xml:space="preserve"> </w:t>
      </w:r>
      <w:r>
        <w:t xml:space="preserve">and</w:t>
      </w:r>
      <w:r>
        <w:t xml:space="preserve"> </w:t>
      </w:r>
      <m:oMath>
        <m:r>
          <m:t>y</m:t>
        </m:r>
      </m:oMath>
      <w:r>
        <w:t xml:space="preserve"> </w:t>
      </w:r>
      <w:r>
        <w:t xml:space="preserve">given</w:t>
      </w:r>
      <w:r>
        <w:t xml:space="preserve"> </w:t>
      </w:r>
      <m:oMath>
        <m:r>
          <m:t>ξ</m:t>
        </m:r>
      </m:oMath>
      <w:r>
        <w:t xml:space="preserve">:</w:t>
      </w:r>
      <w:r>
        <w:t xml:space="preserve"> </w:t>
      </w:r>
      <m:oMath>
        <m:r>
          <m:t>I</m:t>
        </m:r>
        <m:d>
          <m:dPr>
            <m:begChr m:val="("/>
            <m:sepChr m:val=""/>
            <m:endChr m:val=")"/>
            <m:grow/>
          </m:dPr>
          <m:e>
            <m:r>
              <m:t>θ</m:t>
            </m:r>
            <m:r>
              <m:rPr>
                <m:sty m:val="p"/>
              </m:rPr>
              <m:t>;</m:t>
            </m:r>
            <m:r>
              <m:t>y</m:t>
            </m:r>
            <m:r>
              <m:rPr>
                <m:sty m:val="p"/>
              </m:rPr>
              <m:t>∣</m:t>
            </m:r>
            <m:r>
              <m:t>ξ</m:t>
            </m:r>
          </m:e>
        </m:d>
      </m:oMath>
      <w:r>
        <w:t xml:space="preserve">. In closed-loop settings, “traditional” adaptive design repeats: choose</w:t>
      </w:r>
      <w:r>
        <w:t xml:space="preserve"> </w:t>
      </w:r>
      <m:oMath>
        <m:sSub>
          <m:e>
            <m:r>
              <m:t>ξ</m:t>
            </m:r>
          </m:e>
          <m:sub>
            <m:r>
              <m:t>t</m:t>
            </m:r>
          </m:sub>
        </m:sSub>
      </m:oMath>
      <w:r>
        <w:t xml:space="preserve"> </w:t>
      </w:r>
      <w:r>
        <w:t xml:space="preserve">to maximize incremental EIG given history</w:t>
      </w:r>
      <w:r>
        <w:t xml:space="preserve"> </w:t>
      </w:r>
      <m:oMath>
        <m:sSub>
          <m:e>
            <m:r>
              <m:t>h</m:t>
            </m:r>
          </m:e>
          <m:sub>
            <m:r>
              <m:t>t</m:t>
            </m:r>
            <m:r>
              <m:rPr>
                <m:sty m:val="p"/>
              </m:rPr>
              <m:t>−</m:t>
            </m:r>
            <m:r>
              <m:t>1</m:t>
            </m:r>
          </m:sub>
        </m:sSub>
      </m:oMath>
      <w:r>
        <w:t xml:space="preserve">, run experiment, update posterior, iterate.</w:t>
      </w:r>
      <w:r>
        <w:t xml:space="preserve"> </w:t>
      </w:r>
      <w:hyperlink r:id="rId22">
        <w:r>
          <w:rPr>
            <w:rStyle w:val="Hyperlink"/>
          </w:rPr>
          <w:t xml:space="preserve">[10]</w:t>
        </w:r>
      </w:hyperlink>
    </w:p>
    <w:p>
      <w:pPr>
        <w:pStyle w:val="BodyText"/>
      </w:pPr>
      <w:r>
        <w:rPr>
          <w:b/>
          <w:bCs/>
        </w:rPr>
        <w:t xml:space="preserve">Algorithmic bottleneck (why this is hard):</w:t>
      </w:r>
      <w:r>
        <w:t xml:space="preserve"> </w:t>
      </w:r>
      <w:r>
        <w:t xml:space="preserve">EIG typically involves nested expectations (over</w:t>
      </w:r>
      <w:r>
        <w:t xml:space="preserve"> </w:t>
      </w:r>
      <m:oMath>
        <m:r>
          <m:t>θ</m:t>
        </m:r>
      </m:oMath>
      <w:r>
        <w:t xml:space="preserve">, over</w:t>
      </w:r>
      <w:r>
        <w:t xml:space="preserve"> </w:t>
      </w:r>
      <m:oMath>
        <m:r>
          <m:t>y</m:t>
        </m:r>
      </m:oMath>
      <w:r>
        <w:t xml:space="preserve">, and often over posterior quantities), so naïve Monte Carlo can be biased and expensive. Modern BED surveys emphasize multi-level Monte Carlo debiasing, stochastic gradient optimization, and variational bounds (e.g., mutual-information lower bounds) especially for implicit likelihood models where</w:t>
      </w:r>
      <w:r>
        <w:t xml:space="preserve"> </w:t>
      </w:r>
      <m:oMath>
        <m:r>
          <m:t>p</m:t>
        </m:r>
        <m:d>
          <m:dPr>
            <m:begChr m:val="("/>
            <m:sepChr m:val=""/>
            <m:endChr m:val=")"/>
            <m:grow/>
          </m:dPr>
          <m:e>
            <m:r>
              <m:t>y</m:t>
            </m:r>
            <m:r>
              <m:rPr>
                <m:sty m:val="p"/>
              </m:rPr>
              <m:t>|</m:t>
            </m:r>
            <m:r>
              <m:t>θ</m:t>
            </m:r>
            <m:r>
              <m:rPr>
                <m:sty m:val="p"/>
              </m:rPr>
              <m:t>,</m:t>
            </m:r>
            <m:r>
              <m:t>ξ</m:t>
            </m:r>
          </m:e>
        </m:d>
      </m:oMath>
      <w:r>
        <w:t xml:space="preserve"> </w:t>
      </w:r>
      <w:r>
        <w:t xml:space="preserve">can be sampled but not evaluated.</w:t>
      </w:r>
      <w:r>
        <w:t xml:space="preserve"> </w:t>
      </w:r>
      <w:hyperlink r:id="rId22">
        <w:r>
          <w:rPr>
            <w:rStyle w:val="Hyperlink"/>
          </w:rPr>
          <w:t xml:space="preserve">[11]</w:t>
        </w:r>
      </w:hyperlink>
    </w:p>
    <w:p>
      <w:pPr>
        <w:pStyle w:val="BodyText"/>
      </w:pPr>
      <w:r>
        <w:t xml:space="preserve">A generic (nested) Monte Carlo estimator skeleton:</w:t>
      </w:r>
    </w:p>
    <w:p>
      <w:pPr>
        <w:pStyle w:val="SourceCode"/>
      </w:pPr>
      <w:r>
        <w:rPr>
          <w:rStyle w:val="VerbatimChar"/>
        </w:rPr>
        <w:t xml:space="preserve">for each candidate design ξ:</w:t>
      </w:r>
      <w:r>
        <w:br/>
      </w:r>
      <w:r>
        <w:rPr>
          <w:rStyle w:val="VerbatimChar"/>
        </w:rPr>
        <w:t xml:space="preserve">  for i=1..N_outer:</w:t>
      </w:r>
      <w:r>
        <w:br/>
      </w:r>
      <w:r>
        <w:rPr>
          <w:rStyle w:val="VerbatimChar"/>
        </w:rPr>
        <w:t xml:space="preserve">     sample θ_i ~ p(θ)</w:t>
      </w:r>
      <w:r>
        <w:br/>
      </w:r>
      <w:r>
        <w:rPr>
          <w:rStyle w:val="VerbatimChar"/>
        </w:rPr>
        <w:t xml:space="preserve">     sample y_i ~ p(y | θ_i, ξ)</w:t>
      </w:r>
      <w:r>
        <w:br/>
      </w:r>
      <w:r>
        <w:rPr>
          <w:rStyle w:val="VerbatimChar"/>
        </w:rPr>
        <w:t xml:space="preserve">     estimate log p(y_i | ξ) ≈ log( (1/M) Σ_j p(y_i | θ'_j, ξ) ), θ'_j ~ p(θ)</w:t>
      </w:r>
      <w:r>
        <w:br/>
      </w:r>
      <w:r>
        <w:rPr>
          <w:rStyle w:val="VerbatimChar"/>
        </w:rPr>
        <w:t xml:space="preserve">     accumulate log p(y_i | θ_i, ξ) - log p(y_i | ξ)</w:t>
      </w:r>
      <w:r>
        <w:br/>
      </w:r>
      <w:r>
        <w:rPr>
          <w:rStyle w:val="VerbatimChar"/>
        </w:rPr>
        <w:t xml:space="preserve">choose ξ maximizing estimated EIG</w:t>
      </w:r>
    </w:p>
    <w:p>
      <w:pPr>
        <w:pStyle w:val="FirstParagraph"/>
      </w:pPr>
      <w:r>
        <w:t xml:space="preserve">This captures the fundamental scaling: per</w:t>
      </w:r>
      <w:r>
        <w:t xml:space="preserve"> </w:t>
      </w:r>
      <m:oMath>
        <m:r>
          <m:t>ξ</m:t>
        </m:r>
      </m:oMath>
      <w:r>
        <w:t xml:space="preserve">, cost grows roughly like</w:t>
      </w:r>
      <w:r>
        <w:t xml:space="preserve"> </w:t>
      </w:r>
      <m:oMath>
        <m:r>
          <m:t>O</m:t>
        </m:r>
        <m:d>
          <m:dPr>
            <m:begChr m:val="("/>
            <m:sepChr m:val=""/>
            <m:endChr m:val=")"/>
            <m:grow/>
          </m:dPr>
          <m:e>
            <m:sSub>
              <m:e>
                <m:r>
                  <m:t>N</m:t>
                </m:r>
              </m:e>
              <m:sub>
                <m:r>
                  <m:rPr>
                    <m:nor/>
                    <m:sty m:val="p"/>
                  </m:rPr>
                  <m:t>outer</m:t>
                </m:r>
              </m:sub>
            </m:sSub>
            <m:r>
              <m:rPr>
                <m:sty m:val="p"/>
              </m:rPr>
              <m:t>⋅</m:t>
            </m:r>
            <m:sSub>
              <m:e>
                <m:r>
                  <m:t>M</m:t>
                </m:r>
              </m:e>
              <m:sub>
                <m:r>
                  <m:rPr>
                    <m:nor/>
                    <m:sty m:val="p"/>
                  </m:rPr>
                  <m:t>inner</m:t>
                </m:r>
              </m:sub>
            </m:sSub>
          </m:e>
        </m:d>
      </m:oMath>
      <w:r>
        <w:t xml:space="preserve"> </w:t>
      </w:r>
      <w:r>
        <w:t xml:space="preserve">likelihood evaluations, before optimization over</w:t>
      </w:r>
      <w:r>
        <w:t xml:space="preserve"> </w:t>
      </w:r>
      <m:oMath>
        <m:r>
          <m:t>ξ</m:t>
        </m:r>
      </m:oMath>
      <w:r>
        <w:t xml:space="preserve"> </w:t>
      </w:r>
      <w:r>
        <w:t xml:space="preserve">and before considering batching/parallelism. The core point is not the exact constant but that</w:t>
      </w:r>
      <w:r>
        <w:t xml:space="preserve"> </w:t>
      </w:r>
      <w:r>
        <w:rPr>
          <w:b/>
          <w:bCs/>
        </w:rPr>
        <w:t xml:space="preserve">experiment selection compute can become a dominant bottleneck</w:t>
      </w:r>
      <w:r>
        <w:t xml:space="preserve"> </w:t>
      </w:r>
      <w:r>
        <w:t xml:space="preserve">when physical experiments are fast (seconds–minutes) or when many candidate designs must be scored.</w:t>
      </w:r>
      <w:r>
        <w:t xml:space="preserve"> </w:t>
      </w:r>
      <w:hyperlink r:id="rId22">
        <w:r>
          <w:rPr>
            <w:rStyle w:val="Hyperlink"/>
          </w:rPr>
          <w:t xml:space="preserve">[12]</w:t>
        </w:r>
      </w:hyperlink>
    </w:p>
    <w:bookmarkEnd w:id="31"/>
    <w:bookmarkStart w:id="34" w:name="Xf5a3fafff563278e1a4c45ed55064b2ef1ea752"/>
    <w:p>
      <w:pPr>
        <w:pStyle w:val="Heading3"/>
      </w:pPr>
      <w:r>
        <w:t xml:space="preserve">Bayesian optimization as a pragmatic information–utility tradeoff</w:t>
      </w:r>
    </w:p>
    <w:p>
      <w:pPr>
        <w:pStyle w:val="FirstParagraph"/>
      </w:pPr>
      <w:r>
        <w:t xml:space="preserve">Where the goal is to optimize an objective</w:t>
      </w:r>
      <w:r>
        <w:t xml:space="preserve"> </w:t>
      </w:r>
      <m:oMath>
        <m:r>
          <m:t>f</m:t>
        </m:r>
        <m:d>
          <m:dPr>
            <m:begChr m:val="("/>
            <m:sepChr m:val=""/>
            <m:endChr m:val=")"/>
            <m:grow/>
          </m:dPr>
          <m:e>
            <m:r>
              <m:t>x</m:t>
            </m:r>
          </m:e>
        </m:d>
      </m:oMath>
      <w:r>
        <w:t xml:space="preserve"> </w:t>
      </w:r>
      <w:r>
        <w:t xml:space="preserve">(e.g., yield, conductivity), BO uses a probabilistic surrogate (often GP) and chooses the next</w:t>
      </w:r>
      <w:r>
        <w:t xml:space="preserve"> </w:t>
      </w:r>
      <m:oMath>
        <m:r>
          <m:t>x</m:t>
        </m:r>
      </m:oMath>
      <w:r>
        <w:t xml:space="preserve"> </w:t>
      </w:r>
      <w:r>
        <w:t xml:space="preserve">via an acquisition function such as expected improvement (EI), upper confidence bound (UCB), or entropy search. Tutorials emphasize BO’s suitability when evaluations are expensive and dimensionality is moderate (often</w:t>
      </w:r>
      <w:r>
        <w:t xml:space="preserve"> </w:t>
      </w:r>
      <m:oMath>
        <m:r>
          <m:rPr>
            <m:sty m:val="p"/>
          </m:rPr>
          <m:t>≲</m:t>
        </m:r>
        <m:r>
          <m:t>20</m:t>
        </m:r>
      </m:oMath>
      <w:r>
        <w:t xml:space="preserve"> </w:t>
      </w:r>
      <w:r>
        <w:t xml:space="preserve">continuous dimensions, though modern methods stretch this).</w:t>
      </w:r>
      <w:r>
        <w:t xml:space="preserve"> </w:t>
      </w:r>
      <w:hyperlink r:id="rId32">
        <w:r>
          <w:rPr>
            <w:rStyle w:val="Hyperlink"/>
          </w:rPr>
          <w:t xml:space="preserve">[13]</w:t>
        </w:r>
      </w:hyperlink>
    </w:p>
    <w:p>
      <w:pPr>
        <w:pStyle w:val="BodyText"/>
      </w:pPr>
      <w:r>
        <w:t xml:space="preserve">A theoretical bridge between BO and information design appears in GP-UCB analysis: regret bounds scale with a “maximum information gain” term</w:t>
      </w:r>
      <w:r>
        <w:t xml:space="preserve"> </w:t>
      </w:r>
      <m:oMath>
        <m:sSub>
          <m:e>
            <m:r>
              <m:t>γ</m:t>
            </m:r>
          </m:e>
          <m:sub>
            <m:r>
              <m:t>T</m:t>
            </m:r>
          </m:sub>
        </m:sSub>
      </m:oMath>
      <w:r>
        <w:t xml:space="preserve">, linking exploration to information acquisition.</w:t>
      </w:r>
      <w:r>
        <w:t xml:space="preserve"> </w:t>
      </w:r>
      <w:hyperlink r:id="rId33">
        <w:r>
          <w:rPr>
            <w:rStyle w:val="Hyperlink"/>
          </w:rPr>
          <w:t xml:space="preserve">[14]</w:t>
        </w:r>
      </w:hyperlink>
    </w:p>
    <w:p>
      <w:pPr>
        <w:pStyle w:val="BodyText"/>
      </w:pPr>
      <w:r>
        <w:t xml:space="preserve">In self-driving lab practice, BO-style loops are repeatedly documented in materials and chemistry autonomy, including thin-film optimization via ChemOS + Phoenics, and multi-objective Pareto-front discovery using qEHVI in a self-driving lab.</w:t>
      </w:r>
      <w:r>
        <w:t xml:space="preserve"> </w:t>
      </w:r>
      <w:hyperlink r:id="rId27">
        <w:r>
          <w:rPr>
            <w:rStyle w:val="Hyperlink"/>
          </w:rPr>
          <w:t xml:space="preserve">[15]</w:t>
        </w:r>
      </w:hyperlink>
    </w:p>
    <w:bookmarkEnd w:id="34"/>
    <w:bookmarkStart w:id="37" w:name="Xae97919638f243f4c041bc0828f1b020e88e33e"/>
    <w:p>
      <w:pPr>
        <w:pStyle w:val="Heading3"/>
      </w:pPr>
      <w:r>
        <w:t xml:space="preserve">Active inference and expected free energy</w:t>
      </w:r>
    </w:p>
    <w:p>
      <w:pPr>
        <w:pStyle w:val="FirstParagraph"/>
      </w:pPr>
      <w:r>
        <w:t xml:space="preserve">Active inference (as developed in neuroscience and generalized to decision-making) casts perception/action as probabilistic inference under a generative model, where action selection minimizes an</w:t>
      </w:r>
      <w:r>
        <w:t xml:space="preserve"> </w:t>
      </w:r>
      <w:r>
        <w:rPr>
          <w:b/>
          <w:bCs/>
        </w:rPr>
        <w:t xml:space="preserve">expected free energy</w:t>
      </w:r>
      <w:r>
        <w:t xml:space="preserve"> </w:t>
      </w:r>
      <w:r>
        <w:t xml:space="preserve">functional. The key claim in foundational treatments is that expected free energy can be decomposed into terms corresponding to (i) preference satisfaction (“extrinsic/pragmatic/instrumental value”) and (ii) uncertainty reduction (“epistemic/intrinsic value,” often expressible as mutual information / information gain).</w:t>
      </w:r>
      <w:r>
        <w:t xml:space="preserve"> </w:t>
      </w:r>
      <w:hyperlink r:id="rId35">
        <w:r>
          <w:rPr>
            <w:rStyle w:val="Hyperlink"/>
          </w:rPr>
          <w:t xml:space="preserve">[16]</w:t>
        </w:r>
      </w:hyperlink>
    </w:p>
    <w:p>
      <w:pPr>
        <w:pStyle w:val="BodyText"/>
      </w:pPr>
      <w:r>
        <w:t xml:space="preserve">Concretely, in one influential formulation, the “quality” of a policy</w:t>
      </w:r>
      <w:r>
        <w:t xml:space="preserve"> </w:t>
      </w:r>
      <m:oMath>
        <m:r>
          <m:t>π</m:t>
        </m:r>
      </m:oMath>
      <w:r>
        <w:t xml:space="preserve"> </w:t>
      </w:r>
      <w:r>
        <w:t xml:space="preserve">is tied to expected free energy</w:t>
      </w:r>
      <w:r>
        <w:t xml:space="preserve"> </w:t>
      </w:r>
      <m:oMath>
        <m:r>
          <m:t>G</m:t>
        </m:r>
        <m:d>
          <m:dPr>
            <m:begChr m:val="("/>
            <m:sepChr m:val=""/>
            <m:endChr m:val=")"/>
            <m:grow/>
          </m:dPr>
          <m:e>
            <m:r>
              <m:t>π</m:t>
            </m:r>
          </m:e>
        </m:d>
      </m:oMath>
      <w:r>
        <w:t xml:space="preserve">, and minimizing</w:t>
      </w:r>
      <w:r>
        <w:t xml:space="preserve"> </w:t>
      </w:r>
      <m:oMath>
        <m:r>
          <m:t>G</m:t>
        </m:r>
        <m:d>
          <m:dPr>
            <m:begChr m:val="("/>
            <m:sepChr m:val=""/>
            <m:endChr m:val=")"/>
            <m:grow/>
          </m:dPr>
          <m:e>
            <m:r>
              <m:t>π</m:t>
            </m:r>
          </m:e>
        </m:d>
      </m:oMath>
      <w:r>
        <w:t xml:space="preserve"> </w:t>
      </w:r>
      <w:r>
        <w:t xml:space="preserve">yields a unified exploration–exploitation behavior: information gain is prioritized until uncertainty is reduced, and then goal-directed exploitation dominates.</w:t>
      </w:r>
      <w:r>
        <w:t xml:space="preserve"> </w:t>
      </w:r>
      <w:hyperlink r:id="rId35">
        <w:r>
          <w:rPr>
            <w:rStyle w:val="Hyperlink"/>
          </w:rPr>
          <w:t xml:space="preserve">[17]</w:t>
        </w:r>
      </w:hyperlink>
    </w:p>
    <w:p>
      <w:pPr>
        <w:pStyle w:val="BodyText"/>
      </w:pPr>
      <w:r>
        <w:t xml:space="preserve">A modern tutorial-level synthesis for discrete state spaces and POMDP-style active inference discusses generative models, policy evaluation by expected free energy, and practical implementations.</w:t>
      </w:r>
      <w:r>
        <w:t xml:space="preserve"> </w:t>
      </w:r>
      <w:hyperlink r:id="rId36">
        <w:r>
          <w:rPr>
            <w:rStyle w:val="Hyperlink"/>
          </w:rPr>
          <w:t xml:space="preserve">[18]</w:t>
        </w:r>
      </w:hyperlink>
    </w:p>
    <w:p>
      <w:pPr>
        <w:pStyle w:val="BodyText"/>
      </w:pPr>
      <w:r>
        <w:t xml:space="preserve">A minimal active-inference policy selection loop:</w:t>
      </w:r>
    </w:p>
    <w:p>
      <w:pPr>
        <w:pStyle w:val="SourceCode"/>
      </w:pPr>
      <w:r>
        <w:rPr>
          <w:rStyle w:val="VerbatimChar"/>
        </w:rPr>
        <w:t xml:space="preserve">Given generative model p(o, s | π) and preferences p*(o):</w:t>
      </w:r>
      <w:r>
        <w:br/>
      </w:r>
      <w:r>
        <w:rPr>
          <w:rStyle w:val="VerbatimChar"/>
        </w:rPr>
        <w:t xml:space="preserve">  infer beliefs q(s_t | o_≤t)</w:t>
      </w:r>
      <w:r>
        <w:br/>
      </w:r>
      <w:r>
        <w:rPr>
          <w:rStyle w:val="VerbatimChar"/>
        </w:rPr>
        <w:t xml:space="preserve">  for candidate policies π:</w:t>
      </w:r>
      <w:r>
        <w:br/>
      </w:r>
      <w:r>
        <w:rPr>
          <w:rStyle w:val="VerbatimChar"/>
        </w:rPr>
        <w:t xml:space="preserve">     predict q(o_future, s_future | π)</w:t>
      </w:r>
      <w:r>
        <w:br/>
      </w:r>
      <w:r>
        <w:rPr>
          <w:rStyle w:val="VerbatimChar"/>
        </w:rPr>
        <w:t xml:space="preserve">     compute expected free energy G(π)</w:t>
      </w:r>
      <w:r>
        <w:br/>
      </w:r>
      <w:r>
        <w:rPr>
          <w:rStyle w:val="VerbatimChar"/>
        </w:rPr>
        <w:t xml:space="preserve">  choose π with minimal G(π) (or sample π ∝ exp(-G(π)))</w:t>
      </w:r>
      <w:r>
        <w:br/>
      </w:r>
      <w:r>
        <w:rPr>
          <w:rStyle w:val="VerbatimChar"/>
        </w:rPr>
        <w:t xml:space="preserve">  execute first action of π, observe o_{t+1}, repeat</w:t>
      </w:r>
    </w:p>
    <w:bookmarkEnd w:id="37"/>
    <w:bookmarkStart w:id="39" w:name="X1d535f8e4223f84b2fa38a34dd4dc712f3b20ac"/>
    <w:p>
      <w:pPr>
        <w:pStyle w:val="Heading3"/>
      </w:pPr>
      <w:r>
        <w:t xml:space="preserve">Where the two frameworks align—and where they differ</w:t>
      </w:r>
    </w:p>
    <w:p>
      <w:pPr>
        <w:pStyle w:val="FirstParagraph"/>
      </w:pPr>
      <w:r>
        <w:rPr>
          <w:b/>
          <w:bCs/>
        </w:rPr>
        <w:t xml:space="preserve">Alignment (strong):</w:t>
      </w:r>
      <w:r>
        <w:t xml:space="preserve"> </w:t>
      </w:r>
      <w:r>
        <w:t xml:space="preserve">both frameworks value experiments/actions that reduce uncertainty. EIG explicitly maximizes mutual information</w:t>
      </w:r>
      <w:r>
        <w:t xml:space="preserve"> </w:t>
      </w:r>
      <m:oMath>
        <m:r>
          <m:t>I</m:t>
        </m:r>
        <m:d>
          <m:dPr>
            <m:begChr m:val="("/>
            <m:sepChr m:val=""/>
            <m:endChr m:val=")"/>
            <m:grow/>
          </m:dPr>
          <m:e>
            <m:r>
              <m:t>θ</m:t>
            </m:r>
            <m:r>
              <m:rPr>
                <m:sty m:val="p"/>
              </m:rPr>
              <m:t>;</m:t>
            </m:r>
            <m:r>
              <m:t>y</m:t>
            </m:r>
            <m:r>
              <m:rPr>
                <m:sty m:val="p"/>
              </m:rPr>
              <m:t>|</m:t>
            </m:r>
            <m:r>
              <m:t>ξ</m:t>
            </m:r>
          </m:e>
        </m:d>
      </m:oMath>
      <w:r>
        <w:t xml:space="preserve">. Active inference’s epistemic term is also expressible as information gain/mutual information in standard decompositions, and some work explicitly connects active inference to Bayesian optimal design.</w:t>
      </w:r>
      <w:r>
        <w:t xml:space="preserve"> </w:t>
      </w:r>
      <w:hyperlink r:id="rId35">
        <w:r>
          <w:rPr>
            <w:rStyle w:val="Hyperlink"/>
          </w:rPr>
          <w:t xml:space="preserve">[19]</w:t>
        </w:r>
      </w:hyperlink>
    </w:p>
    <w:p>
      <w:pPr>
        <w:pStyle w:val="BodyText"/>
      </w:pPr>
      <w:r>
        <w:rPr>
          <w:b/>
          <w:bCs/>
        </w:rPr>
        <w:t xml:space="preserve">Difference (load-bearing):</w:t>
      </w:r>
      <w:r>
        <w:t xml:space="preserve"> </w:t>
      </w:r>
      <w:r>
        <w:t xml:space="preserve">1.</w:t>
      </w:r>
      <w:r>
        <w:t xml:space="preserve"> </w:t>
      </w:r>
      <w:r>
        <w:rPr>
          <w:b/>
          <w:bCs/>
        </w:rPr>
        <w:t xml:space="preserve">Preferences vs utilities:</w:t>
      </w:r>
      <w:r>
        <w:t xml:space="preserve"> </w:t>
      </w:r>
      <w:r>
        <w:t xml:space="preserve">EIG-based design is usually framed as maximizing information about</w:t>
      </w:r>
      <w:r>
        <w:t xml:space="preserve"> </w:t>
      </w:r>
      <m:oMath>
        <m:r>
          <m:t>θ</m:t>
        </m:r>
      </m:oMath>
      <w:r>
        <w:t xml:space="preserve"> </w:t>
      </w:r>
      <w:r>
        <w:t xml:space="preserve">(or directly about a query), while active inference naturally incorporates</w:t>
      </w:r>
      <w:r>
        <w:t xml:space="preserve"> </w:t>
      </w:r>
      <w:r>
        <w:rPr>
          <w:b/>
          <w:bCs/>
        </w:rPr>
        <w:t xml:space="preserve">prior preferences over outcomes</w:t>
      </w:r>
      <w:r>
        <w:t xml:space="preserve"> </w:t>
      </w:r>
      <w:r>
        <w:t xml:space="preserve">(a built-in “what counts as good”) through</w:t>
      </w:r>
      <w:r>
        <w:t xml:space="preserve"> </w:t>
      </w:r>
      <m:oMath>
        <m:sSup>
          <m:e>
            <m:r>
              <m:t>p</m:t>
            </m:r>
          </m:e>
          <m:sup>
            <m:r>
              <m:rPr>
                <m:sty m:val="p"/>
              </m:rPr>
              <m:t>*</m:t>
            </m:r>
          </m:sup>
        </m:sSup>
        <m:d>
          <m:dPr>
            <m:begChr m:val="("/>
            <m:sepChr m:val=""/>
            <m:endChr m:val=")"/>
            <m:grow/>
          </m:dPr>
          <m:e>
            <m:r>
              <m:t>o</m:t>
            </m:r>
          </m:e>
        </m:d>
      </m:oMath>
      <w:r>
        <w:t xml:space="preserve">. This matters for scientific loops where the goal is not pure identification but achieving constraints (safe conditions, target properties) while learning.</w:t>
      </w:r>
      <w:r>
        <w:t xml:space="preserve"> </w:t>
      </w:r>
      <w:hyperlink r:id="rId35">
        <w:r>
          <w:rPr>
            <w:rStyle w:val="Hyperlink"/>
          </w:rPr>
          <w:t xml:space="preserve">[20]</w:t>
        </w:r>
      </w:hyperlink>
      <w:r>
        <w:br/>
      </w:r>
      <w:r>
        <w:t xml:space="preserve">2.</w:t>
      </w:r>
      <w:r>
        <w:t xml:space="preserve"> </w:t>
      </w:r>
      <w:r>
        <w:rPr>
          <w:b/>
          <w:bCs/>
        </w:rPr>
        <w:t xml:space="preserve">Object of uncertainty:</w:t>
      </w:r>
      <w:r>
        <w:t xml:space="preserve"> </w:t>
      </w:r>
      <w:r>
        <w:t xml:space="preserve">EIG focuses on uncertainty about</w:t>
      </w:r>
      <w:r>
        <w:t xml:space="preserve"> </w:t>
      </w:r>
      <m:oMath>
        <m:r>
          <m:t>θ</m:t>
        </m:r>
      </m:oMath>
      <w:r>
        <w:t xml:space="preserve"> </w:t>
      </w:r>
      <w:r>
        <w:t xml:space="preserve">(parameters/models), whereas active inference often focuses on uncertainty about latent states</w:t>
      </w:r>
      <w:r>
        <w:t xml:space="preserve"> </w:t>
      </w:r>
      <m:oMath>
        <m:r>
          <m:t>s</m:t>
        </m:r>
      </m:oMath>
      <w:r>
        <w:t xml:space="preserve"> </w:t>
      </w:r>
      <w:r>
        <w:t xml:space="preserve">under a generative model (though parameter learning can be included). The mismatch becomes important in scientific domains where the unknown is structural (graphs/equations) rather than state trajectories.</w:t>
      </w:r>
      <w:r>
        <w:t xml:space="preserve"> </w:t>
      </w:r>
      <w:hyperlink r:id="rId38">
        <w:r>
          <w:rPr>
            <w:rStyle w:val="Hyperlink"/>
          </w:rPr>
          <w:t xml:space="preserve">[21]</w:t>
        </w:r>
      </w:hyperlink>
      <w:r>
        <w:br/>
      </w:r>
      <w:r>
        <w:t xml:space="preserve">3.</w:t>
      </w:r>
      <w:r>
        <w:t xml:space="preserve"> </w:t>
      </w:r>
      <w:r>
        <w:rPr>
          <w:b/>
          <w:bCs/>
        </w:rPr>
        <w:t xml:space="preserve">Computation and approximation regimes:</w:t>
      </w:r>
      <w:r>
        <w:t xml:space="preserve"> </w:t>
      </w:r>
      <w:r>
        <w:t xml:space="preserve">modern BED emphasizes estimator bias/variance and provides concrete debiasing and variational-bound machinery for EIG in high dimensions or implicit models; active inference emphasizes message passing / variational inference in graphical models and has its own scalability bottlenecks, especially for deep planning (“sophisticated” inference).</w:t>
      </w:r>
      <w:r>
        <w:t xml:space="preserve"> </w:t>
      </w:r>
      <w:hyperlink r:id="rId22">
        <w:r>
          <w:rPr>
            <w:rStyle w:val="Hyperlink"/>
          </w:rPr>
          <w:t xml:space="preserve">[22]</w:t>
        </w:r>
      </w:hyperlink>
    </w:p>
    <w:p>
      <w:pPr>
        <w:pStyle w:val="BodyText"/>
      </w:pPr>
      <w:r>
        <w:rPr>
          <w:b/>
          <w:bCs/>
        </w:rPr>
        <w:t xml:space="preserve">Devil’s-advocate counter-interpretation:</w:t>
      </w:r>
      <w:r>
        <w:t xml:space="preserve"> </w:t>
      </w:r>
      <w:r>
        <w:t xml:space="preserve">in many practical self-driving lab loops, “active inference vs EIG” can be seen less as a fundamental dichotomy and more as a modeling choice: both are optimizing approximations to information-and-preference objectives, and performance is often dominated by (i) correctness of the generative model/surrogate, (ii) robustness to misspecification, and (iii) engineering constraints (latency, failures, calibration). The mathematically elegant objective does not protect against model misspecification and Goodhart effects in the closed loop.</w:t>
      </w:r>
      <w:r>
        <w:t xml:space="preserve"> </w:t>
      </w:r>
      <w:hyperlink r:id="rId22">
        <w:r>
          <w:rPr>
            <w:rStyle w:val="Hyperlink"/>
          </w:rPr>
          <w:t xml:space="preserve">[23]</w:t>
        </w:r>
      </w:hyperlink>
    </w:p>
    <w:bookmarkEnd w:id="39"/>
    <w:bookmarkEnd w:id="40"/>
    <w:bookmarkStart w:id="47" w:name="X31ce89cf24cfc95fa1b1c4c445ce1c7067c6dc7"/>
    <w:p>
      <w:pPr>
        <w:pStyle w:val="Heading2"/>
      </w:pPr>
      <w:r>
        <w:t xml:space="preserve">Causal discovery from interventions in closed-loop settings</w:t>
      </w:r>
    </w:p>
    <w:p>
      <w:pPr>
        <w:pStyle w:val="FirstParagraph"/>
      </w:pPr>
      <w:r>
        <w:t xml:space="preserve">Closed-loop science often aims not only to optimize but to infer</w:t>
      </w:r>
      <w:r>
        <w:t xml:space="preserve"> </w:t>
      </w:r>
      <w:r>
        <w:rPr>
          <w:b/>
          <w:bCs/>
        </w:rPr>
        <w:t xml:space="preserve">causal mechanisms</w:t>
      </w:r>
      <w:r>
        <w:t xml:space="preserve">. Causal discovery methods vary by assumptions, data type, and what they return (CPDAG, PAG/MAG, I-essential graphs, invariant predictor sets, etc.). Interventions can reduce Markov equivalence ambiguities and enable stronger identification—if interventions are feasible and correctly modeled.</w:t>
      </w:r>
      <w:r>
        <w:t xml:space="preserve"> </w:t>
      </w:r>
      <w:hyperlink r:id="rId41">
        <w:r>
          <w:rPr>
            <w:rStyle w:val="Hyperlink"/>
          </w:rPr>
          <w:t xml:space="preserve">[24]</w:t>
        </w:r>
      </w:hyperlink>
    </w:p>
    <w:bookmarkStart w:id="46" w:name="Xdb519d3c1b2d5e9fc9a37ce4cc128aca360e48e"/>
    <w:p>
      <w:pPr>
        <w:pStyle w:val="Heading3"/>
      </w:pPr>
      <w:r>
        <w:t xml:space="preserve">Comparative table of core causal toolkits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Primary input</w:t>
            </w:r>
          </w:p>
        </w:tc>
        <w:tc>
          <w:tcPr/>
          <w:p>
            <w:pPr>
              <w:pStyle w:val="Compact"/>
            </w:pPr>
            <w:r>
              <w:t xml:space="preserve">Key assumptions (informal)</w:t>
            </w:r>
          </w:p>
        </w:tc>
        <w:tc>
          <w:tcPr/>
          <w:p>
            <w:pPr>
              <w:pStyle w:val="Compact"/>
            </w:pPr>
            <w:r>
              <w:t xml:space="preserve">Output</w:t>
            </w:r>
          </w:p>
        </w:tc>
        <w:tc>
          <w:tcPr/>
          <w:p>
            <w:pPr>
              <w:pStyle w:val="Compact"/>
            </w:pPr>
            <w:r>
              <w:t xml:space="preserve">Interventions</w:t>
            </w:r>
          </w:p>
        </w:tc>
        <w:tc>
          <w:tcPr/>
          <w:p>
            <w:pPr>
              <w:pStyle w:val="Compact"/>
            </w:pPr>
            <w:r>
              <w:t xml:space="preserve">Strengths in closed-loop use</w:t>
            </w:r>
          </w:p>
        </w:tc>
        <w:tc>
          <w:tcPr/>
          <w:p>
            <w:pPr>
              <w:pStyle w:val="Compact"/>
            </w:pPr>
            <w:r>
              <w:t xml:space="preserve">Limits / failure modes</w:t>
            </w:r>
          </w:p>
        </w:tc>
      </w:tr>
      <w:tr>
        <w:tc>
          <w:tcPr/>
          <w:p>
            <w:pPr>
              <w:pStyle w:val="Compact"/>
            </w:pPr>
            <w:r>
              <w:t xml:space="preserve">PC (constraint-based)</w:t>
            </w:r>
          </w:p>
        </w:tc>
        <w:tc>
          <w:tcPr/>
          <w:p>
            <w:pPr>
              <w:pStyle w:val="Compact"/>
            </w:pPr>
            <w:r>
              <w:t xml:space="preserve">Observational (CI tests)</w:t>
            </w:r>
          </w:p>
        </w:tc>
        <w:tc>
          <w:tcPr/>
          <w:p>
            <w:pPr>
              <w:pStyle w:val="Compact"/>
            </w:pPr>
            <w:r>
              <w:t xml:space="preserve">Causal sufficiency; faithfulness/Markov; usually acyclic</w:t>
            </w:r>
          </w:p>
        </w:tc>
        <w:tc>
          <w:tcPr/>
          <w:p>
            <w:pPr>
              <w:pStyle w:val="Compact"/>
            </w:pPr>
            <w:r>
              <w:t xml:space="preserve">CPDAG (Markov equivalence class)</w:t>
            </w:r>
          </w:p>
        </w:tc>
        <w:tc>
          <w:tcPr/>
          <w:p>
            <w:pPr>
              <w:pStyle w:val="Compact"/>
            </w:pPr>
            <w:r>
              <w:t xml:space="preserve">Indirect (PC itself is observational; can be extended)</w:t>
            </w:r>
          </w:p>
        </w:tc>
        <w:tc>
          <w:tcPr/>
          <w:p>
            <w:pPr>
              <w:pStyle w:val="Compact"/>
            </w:pPr>
            <w:r>
              <w:t xml:space="preserve">Fast for sparse high-dimensional graphs; consistency results for sparse DAGs under conditions</w:t>
            </w:r>
          </w:p>
        </w:tc>
        <w:tc>
          <w:tcPr/>
          <w:p>
            <w:pPr>
              <w:pStyle w:val="Compact"/>
            </w:pPr>
            <w:r>
              <w:t xml:space="preserve">CI tests unstable with finite samples; sensitive to near-violations of faithfulness; struggles with hidden confounding</w:t>
            </w:r>
          </w:p>
        </w:tc>
      </w:tr>
      <w:tr>
        <w:tc>
          <w:tcPr/>
          <w:p>
            <w:pPr>
              <w:pStyle w:val="Compact"/>
            </w:pPr>
            <w:r>
              <w:t xml:space="preserve">FCI (constraint-based with latents)</w:t>
            </w:r>
          </w:p>
        </w:tc>
        <w:tc>
          <w:tcPr/>
          <w:p>
            <w:pPr>
              <w:pStyle w:val="Compact"/>
            </w:pPr>
            <w:r>
              <w:t xml:space="preserve">Observational (CI tests)</w:t>
            </w:r>
          </w:p>
        </w:tc>
        <w:tc>
          <w:tcPr/>
          <w:p>
            <w:pPr>
              <w:pStyle w:val="Compact"/>
            </w:pPr>
            <w:r>
              <w:t xml:space="preserve">Allows latent confounding + selection bias (under assumptions); faithfulness</w:t>
            </w:r>
          </w:p>
        </w:tc>
        <w:tc>
          <w:tcPr/>
          <w:p>
            <w:pPr>
              <w:pStyle w:val="Compact"/>
            </w:pPr>
            <w:r>
              <w:t xml:space="preserve">PAG (equivalence class of MAGs)</w:t>
            </w:r>
          </w:p>
        </w:tc>
        <w:tc>
          <w:tcPr/>
          <w:p>
            <w:pPr>
              <w:pStyle w:val="Compact"/>
            </w:pPr>
            <w:r>
              <w:t xml:space="preserve">Observational; focuses on latents not interventions</w:t>
            </w:r>
          </w:p>
        </w:tc>
        <w:tc>
          <w:tcPr/>
          <w:p>
            <w:pPr>
              <w:pStyle w:val="Compact"/>
            </w:pPr>
            <w:r>
              <w:t xml:space="preserve">Handles hidden variables/selection bias more explicitly than PC</w:t>
            </w:r>
          </w:p>
        </w:tc>
        <w:tc>
          <w:tcPr/>
          <w:p>
            <w:pPr>
              <w:pStyle w:val="Compact"/>
            </w:pPr>
            <w:r>
              <w:t xml:space="preserve">Higher computational cost; CI-test instability; outputs partial orientation</w:t>
            </w:r>
          </w:p>
        </w:tc>
      </w:tr>
      <w:tr>
        <w:tc>
          <w:tcPr/>
          <w:p>
            <w:pPr>
              <w:pStyle w:val="Compact"/>
            </w:pPr>
            <w:r>
              <w:t xml:space="preserve">GIES (score-based, interventional)</w:t>
            </w:r>
          </w:p>
        </w:tc>
        <w:tc>
          <w:tcPr/>
          <w:p>
            <w:pPr>
              <w:pStyle w:val="Compact"/>
            </w:pPr>
            <w:r>
              <w:t xml:space="preserve">Observational + interventional data</w:t>
            </w:r>
          </w:p>
        </w:tc>
        <w:tc>
          <w:tcPr/>
          <w:p>
            <w:pPr>
              <w:pStyle w:val="Compact"/>
            </w:pPr>
            <w:r>
              <w:t xml:space="preserve">DAG, score decomposability; intervention targets known; faithfulness-like conditions for consistency</w:t>
            </w:r>
          </w:p>
        </w:tc>
        <w:tc>
          <w:tcPr/>
          <w:p>
            <w:pPr>
              <w:pStyle w:val="Compact"/>
            </w:pPr>
            <w:r>
              <w:t xml:space="preserve">Interventional essential graph (I-equivalence class)</w:t>
            </w:r>
          </w:p>
        </w:tc>
        <w:tc>
          <w:tcPr/>
          <w:p>
            <w:pPr>
              <w:pStyle w:val="Compact"/>
            </w:pPr>
            <w:r>
              <w:t xml:space="preserve">Yes (built to exploit interventions)</w:t>
            </w:r>
          </w:p>
        </w:tc>
        <w:tc>
          <w:tcPr/>
          <w:p>
            <w:pPr>
              <w:pStyle w:val="Compact"/>
            </w:pPr>
            <w:r>
              <w:t xml:space="preserve">Uses interventions to orient edges; practical algorithm with phases (forward/backward/turning)</w:t>
            </w:r>
          </w:p>
        </w:tc>
        <w:tc>
          <w:tcPr/>
          <w:p>
            <w:pPr>
              <w:pStyle w:val="Compact"/>
            </w:pPr>
            <w:r>
              <w:t xml:space="preserve">Requires correct intervention modeling; score choices matter; still constrained by equivalence if interventions limited</w:t>
            </w:r>
          </w:p>
        </w:tc>
      </w:tr>
      <w:tr>
        <w:tc>
          <w:tcPr/>
          <w:p>
            <w:pPr>
              <w:pStyle w:val="Compact"/>
            </w:pPr>
            <w:r>
              <w:t xml:space="preserve">ICP (invariant prediction)</w:t>
            </w:r>
          </w:p>
        </w:tc>
        <w:tc>
          <w:tcPr/>
          <w:p>
            <w:pPr>
              <w:pStyle w:val="Compact"/>
            </w:pPr>
            <w:r>
              <w:t xml:space="preserve">Multiple environments / interventions</w:t>
            </w:r>
          </w:p>
        </w:tc>
        <w:tc>
          <w:tcPr/>
          <w:p>
            <w:pPr>
              <w:pStyle w:val="Compact"/>
            </w:pPr>
            <w:r>
              <w:t xml:space="preserve">Causal predictors yield invariant conditional distribution across environments; setup-dependent assumptions</w:t>
            </w:r>
          </w:p>
        </w:tc>
        <w:tc>
          <w:tcPr/>
          <w:p>
            <w:pPr>
              <w:pStyle w:val="Compact"/>
            </w:pPr>
            <w:r>
              <w:t xml:space="preserve">Set of predictors (and in some settings causal parents) + CIs</w:t>
            </w:r>
          </w:p>
        </w:tc>
        <w:tc>
          <w:tcPr/>
          <w:p>
            <w:pPr>
              <w:pStyle w:val="Compact"/>
            </w:pPr>
            <w:r>
              <w:t xml:space="preserve">Yes (environments/interventions are core)</w:t>
            </w:r>
          </w:p>
        </w:tc>
        <w:tc>
          <w:tcPr/>
          <w:p>
            <w:pPr>
              <w:pStyle w:val="Compact"/>
            </w:pPr>
            <w:r>
              <w:t xml:space="preserve">Targets stable causal predictors and yields confidence statements; robust angle: invariance under shifts</w:t>
            </w:r>
          </w:p>
        </w:tc>
        <w:tc>
          <w:tcPr/>
          <w:p>
            <w:pPr>
              <w:pStyle w:val="Compact"/>
            </w:pPr>
            <w:r>
              <w:t xml:space="preserve">Needs multiple environments and valid invariance assumptions; can be conservative/underpowered</w:t>
            </w:r>
          </w:p>
        </w:tc>
      </w:tr>
      <w:tr>
        <w:tc>
          <w:tcPr/>
          <w:p>
            <w:pPr>
              <w:pStyle w:val="Compact"/>
            </w:pPr>
            <w:r>
              <w:t xml:space="preserve">do-calculus / SCM reasoning</w:t>
            </w:r>
          </w:p>
        </w:tc>
        <w:tc>
          <w:tcPr/>
          <w:p>
            <w:pPr>
              <w:pStyle w:val="Compact"/>
            </w:pPr>
            <w:r>
              <w:t xml:space="preserve">Causal graph + assumptions</w:t>
            </w:r>
          </w:p>
        </w:tc>
        <w:tc>
          <w:tcPr/>
          <w:p>
            <w:pPr>
              <w:pStyle w:val="Compact"/>
            </w:pPr>
            <w:r>
              <w:t xml:space="preserve">Correct causal graph/SCM or identifiability conditions</w:t>
            </w:r>
          </w:p>
        </w:tc>
        <w:tc>
          <w:tcPr/>
          <w:p>
            <w:pPr>
              <w:pStyle w:val="Compact"/>
            </w:pPr>
            <w:r>
              <w:t xml:space="preserve">Identifiability and formulas for causal queries</w:t>
            </w:r>
          </w:p>
        </w:tc>
        <w:tc>
          <w:tcPr/>
          <w:p>
            <w:pPr>
              <w:pStyle w:val="Compact"/>
            </w:pPr>
            <w:r>
              <w:t xml:space="preserve">Conceptual basis for designing interventions and reasoning about them</w:t>
            </w:r>
          </w:p>
        </w:tc>
        <w:tc>
          <w:tcPr/>
          <w:p>
            <w:pPr>
              <w:pStyle w:val="Compact"/>
            </w:pPr>
            <w:r>
              <w:t xml:space="preserve">Provides formal rules for deriving interventional distributions; clarifies what can/can’t be identified</w:t>
            </w:r>
          </w:p>
        </w:tc>
        <w:tc>
          <w:tcPr/>
          <w:p>
            <w:pPr>
              <w:pStyle w:val="Compact"/>
            </w:pPr>
            <w:r>
              <w:t xml:space="preserve">Not an algorithm by itself; usefulness depends on correctness of assumed graph and available adjustment sets</w:t>
            </w:r>
          </w:p>
        </w:tc>
      </w:tr>
    </w:tbl>
    <w:p>
      <w:pPr>
        <w:pStyle w:val="BodyText"/>
      </w:pPr>
      <w:r>
        <w:t xml:space="preserve">Sources and standard references include the causal discovery monograph introducing PC-style algorithms, formal discussion of FCI, interventional extensions embodied in GIES, and modern introductions connecting these tools.</w:t>
      </w:r>
      <w:r>
        <w:t xml:space="preserve"> </w:t>
      </w:r>
      <w:hyperlink r:id="rId41">
        <w:r>
          <w:rPr>
            <w:rStyle w:val="Hyperlink"/>
          </w:rPr>
          <w:t xml:space="preserve">[25]</w:t>
        </w:r>
      </w:hyperlink>
    </w:p>
    <w:p>
      <w:pPr>
        <w:pStyle w:val="BodyText"/>
      </w:pPr>
      <w:r>
        <w:t xml:space="preserve">A key empirical point for closed-loop settings is</w:t>
      </w:r>
      <w:r>
        <w:t xml:space="preserve"> </w:t>
      </w:r>
      <w:r>
        <w:rPr>
          <w:b/>
          <w:bCs/>
        </w:rPr>
        <w:t xml:space="preserve">query-directed</w:t>
      </w:r>
      <w:r>
        <w:t xml:space="preserve"> </w:t>
      </w:r>
      <w:r>
        <w:t xml:space="preserve">intervention design: rather than learning the full causal graph, one can design interventions to learn a particular causal query more sample-efficiently. Active Bayesian Causal Inference (ABCI) explicitly formalizes sequential intervention design as maximizing mutual information between a target query and the next experiment’s outcome, updating beliefs and repeating; it reports improved data efficiency versus baselines that focus on full-graph learning.</w:t>
      </w:r>
      <w:r>
        <w:t xml:space="preserve"> </w:t>
      </w:r>
      <w:hyperlink r:id="rId42">
        <w:r>
          <w:rPr>
            <w:rStyle w:val="Hyperlink"/>
          </w:rPr>
          <w:t xml:space="preserve">[26]</w:t>
        </w:r>
      </w:hyperlink>
    </w:p>
    <w:p>
      <w:pPr>
        <w:pStyle w:val="BodyText"/>
      </w:pPr>
      <w:r>
        <w:t xml:space="preserve">Another practical theme is</w:t>
      </w:r>
      <w:r>
        <w:t xml:space="preserve"> </w:t>
      </w:r>
      <w:r>
        <w:rPr>
          <w:b/>
          <w:bCs/>
        </w:rPr>
        <w:t xml:space="preserve">multi-fidelity interventions</w:t>
      </w:r>
      <w:r>
        <w:t xml:space="preserve"> </w:t>
      </w:r>
      <w:r>
        <w:t xml:space="preserve">(simulators vs real experiments, cheap proxies vs expensive assays). Recent work formalizes mutual-information acquisition over both intervention targets and fidelity levels, aligning tightly with closed-loop labs where simulators and real instruments coexist.</w:t>
      </w:r>
      <w:r>
        <w:t xml:space="preserve"> </w:t>
      </w:r>
      <w:hyperlink r:id="rId43">
        <w:r>
          <w:rPr>
            <w:rStyle w:val="Hyperlink"/>
          </w:rPr>
          <w:t xml:space="preserve">[27]</w:t>
        </w:r>
      </w:hyperlink>
    </w:p>
    <w:p>
      <w:pPr>
        <w:pStyle w:val="BodyText"/>
      </w:pPr>
      <w:r>
        <w:t xml:space="preserve">Two failure modes are particularly acute in closed-loop causal discovery:</w:t>
      </w:r>
    </w:p>
    <w:p>
      <w:pPr>
        <w:pStyle w:val="Compact"/>
        <w:numPr>
          <w:ilvl w:val="0"/>
          <w:numId w:val="1002"/>
        </w:numPr>
      </w:pPr>
      <w:r>
        <w:rPr>
          <w:b/>
          <w:bCs/>
        </w:rPr>
        <w:t xml:space="preserve">Assumption brittleness:</w:t>
      </w:r>
      <w:r>
        <w:t xml:space="preserve"> </w:t>
      </w:r>
      <w:r>
        <w:t xml:space="preserve">faithfulness and causal sufficiency violations (latent confounders, selection bias) can derail constraint-based methods; FCI addresses latents but increases complexity.</w:t>
      </w:r>
      <w:r>
        <w:t xml:space="preserve"> </w:t>
      </w:r>
      <w:hyperlink r:id="rId44">
        <w:r>
          <w:rPr>
            <w:rStyle w:val="Hyperlink"/>
          </w:rPr>
          <w:t xml:space="preserve">[28]</w:t>
        </w:r>
      </w:hyperlink>
    </w:p>
    <w:p>
      <w:pPr>
        <w:pStyle w:val="Compact"/>
        <w:numPr>
          <w:ilvl w:val="0"/>
          <w:numId w:val="1002"/>
        </w:numPr>
      </w:pPr>
      <w:r>
        <w:rPr>
          <w:b/>
          <w:bCs/>
        </w:rPr>
        <w:t xml:space="preserve">Intervention constraints:</w:t>
      </w:r>
      <w:r>
        <w:t xml:space="preserve"> </w:t>
      </w:r>
      <w:r>
        <w:t xml:space="preserve">real labs rarely allow arbitrary do-interventions; interventions may be limited to a subset of variables, bounded ranges, or “soft” mechanism shifts—reducing identifiability gains. Survey work stresses that real-world applicability remains limited partly because assumptions and benchmarks do not match field constraints.</w:t>
      </w:r>
      <w:r>
        <w:t xml:space="preserve"> </w:t>
      </w:r>
      <w:hyperlink r:id="rId45">
        <w:r>
          <w:rPr>
            <w:rStyle w:val="Hyperlink"/>
          </w:rPr>
          <w:t xml:space="preserve">[29]</w:t>
        </w:r>
      </w:hyperlink>
    </w:p>
    <w:bookmarkEnd w:id="46"/>
    <w:bookmarkEnd w:id="47"/>
    <w:bookmarkStart w:id="59" w:name="X4bcffe46a11cc6f862dab02aad0009ad178e8fe"/>
    <w:p>
      <w:pPr>
        <w:pStyle w:val="Heading2"/>
      </w:pPr>
      <w:r>
        <w:t xml:space="preserve">Automated lab APIs and standards: integration patterns, latency, and constraints</w:t>
      </w:r>
    </w:p>
    <w:p>
      <w:pPr>
        <w:pStyle w:val="FirstParagraph"/>
      </w:pPr>
      <w:r>
        <w:t xml:space="preserve">Closed-loop autonomy depends on</w:t>
      </w:r>
      <w:r>
        <w:t xml:space="preserve"> </w:t>
      </w:r>
      <w:r>
        <w:rPr>
          <w:b/>
          <w:bCs/>
        </w:rPr>
        <w:t xml:space="preserve">reliable programmatic execution</w:t>
      </w:r>
      <w:r>
        <w:t xml:space="preserve">. Ecosystems span (a) device interoperability standards, (b) protocol languages, and (c) vendor/platform-specific execution APIs and data stores. Reviews of self-driving laboratories emphasize that software infrastructure and standardized interfaces are major enablers—and often major blockers.</w:t>
      </w:r>
      <w:r>
        <w:t xml:space="preserve"> </w:t>
      </w:r>
      <w:hyperlink r:id="rId25">
        <w:r>
          <w:rPr>
            <w:rStyle w:val="Hyperlink"/>
          </w:rPr>
          <w:t xml:space="preserve">[30]</w:t>
        </w:r>
      </w:hyperlink>
    </w:p>
    <w:bookmarkStart w:id="53" w:name="Xf0199efd3d3df13a80d1fa609aff73b8f1ce7ae"/>
    <w:p>
      <w:pPr>
        <w:pStyle w:val="Heading3"/>
      </w:pPr>
      <w:r>
        <w:t xml:space="preserve">Comparative table of lab-facing interfaces in the request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Interface</w:t>
            </w:r>
          </w:p>
        </w:tc>
        <w:tc>
          <w:tcPr/>
          <w:p>
            <w:pPr>
              <w:pStyle w:val="Compact"/>
            </w:pPr>
            <w:r>
              <w:t xml:space="preserve">What it standardizes</w:t>
            </w:r>
          </w:p>
        </w:tc>
        <w:tc>
          <w:tcPr/>
          <w:p>
            <w:pPr>
              <w:pStyle w:val="Compact"/>
            </w:pPr>
            <w:r>
              <w:t xml:space="preserve">Interface style</w:t>
            </w:r>
          </w:p>
        </w:tc>
        <w:tc>
          <w:tcPr/>
          <w:p>
            <w:pPr>
              <w:pStyle w:val="Compact"/>
            </w:pPr>
            <w:r>
              <w:t xml:space="preserve">Typical deployment</w:t>
            </w:r>
          </w:p>
        </w:tc>
        <w:tc>
          <w:tcPr/>
          <w:p>
            <w:pPr>
              <w:pStyle w:val="Compact"/>
            </w:pPr>
            <w:r>
              <w:t xml:space="preserve">Integration pattern in closed loops</w:t>
            </w:r>
          </w:p>
        </w:tc>
        <w:tc>
          <w:tcPr/>
          <w:p>
            <w:pPr>
              <w:pStyle w:val="Compact"/>
            </w:pPr>
            <w:r>
              <w:t xml:space="preserve">Latency / safety notes</w:t>
            </w:r>
          </w:p>
        </w:tc>
      </w:tr>
      <w:tr>
        <w:tc>
          <w:tcPr/>
          <w:p>
            <w:pPr>
              <w:pStyle w:val="Compact"/>
            </w:pPr>
            <w:r>
              <w:t xml:space="preserve">SiLA / SiLA 2</w:t>
            </w:r>
          </w:p>
        </w:tc>
        <w:tc>
          <w:tcPr/>
          <w:p>
            <w:pPr>
              <w:pStyle w:val="Compact"/>
            </w:pPr>
            <w:r>
              <w:t xml:space="preserve">Instrument/device services and “features”</w:t>
            </w:r>
          </w:p>
        </w:tc>
        <w:tc>
          <w:tcPr/>
          <w:p>
            <w:pPr>
              <w:pStyle w:val="Compact"/>
            </w:pPr>
            <w:r>
              <w:t xml:space="preserve">HTTP/2 + gRPC + Protocol Buffers; discovery mechanisms</w:t>
            </w:r>
          </w:p>
        </w:tc>
        <w:tc>
          <w:tcPr/>
          <w:p>
            <w:pPr>
              <w:pStyle w:val="Compact"/>
            </w:pPr>
            <w:r>
              <w:t xml:space="preserve">On-prem lab networks; can bridge to cloud</w:t>
            </w:r>
          </w:p>
        </w:tc>
        <w:tc>
          <w:tcPr/>
          <w:p>
            <w:pPr>
              <w:pStyle w:val="Compact"/>
            </w:pPr>
            <w:r>
              <w:t xml:space="preserve">Treat instruments as network services; orchestration engine calls commands/properties</w:t>
            </w:r>
          </w:p>
        </w:tc>
        <w:tc>
          <w:tcPr/>
          <w:p>
            <w:pPr>
              <w:pStyle w:val="Compact"/>
            </w:pPr>
            <w:r>
              <w:t xml:space="preserve">Explicit attention to secure connections and discovery; designed for network boundaries and certificate/security management</w:t>
            </w:r>
          </w:p>
        </w:tc>
      </w:tr>
      <w:tr>
        <w:tc>
          <w:tcPr/>
          <w:p>
            <w:pPr>
              <w:pStyle w:val="Compact"/>
            </w:pPr>
            <w:r>
              <w:t xml:space="preserve">Autoprotocol</w:t>
            </w:r>
          </w:p>
        </w:tc>
        <w:tc>
          <w:tcPr/>
          <w:p>
            <w:pPr>
              <w:pStyle w:val="Compact"/>
            </w:pPr>
            <w:r>
              <w:t xml:space="preserve">Protocol-level instruction list for life science automation</w:t>
            </w:r>
          </w:p>
        </w:tc>
        <w:tc>
          <w:tcPr/>
          <w:p>
            <w:pPr>
              <w:pStyle w:val="Compact"/>
            </w:pPr>
            <w:r>
              <w:t xml:space="preserve">JSON-based protocol spec; libraries generate protocols</w:t>
            </w:r>
          </w:p>
        </w:tc>
        <w:tc>
          <w:tcPr/>
          <w:p>
            <w:pPr>
              <w:pStyle w:val="Compact"/>
            </w:pPr>
            <w:r>
              <w:t xml:space="preserve">Historically tied to cloud labs; can be compiled/executed by providers</w:t>
            </w:r>
          </w:p>
        </w:tc>
        <w:tc>
          <w:tcPr/>
          <w:p>
            <w:pPr>
              <w:pStyle w:val="Compact"/>
            </w:pPr>
            <w:r>
              <w:t xml:space="preserve">“Compile” high-level experimental intent into a standard instruction format; submit via provider client</w:t>
            </w:r>
          </w:p>
        </w:tc>
        <w:tc>
          <w:tcPr/>
          <w:p>
            <w:pPr>
              <w:pStyle w:val="Compact"/>
            </w:pPr>
            <w:r>
              <w:t xml:space="preserve">Safety depends on provider’s screening + allowed primitives; reproducibility improves via unambiguous specs</w:t>
            </w:r>
          </w:p>
        </w:tc>
      </w:tr>
      <w:tr>
        <w:tc>
          <w:tcPr/>
          <w:p>
            <w:pPr>
              <w:pStyle w:val="Compact"/>
            </w:pPr>
            <w:r>
              <w:t xml:space="preserve">Emerald Cloud Lab (Constellation / documentation / SLL)</w:t>
            </w:r>
          </w:p>
        </w:tc>
        <w:tc>
          <w:tcPr/>
          <w:p>
            <w:pPr>
              <w:pStyle w:val="Compact"/>
            </w:pPr>
            <w:r>
              <w:t xml:space="preserve">Platform-specific execution and data/ontology</w:t>
            </w:r>
          </w:p>
        </w:tc>
        <w:tc>
          <w:tcPr/>
          <w:p>
            <w:pPr>
              <w:pStyle w:val="Compact"/>
            </w:pPr>
            <w:r>
              <w:t xml:space="preserve">Web-doc’d “functions/types/objects” interface; SLL open-sourced; platform-managed lab</w:t>
            </w:r>
          </w:p>
        </w:tc>
        <w:tc>
          <w:tcPr/>
          <w:p>
            <w:pPr>
              <w:pStyle w:val="Compact"/>
            </w:pPr>
            <w:r>
              <w:t xml:space="preserve">Remote cloud lab</w:t>
            </w:r>
          </w:p>
        </w:tc>
        <w:tc>
          <w:tcPr/>
          <w:p>
            <w:pPr>
              <w:pStyle w:val="Compact"/>
            </w:pPr>
            <w:r>
              <w:t xml:space="preserve">Agent generates lab programs, submits experiments, retrieves structured results via platform data model</w:t>
            </w:r>
          </w:p>
        </w:tc>
        <w:tc>
          <w:tcPr/>
          <w:p>
            <w:pPr>
              <w:pStyle w:val="Compact"/>
            </w:pPr>
            <w:r>
              <w:t xml:space="preserve">Cloud-lab benefits include remote execution and scale; operational security and screening become first-class concerns</w:t>
            </w:r>
          </w:p>
        </w:tc>
      </w:tr>
      <w:tr>
        <w:tc>
          <w:tcPr/>
          <w:p>
            <w:pPr>
              <w:pStyle w:val="Compact"/>
            </w:pPr>
            <w:r>
              <w:t xml:space="preserve">OpenTrons API</w:t>
            </w:r>
          </w:p>
        </w:tc>
        <w:tc>
          <w:tcPr/>
          <w:p>
            <w:pPr>
              <w:pStyle w:val="Compact"/>
            </w:pPr>
            <w:r>
              <w:t xml:space="preserve">Robot protocol execution for liquid handlers</w:t>
            </w:r>
          </w:p>
        </w:tc>
        <w:tc>
          <w:tcPr/>
          <w:p>
            <w:pPr>
              <w:pStyle w:val="Compact"/>
            </w:pPr>
            <w:r>
              <w:t xml:space="preserve">Python Protocol API; supports runtime parameters and low-level motor control features in newer versions</w:t>
            </w:r>
          </w:p>
        </w:tc>
        <w:tc>
          <w:tcPr/>
          <w:p>
            <w:pPr>
              <w:pStyle w:val="Compact"/>
            </w:pPr>
            <w:r>
              <w:t xml:space="preserve">Local benchtop robots (OT-2, Flex)</w:t>
            </w:r>
          </w:p>
        </w:tc>
        <w:tc>
          <w:tcPr/>
          <w:p>
            <w:pPr>
              <w:pStyle w:val="Compact"/>
            </w:pPr>
            <w:r>
              <w:t xml:space="preserve">Agent writes parameterized protocols; local execution; integrate with QC and scheduling</w:t>
            </w:r>
          </w:p>
        </w:tc>
        <w:tc>
          <w:tcPr/>
          <w:p>
            <w:pPr>
              <w:pStyle w:val="Compact"/>
            </w:pPr>
            <w:r>
              <w:t xml:space="preserve">Low latency; physical safety relies on local lab SOPs; easier rapid iteration than queued cloud labs</w:t>
            </w:r>
          </w:p>
        </w:tc>
      </w:tr>
      <w:tr>
        <w:tc>
          <w:tcPr/>
          <w:p>
            <w:pPr>
              <w:pStyle w:val="Compact"/>
            </w:pPr>
            <w:r>
              <w:t xml:space="preserve">Antha (by Synthace)</w:t>
            </w:r>
          </w:p>
        </w:tc>
        <w:tc>
          <w:tcPr/>
          <w:p>
            <w:pPr>
              <w:pStyle w:val="Compact"/>
            </w:pPr>
            <w:r>
              <w:t xml:space="preserve">Higher-level experiment design + automation compilation</w:t>
            </w:r>
          </w:p>
        </w:tc>
        <w:tc>
          <w:tcPr/>
          <w:p>
            <w:pPr>
              <w:pStyle w:val="Compact"/>
            </w:pPr>
            <w:r>
              <w:t xml:space="preserve">High-level language + platform compiling to multiple devices; emphasis on DOE and structured data</w:t>
            </w:r>
          </w:p>
        </w:tc>
        <w:tc>
          <w:tcPr/>
          <w:p>
            <w:pPr>
              <w:pStyle w:val="Compact"/>
            </w:pPr>
            <w:r>
              <w:t xml:space="preserve">Typically on-prem automation stacks</w:t>
            </w:r>
          </w:p>
        </w:tc>
        <w:tc>
          <w:tcPr/>
          <w:p>
            <w:pPr>
              <w:pStyle w:val="Compact"/>
            </w:pPr>
            <w:r>
              <w:t xml:space="preserve">“Design → compile → validate (digital twin) → run” with structured outputs</w:t>
            </w:r>
          </w:p>
        </w:tc>
        <w:tc>
          <w:tcPr/>
          <w:p>
            <w:pPr>
              <w:pStyle w:val="Compact"/>
            </w:pPr>
            <w:r>
              <w:t xml:space="preserve">Closed-loop friendliness depends on programmatic access and validation; aims to reduce “automation programming” friction</w:t>
            </w:r>
          </w:p>
        </w:tc>
      </w:tr>
    </w:tbl>
    <w:p>
      <w:pPr>
        <w:pStyle w:val="BodyText"/>
      </w:pPr>
      <w:r>
        <w:rPr>
          <w:b/>
          <w:bCs/>
        </w:rPr>
        <w:t xml:space="preserve">Evidence anchors:</w:t>
      </w:r>
      <w:r>
        <w:t xml:space="preserve"> </w:t>
      </w:r>
      <w:r>
        <w:t xml:space="preserve">SiLA 2’s technical stack (HTTP/2, Protocol Buffers, gRPC) and cloud-ready connection methods are stated in the standard’s official materials.</w:t>
      </w:r>
      <w:r>
        <w:t xml:space="preserve"> </w:t>
      </w:r>
      <w:hyperlink r:id="rId48">
        <w:r>
          <w:rPr>
            <w:rStyle w:val="Hyperlink"/>
          </w:rPr>
          <w:t xml:space="preserve">[31]</w:t>
        </w:r>
      </w:hyperlink>
      <w:r>
        <w:t xml:space="preserve"> </w:t>
      </w:r>
      <w:r>
        <w:t xml:space="preserve">Autoprotocol is described as a standard way to express life-science experiments, with an open-source Python library and documentation.</w:t>
      </w:r>
      <w:r>
        <w:t xml:space="preserve"> </w:t>
      </w:r>
      <w:hyperlink r:id="rId49">
        <w:r>
          <w:rPr>
            <w:rStyle w:val="Hyperlink"/>
          </w:rPr>
          <w:t xml:space="preserve">[32]</w:t>
        </w:r>
      </w:hyperlink>
      <w:r>
        <w:t xml:space="preserve"> </w:t>
      </w:r>
      <w:r>
        <w:t xml:space="preserve">OpenTrons documents its Python protocol API and runtime parameters.</w:t>
      </w:r>
      <w:r>
        <w:t xml:space="preserve"> </w:t>
      </w:r>
      <w:hyperlink r:id="rId50">
        <w:r>
          <w:rPr>
            <w:rStyle w:val="Hyperlink"/>
          </w:rPr>
          <w:t xml:space="preserve">[33]</w:t>
        </w:r>
      </w:hyperlink>
      <w:r>
        <w:t xml:space="preserve"> </w:t>
      </w:r>
      <w:r>
        <w:t xml:space="preserve">The Emerald Cloud Lab documentation center describes command-like functions and ontology-like types/objects, and public communications describe SLL being open sourced and used at large scale (noting that some of these claims come from company communications).</w:t>
      </w:r>
      <w:r>
        <w:t xml:space="preserve"> </w:t>
      </w:r>
      <w:hyperlink r:id="rId51">
        <w:r>
          <w:rPr>
            <w:rStyle w:val="Hyperlink"/>
          </w:rPr>
          <w:t xml:space="preserve">[34]</w:t>
        </w:r>
      </w:hyperlink>
      <w:r>
        <w:t xml:space="preserve"> </w:t>
      </w:r>
      <w:r>
        <w:t xml:space="preserve">The Antha ecosystem is presented as experiment design + automation compilation, associated with Synthace and DOE-driven workflows.</w:t>
      </w:r>
      <w:r>
        <w:t xml:space="preserve"> </w:t>
      </w:r>
      <w:hyperlink r:id="rId52">
        <w:r>
          <w:rPr>
            <w:rStyle w:val="Hyperlink"/>
          </w:rPr>
          <w:t xml:space="preserve">[35]</w:t>
        </w:r>
      </w:hyperlink>
    </w:p>
    <w:bookmarkEnd w:id="53"/>
    <w:bookmarkStart w:id="57" w:name="Xd1319db1e1064760acef4c146111dc3a02a3169"/>
    <w:p>
      <w:pPr>
        <w:pStyle w:val="Heading3"/>
      </w:pPr>
      <w:r>
        <w:t xml:space="preserve">Real-world closed-loop case studies and what they reveal about integration</w:t>
      </w:r>
    </w:p>
    <w:p>
      <w:pPr>
        <w:pStyle w:val="FirstParagraph"/>
      </w:pPr>
      <w:r>
        <w:rPr>
          <w:b/>
          <w:bCs/>
        </w:rPr>
        <w:t xml:space="preserve">Orchestration + BO in materials discovery.</w:t>
      </w:r>
      <w:r>
        <w:t xml:space="preserve"> </w:t>
      </w:r>
      <w:r>
        <w:t xml:space="preserve">A self-driving thin-film lab is reported as an autonomous loop with a modular robotic platform driven by a model-based optimizer; it explicitly positions self-driving loops as a way to accelerate decade-scale materials discovery timelines.</w:t>
      </w:r>
      <w:r>
        <w:t xml:space="preserve"> </w:t>
      </w:r>
      <w:hyperlink r:id="rId27">
        <w:r>
          <w:rPr>
            <w:rStyle w:val="Hyperlink"/>
          </w:rPr>
          <w:t xml:space="preserve">[36]</w:t>
        </w:r>
      </w:hyperlink>
      <w:r>
        <w:t xml:space="preserve"> </w:t>
      </w:r>
      <w:r>
        <w:t xml:space="preserve">Multi-objective campaigns mapping Pareto fronts show that autonomy can be used not only to find a single optimum but to characterize tradeoffs, using algorithms like qEHVI and repeated autonomous runs.</w:t>
      </w:r>
      <w:r>
        <w:t xml:space="preserve"> </w:t>
      </w:r>
      <w:hyperlink r:id="rId54">
        <w:r>
          <w:rPr>
            <w:rStyle w:val="Hyperlink"/>
          </w:rPr>
          <w:t xml:space="preserve">[37]</w:t>
        </w:r>
      </w:hyperlink>
    </w:p>
    <w:p>
      <w:pPr>
        <w:pStyle w:val="BodyText"/>
      </w:pPr>
      <w:r>
        <w:rPr>
          <w:b/>
          <w:bCs/>
        </w:rPr>
        <w:t xml:space="preserve">Orchestration software as “lab operating system.”</w:t>
      </w:r>
      <w:r>
        <w:t xml:space="preserve"> </w:t>
      </w:r>
      <w:r>
        <w:t xml:space="preserve">ChemOS is introduced as a modular orchestration package coordinating communication, data exchange, and instruction management among lab components; later work presents ChemOS 2.0 as an orchestration architecture and demonstrates it in discovery campaigns (e.g., organic laser molecules).</w:t>
      </w:r>
      <w:r>
        <w:t xml:space="preserve"> </w:t>
      </w:r>
      <w:hyperlink r:id="rId25">
        <w:r>
          <w:rPr>
            <w:rStyle w:val="Hyperlink"/>
          </w:rPr>
          <w:t xml:space="preserve">[38]</w:t>
        </w:r>
      </w:hyperlink>
    </w:p>
    <w:p>
      <w:pPr>
        <w:pStyle w:val="BodyText"/>
      </w:pPr>
      <w:r>
        <w:rPr>
          <w:b/>
          <w:bCs/>
        </w:rPr>
        <w:t xml:space="preserve">LLM agent + cloud lab control.</w:t>
      </w:r>
      <w:r>
        <w:t xml:space="preserve"> </w:t>
      </w:r>
      <w:r>
        <w:t xml:space="preserve">An LLM-driven “Coscientist” is reported performing tasks that include using documentation to execute high-level commands in a cloud lab and controlling liquid handling instruments with low-level instructions, illustrating a path from unstructured instruction-following to direct lab actuation.</w:t>
      </w:r>
      <w:r>
        <w:t xml:space="preserve"> </w:t>
      </w:r>
      <w:hyperlink r:id="rId55">
        <w:r>
          <w:rPr>
            <w:rStyle w:val="Hyperlink"/>
          </w:rPr>
          <w:t xml:space="preserve">[39]</w:t>
        </w:r>
      </w:hyperlink>
    </w:p>
    <w:p>
      <w:pPr>
        <w:pStyle w:val="BodyText"/>
      </w:pPr>
      <w:r>
        <w:rPr>
          <w:b/>
          <w:bCs/>
        </w:rPr>
        <w:t xml:space="preserve">Mobile robotics + heterogeneous instruments.</w:t>
      </w:r>
      <w:r>
        <w:t xml:space="preserve"> </w:t>
      </w:r>
      <w:r>
        <w:t xml:space="preserve">Recent work shows autonomous mobile robots operating existing lab equipment and combining multiple measurement modalities (LC–MS, benchtop NMR) with decision-making that checks reproducibility—highlighting that real autonomy increasingly requires multi-instrument evidence, not single-sensor optimization.</w:t>
      </w:r>
      <w:r>
        <w:t xml:space="preserve"> </w:t>
      </w:r>
      <w:hyperlink r:id="rId56">
        <w:r>
          <w:rPr>
            <w:rStyle w:val="Hyperlink"/>
          </w:rPr>
          <w:t xml:space="preserve">[40]</w:t>
        </w:r>
      </w:hyperlink>
    </w:p>
    <w:bookmarkEnd w:id="57"/>
    <w:bookmarkStart w:id="58" w:name="X759e4528d85a25fbeabf97398b93fee57926ffc"/>
    <w:p>
      <w:pPr>
        <w:pStyle w:val="Heading3"/>
      </w:pPr>
      <w:r>
        <w:t xml:space="preserve">Latency and safety constraints that shape closed-loop design</w:t>
      </w:r>
    </w:p>
    <w:p>
      <w:pPr>
        <w:pStyle w:val="FirstParagraph"/>
      </w:pPr>
      <w:r>
        <w:t xml:space="preserve">Latency is not only network delay: it includes queue time, sample preparation, instrument availability, and human-in-the-loop review gates. Cloud labs can democratize access and scale instrumentation but shift constraints toward scheduling, screening, and cybersecurity boundaries; policy analysis highlights both potential benefits and vulnerabilities of cloud lab models, including dual-use concerns.</w:t>
      </w:r>
      <w:r>
        <w:t xml:space="preserve"> </w:t>
      </w:r>
      <w:hyperlink r:id="rId21">
        <w:r>
          <w:rPr>
            <w:rStyle w:val="Hyperlink"/>
          </w:rPr>
          <w:t xml:space="preserve">[3]</w:t>
        </w:r>
      </w:hyperlink>
    </w:p>
    <w:p>
      <w:pPr>
        <w:pStyle w:val="BodyText"/>
      </w:pPr>
      <w:r>
        <w:t xml:space="preserve">A practical architectural implication is to separate loops by timescale:</w:t>
      </w:r>
    </w:p>
    <w:p>
      <w:pPr>
        <w:pStyle w:val="Compact"/>
        <w:numPr>
          <w:ilvl w:val="0"/>
          <w:numId w:val="1003"/>
        </w:numPr>
      </w:pPr>
      <w:r>
        <w:rPr>
          <w:b/>
          <w:bCs/>
        </w:rPr>
        <w:t xml:space="preserve">Fast inner loop:</w:t>
      </w:r>
      <w:r>
        <w:t xml:space="preserve"> </w:t>
      </w:r>
      <w:r>
        <w:t xml:space="preserve">simulation, surrogate updates, protocol generation/validation, and candidate scoring.</w:t>
      </w:r>
    </w:p>
    <w:p>
      <w:pPr>
        <w:pStyle w:val="Compact"/>
        <w:numPr>
          <w:ilvl w:val="0"/>
          <w:numId w:val="1003"/>
        </w:numPr>
      </w:pPr>
      <w:r>
        <w:rPr>
          <w:b/>
          <w:bCs/>
        </w:rPr>
        <w:t xml:space="preserve">Slow outer loop:</w:t>
      </w:r>
      <w:r>
        <w:t xml:space="preserve"> </w:t>
      </w:r>
      <w:r>
        <w:t xml:space="preserve">physical execution, assay time, queued runs, and post-run QC.</w:t>
      </w:r>
    </w:p>
    <w:p>
      <w:pPr>
        <w:pStyle w:val="FirstParagraph"/>
      </w:pPr>
      <w:r>
        <w:t xml:space="preserve">This is one reason multi-fidelity designs (simulators + real experiments) appear repeatedly in active discovery literature.</w:t>
      </w:r>
      <w:r>
        <w:t xml:space="preserve"> </w:t>
      </w:r>
      <w:hyperlink r:id="rId43">
        <w:r>
          <w:rPr>
            <w:rStyle w:val="Hyperlink"/>
          </w:rPr>
          <w:t xml:space="preserve">[41]</w:t>
        </w:r>
      </w:hyperlink>
    </w:p>
    <w:bookmarkEnd w:id="58"/>
    <w:bookmarkEnd w:id="59"/>
    <w:bookmarkStart w:id="68" w:name="Xe0f13e0fcc15a54b90274a58c68a604242ee42d"/>
    <w:p>
      <w:pPr>
        <w:pStyle w:val="Heading2"/>
      </w:pPr>
      <w:r>
        <w:t xml:space="preserve">Epistemic uncertainty quantification for experiment prioritization</w:t>
      </w:r>
    </w:p>
    <w:p>
      <w:pPr>
        <w:pStyle w:val="FirstParagraph"/>
      </w:pPr>
      <w:r>
        <w:t xml:space="preserve">Closed-loop autonomy is only as good as its uncertainty estimates: an agent must decide when it</w:t>
      </w:r>
      <w:r>
        <w:t xml:space="preserve"> </w:t>
      </w:r>
      <w:r>
        <w:rPr>
          <w:i/>
          <w:iCs/>
        </w:rPr>
        <w:t xml:space="preserve">knows enough</w:t>
      </w:r>
      <w:r>
        <w:t xml:space="preserve">, when to explore, how to price risk, and when model predictions are unreliable (out-of-distribution, drift, instrument faults). Modern uncertainty methods can be grouped by how they approximate epistemic uncertainty and how well-calibrated they are.</w:t>
      </w:r>
    </w:p>
    <w:bookmarkStart w:id="64" w:name="Xd99e8e39ee47df20050083039e345bca088e37b"/>
    <w:p>
      <w:pPr>
        <w:pStyle w:val="Heading3"/>
      </w:pPr>
      <w:r>
        <w:t xml:space="preserve">Comparative table of uncertainty methods and how they drive experiments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What uncertainty it captures</w:t>
            </w:r>
          </w:p>
        </w:tc>
        <w:tc>
          <w:tcPr/>
          <w:p>
            <w:pPr>
              <w:pStyle w:val="Compact"/>
            </w:pPr>
            <w:r>
              <w:t xml:space="preserve">Typical calibration behavior</w:t>
            </w:r>
          </w:p>
        </w:tc>
        <w:tc>
          <w:tcPr/>
          <w:p>
            <w:pPr>
              <w:pStyle w:val="Compact"/>
            </w:pPr>
            <w:r>
              <w:t xml:space="preserve">Compute cost</w:t>
            </w:r>
          </w:p>
        </w:tc>
        <w:tc>
          <w:tcPr/>
          <w:p>
            <w:pPr>
              <w:pStyle w:val="Compact"/>
            </w:pPr>
            <w:r>
              <w:t xml:space="preserve">How it’s used for experiment selection</w:t>
            </w:r>
          </w:p>
        </w:tc>
      </w:tr>
      <w:tr>
        <w:tc>
          <w:tcPr/>
          <w:p>
            <w:pPr>
              <w:pStyle w:val="Compact"/>
            </w:pPr>
            <w:r>
              <w:t xml:space="preserve">Gaussian processes (GPs)</w:t>
            </w:r>
          </w:p>
        </w:tc>
        <w:tc>
          <w:tcPr/>
          <w:p>
            <w:pPr>
              <w:pStyle w:val="Compact"/>
            </w:pPr>
            <w:r>
              <w:t xml:space="preserve">Posterior predictive uncertainty from Bayesian nonparametrics</w:t>
            </w:r>
          </w:p>
        </w:tc>
        <w:tc>
          <w:tcPr/>
          <w:p>
            <w:pPr>
              <w:pStyle w:val="Compact"/>
            </w:pPr>
            <w:r>
              <w:t xml:space="preserve">Often strong in low/moderate dimensions; depends on kernel and noise model</w:t>
            </w:r>
          </w:p>
        </w:tc>
        <w:tc>
          <w:tcPr/>
          <w:p>
            <w:pPr>
              <w:pStyle w:val="Compact"/>
            </w:pPr>
            <m:oMath>
              <m:r>
                <m:t>O</m:t>
              </m:r>
              <m:d>
                <m:dPr>
                  <m:begChr m:val="("/>
                  <m:sepChr m:val=""/>
                  <m:endChr m:val=")"/>
                  <m:grow/>
                </m:dPr>
                <m:e>
                  <m:sSup>
                    <m:e>
                      <m:r>
                        <m:t>n</m:t>
                      </m:r>
                    </m:e>
                    <m:sup>
                      <m:r>
                        <m:t>3</m:t>
                      </m:r>
                    </m:sup>
                  </m:sSup>
                </m:e>
              </m:d>
            </m:oMath>
            <w:r>
              <w:t xml:space="preserve"> </w:t>
            </w:r>
            <w:r>
              <w:t xml:space="preserve">naïve; sparse approximations common</w:t>
            </w:r>
          </w:p>
        </w:tc>
        <w:tc>
          <w:tcPr/>
          <w:p>
            <w:pPr>
              <w:pStyle w:val="Compact"/>
            </w:pPr>
            <w:r>
              <w:t xml:space="preserve">UCB/EI/entropy search; regret theory ties to info gain; common in BO and active learning</w:t>
            </w:r>
          </w:p>
        </w:tc>
      </w:tr>
      <w:tr>
        <w:tc>
          <w:tcPr/>
          <w:p>
            <w:pPr>
              <w:pStyle w:val="Compact"/>
            </w:pPr>
            <w:r>
              <w:t xml:space="preserve">Bayesian neural nets (BNNs) (VI/MCMC)</w:t>
            </w:r>
          </w:p>
        </w:tc>
        <w:tc>
          <w:tcPr/>
          <w:p>
            <w:pPr>
              <w:pStyle w:val="Compact"/>
            </w:pPr>
            <w:r>
              <w:t xml:space="preserve">Distribution over weights → epistemic + predictive uncertainty</w:t>
            </w:r>
          </w:p>
        </w:tc>
        <w:tc>
          <w:tcPr/>
          <w:p>
            <w:pPr>
              <w:pStyle w:val="Compact"/>
            </w:pPr>
            <w:r>
              <w:t xml:space="preserve">Can be miscalibrated under poor approximations; sensitive to priors and variational choices</w:t>
            </w:r>
          </w:p>
        </w:tc>
        <w:tc>
          <w:tcPr/>
          <w:p>
            <w:pPr>
              <w:pStyle w:val="Compact"/>
            </w:pPr>
            <w:r>
              <w:t xml:space="preserve">High (training/inference)</w:t>
            </w:r>
          </w:p>
        </w:tc>
        <w:tc>
          <w:tcPr/>
          <w:p>
            <w:pPr>
              <w:pStyle w:val="Compact"/>
            </w:pPr>
            <w:r>
              <w:t xml:space="preserve">Information gain and posterior variance; sometimes for high-dimensional surrogates where GPs struggle</w:t>
            </w:r>
          </w:p>
        </w:tc>
      </w:tr>
      <w:tr>
        <w:tc>
          <w:tcPr/>
          <w:p>
            <w:pPr>
              <w:pStyle w:val="Compact"/>
            </w:pPr>
            <w:r>
              <w:t xml:space="preserve">MC Dropout</w:t>
            </w:r>
          </w:p>
        </w:tc>
        <w:tc>
          <w:tcPr/>
          <w:p>
            <w:pPr>
              <w:pStyle w:val="Compact"/>
            </w:pPr>
            <w:r>
              <w:t xml:space="preserve">Approximate Bayesian inference via dropout at test time</w:t>
            </w:r>
          </w:p>
        </w:tc>
        <w:tc>
          <w:tcPr/>
          <w:p>
            <w:pPr>
              <w:pStyle w:val="Compact"/>
            </w:pPr>
            <w:r>
              <w:t xml:space="preserve">Practical but can underestimate uncertainty; depends on settings</w:t>
            </w:r>
          </w:p>
        </w:tc>
        <w:tc>
          <w:tcPr/>
          <w:p>
            <w:pPr>
              <w:pStyle w:val="Compact"/>
            </w:pPr>
            <w:r>
              <w:t xml:space="preserve">Low/moderate</w:t>
            </w:r>
          </w:p>
        </w:tc>
        <w:tc>
          <w:tcPr/>
          <w:p>
            <w:pPr>
              <w:pStyle w:val="Compact"/>
            </w:pPr>
            <w:r>
              <w:t xml:space="preserve">Fast uncertainty proxy for acquisition functions and active learning</w:t>
            </w:r>
          </w:p>
        </w:tc>
      </w:tr>
      <w:tr>
        <w:tc>
          <w:tcPr/>
          <w:p>
            <w:pPr>
              <w:pStyle w:val="Compact"/>
            </w:pPr>
            <w:r>
              <w:t xml:space="preserve">Deep ensembles</w:t>
            </w:r>
          </w:p>
        </w:tc>
        <w:tc>
          <w:tcPr/>
          <w:p>
            <w:pPr>
              <w:pStyle w:val="Compact"/>
            </w:pPr>
            <w:r>
              <w:t xml:space="preserve">Empirical distribution over independently trained models</w:t>
            </w:r>
          </w:p>
        </w:tc>
        <w:tc>
          <w:tcPr/>
          <w:p>
            <w:pPr>
              <w:pStyle w:val="Compact"/>
            </w:pPr>
            <w:r>
              <w:t xml:space="preserve">Often strong calibration and OOD sensitivity in practice</w:t>
            </w:r>
          </w:p>
        </w:tc>
        <w:tc>
          <w:tcPr/>
          <w:p>
            <w:pPr>
              <w:pStyle w:val="Compact"/>
            </w:pPr>
            <w:r>
              <w:t xml:space="preserve">Moderate to high (multiple trainings)</w:t>
            </w:r>
          </w:p>
        </w:tc>
        <w:tc>
          <w:tcPr/>
          <w:p>
            <w:pPr>
              <w:pStyle w:val="Compact"/>
            </w:pPr>
            <w:r>
              <w:t xml:space="preserve">Use ensemble variance for exploration (UCB/Thompson); widely used in active learning</w:t>
            </w:r>
          </w:p>
        </w:tc>
      </w:tr>
      <w:tr>
        <w:tc>
          <w:tcPr/>
          <w:p>
            <w:pPr>
              <w:pStyle w:val="Compact"/>
            </w:pPr>
            <w:r>
              <w:t xml:space="preserve">Evidential deep learning</w:t>
            </w:r>
          </w:p>
        </w:tc>
        <w:tc>
          <w:tcPr/>
          <w:p>
            <w:pPr>
              <w:pStyle w:val="Compact"/>
            </w:pPr>
            <w:r>
              <w:t xml:space="preserve">Predicts parameters of an evidence distribution; aims to represent epistemic/aleatoric via “evidence”</w:t>
            </w:r>
          </w:p>
        </w:tc>
        <w:tc>
          <w:tcPr/>
          <w:p>
            <w:pPr>
              <w:pStyle w:val="Compact"/>
            </w:pPr>
            <w:r>
              <w:t xml:space="preserve">Can provide calibrated uncertainty if trained carefully; needs regularization against overconfidence</w:t>
            </w:r>
          </w:p>
        </w:tc>
        <w:tc>
          <w:tcPr/>
          <w:p>
            <w:pPr>
              <w:pStyle w:val="Compact"/>
            </w:pPr>
            <w:r>
              <w:t xml:space="preserve">Similar to single NN</w:t>
            </w:r>
          </w:p>
        </w:tc>
        <w:tc>
          <w:tcPr/>
          <w:p>
            <w:pPr>
              <w:pStyle w:val="Compact"/>
            </w:pPr>
            <w:r>
              <w:t xml:space="preserve">Uncertainty-guided active learning; can prioritize experiments where evidence is low</w:t>
            </w:r>
          </w:p>
        </w:tc>
      </w:tr>
      <w:tr>
        <w:tc>
          <w:tcPr/>
          <w:p>
            <w:pPr>
              <w:pStyle w:val="Compact"/>
            </w:pPr>
            <w:r>
              <w:t xml:space="preserve">Post-hoc calibration (e.g., temperature scaling)</w:t>
            </w:r>
          </w:p>
        </w:tc>
        <w:tc>
          <w:tcPr/>
          <w:p>
            <w:pPr>
              <w:pStyle w:val="Compact"/>
            </w:pPr>
            <w:r>
              <w:t xml:space="preserve">Calibrates predicted probabilities (mostly classification)</w:t>
            </w:r>
          </w:p>
        </w:tc>
        <w:tc>
          <w:tcPr/>
          <w:p>
            <w:pPr>
              <w:pStyle w:val="Compact"/>
            </w:pPr>
            <w:r>
              <w:t xml:space="preserve">Often improves reliability without changing accuracy</w:t>
            </w:r>
          </w:p>
        </w:tc>
        <w:tc>
          <w:tcPr/>
          <w:p>
            <w:pPr>
              <w:pStyle w:val="Compact"/>
            </w:pPr>
            <w:r>
              <w:t xml:space="preserve">Low</w:t>
            </w:r>
          </w:p>
        </w:tc>
        <w:tc>
          <w:tcPr/>
          <w:p>
            <w:pPr>
              <w:pStyle w:val="Compact"/>
            </w:pPr>
            <w:r>
              <w:t xml:space="preserve">Improves decision thresholds in agent policies (accept/reject, stop criteria)</w:t>
            </w:r>
          </w:p>
        </w:tc>
      </w:tr>
    </w:tbl>
    <w:p>
      <w:pPr>
        <w:pStyle w:val="BodyText"/>
      </w:pPr>
      <w:r>
        <w:rPr>
          <w:b/>
          <w:bCs/>
        </w:rPr>
        <w:t xml:space="preserve">Evidence anchors:</w:t>
      </w:r>
      <w:r>
        <w:t xml:space="preserve"> </w:t>
      </w:r>
      <w:r>
        <w:t xml:space="preserve">deep ensembles are proposed as a simple scalable uncertainty estimator and reported to yield well-calibrated uncertainty across tasks.</w:t>
      </w:r>
      <w:r>
        <w:t xml:space="preserve"> </w:t>
      </w:r>
      <w:hyperlink r:id="rId60">
        <w:r>
          <w:rPr>
            <w:rStyle w:val="Hyperlink"/>
          </w:rPr>
          <w:t xml:space="preserve">[42]</w:t>
        </w:r>
      </w:hyperlink>
      <w:r>
        <w:t xml:space="preserve"> </w:t>
      </w:r>
      <w:r>
        <w:t xml:space="preserve">MC Dropout is framed as a Bayesian approximation for uncertainty in deep learning.</w:t>
      </w:r>
      <w:r>
        <w:t xml:space="preserve"> </w:t>
      </w:r>
      <w:hyperlink r:id="rId61">
        <w:r>
          <w:rPr>
            <w:rStyle w:val="Hyperlink"/>
          </w:rPr>
          <w:t xml:space="preserve">[43]</w:t>
        </w:r>
      </w:hyperlink>
      <w:r>
        <w:t xml:space="preserve"> </w:t>
      </w:r>
      <w:r>
        <w:t xml:space="preserve">“On Calibration of Modern Neural Networks” documents that modern NNs can be poorly calibrated and evaluates calibration methods.</w:t>
      </w:r>
      <w:r>
        <w:t xml:space="preserve"> </w:t>
      </w:r>
      <w:hyperlink r:id="rId62">
        <w:r>
          <w:rPr>
            <w:rStyle w:val="Hyperlink"/>
          </w:rPr>
          <w:t xml:space="preserve">[44]</w:t>
        </w:r>
      </w:hyperlink>
      <w:r>
        <w:t xml:space="preserve"> </w:t>
      </w:r>
      <w:r>
        <w:t xml:space="preserve">Evidential regression introduces “evidence”-based uncertainty outputs; evidential approaches have also been applied to guide molecular property prediction and uncertainty-guided active learning in scientific contexts.</w:t>
      </w:r>
      <w:r>
        <w:t xml:space="preserve"> </w:t>
      </w:r>
      <w:hyperlink r:id="rId63">
        <w:r>
          <w:rPr>
            <w:rStyle w:val="Hyperlink"/>
          </w:rPr>
          <w:t xml:space="preserve">[45]</w:t>
        </w:r>
      </w:hyperlink>
    </w:p>
    <w:bookmarkEnd w:id="64"/>
    <w:bookmarkStart w:id="67" w:name="X9f982525604c0e52f9a325883a45481f35fc4d3"/>
    <w:p>
      <w:pPr>
        <w:pStyle w:val="Heading3"/>
      </w:pPr>
      <w:r>
        <w:t xml:space="preserve">How uncertainty becomes experiment choice (common patterns)</w:t>
      </w:r>
    </w:p>
    <w:p>
      <w:pPr>
        <w:pStyle w:val="Compact"/>
        <w:numPr>
          <w:ilvl w:val="0"/>
          <w:numId w:val="1004"/>
        </w:numPr>
      </w:pPr>
      <w:r>
        <w:rPr>
          <w:b/>
          <w:bCs/>
        </w:rPr>
        <w:t xml:space="preserve">UCB/LCB-style rules</w:t>
      </w:r>
      <w:r>
        <w:t xml:space="preserve"> </w:t>
      </w:r>
      <w:r>
        <w:t xml:space="preserve">(risk-sensitive optimization): choose</w:t>
      </w:r>
      <w:r>
        <w:t xml:space="preserve"> </w:t>
      </w:r>
      <m:oMath>
        <m:r>
          <m:t>x</m:t>
        </m:r>
      </m:oMath>
      <w:r>
        <w:t xml:space="preserve"> </w:t>
      </w:r>
      <w:r>
        <w:t xml:space="preserve">maximizing</w:t>
      </w:r>
      <w:r>
        <w:t xml:space="preserve"> </w:t>
      </w:r>
      <m:oMath>
        <m:r>
          <m:t>μ</m:t>
        </m:r>
        <m:d>
          <m:dPr>
            <m:begChr m:val="("/>
            <m:sepChr m:val=""/>
            <m:endChr m:val=")"/>
            <m:grow/>
          </m:dPr>
          <m:e>
            <m:r>
              <m:t>x</m:t>
            </m:r>
          </m:e>
        </m:d>
        <m:r>
          <m:rPr>
            <m:sty m:val="p"/>
          </m:rPr>
          <m:t>+</m:t>
        </m:r>
        <m:r>
          <m:t>κ</m:t>
        </m:r>
        <m:r>
          <m:t>σ</m:t>
        </m:r>
        <m:d>
          <m:dPr>
            <m:begChr m:val="("/>
            <m:sepChr m:val=""/>
            <m:endChr m:val=")"/>
            <m:grow/>
          </m:dPr>
          <m:e>
            <m:r>
              <m:t>x</m:t>
            </m:r>
          </m:e>
        </m:d>
      </m:oMath>
      <w:r>
        <w:t xml:space="preserve"> </w:t>
      </w:r>
      <w:r>
        <w:t xml:space="preserve">(or minimizing lower confidence bound), balancing exploitation and exploration via</w:t>
      </w:r>
      <w:r>
        <w:t xml:space="preserve"> </w:t>
      </w:r>
      <m:oMath>
        <m:r>
          <m:t>κ</m:t>
        </m:r>
      </m:oMath>
      <w:r>
        <w:t xml:space="preserve">. This is ubiquitous in BO and is theoretically grounded in GP-UCB analysis.</w:t>
      </w:r>
      <w:r>
        <w:t xml:space="preserve"> </w:t>
      </w:r>
      <w:hyperlink r:id="rId33">
        <w:r>
          <w:rPr>
            <w:rStyle w:val="Hyperlink"/>
          </w:rPr>
          <w:t xml:space="preserve">[46]</w:t>
        </w:r>
      </w:hyperlink>
    </w:p>
    <w:p>
      <w:pPr>
        <w:pStyle w:val="Compact"/>
        <w:numPr>
          <w:ilvl w:val="0"/>
          <w:numId w:val="1004"/>
        </w:numPr>
      </w:pPr>
      <w:r>
        <w:rPr>
          <w:b/>
          <w:bCs/>
        </w:rPr>
        <w:t xml:space="preserve">Thompson sampling</w:t>
      </w:r>
      <w:r>
        <w:t xml:space="preserve">: sample a model from the posterior (or ensemble) and act optimally under it; repeated sampling induces exploration.</w:t>
      </w:r>
      <w:r>
        <w:t xml:space="preserve"> </w:t>
      </w:r>
      <w:hyperlink r:id="rId65">
        <w:r>
          <w:rPr>
            <w:rStyle w:val="Hyperlink"/>
          </w:rPr>
          <w:t xml:space="preserve">[47]</w:t>
        </w:r>
      </w:hyperlink>
    </w:p>
    <w:p>
      <w:pPr>
        <w:pStyle w:val="Compact"/>
        <w:numPr>
          <w:ilvl w:val="0"/>
          <w:numId w:val="1004"/>
        </w:numPr>
      </w:pPr>
      <w:r>
        <w:rPr>
          <w:b/>
          <w:bCs/>
        </w:rPr>
        <w:t xml:space="preserve">Information-theoretic acquisition</w:t>
      </w:r>
      <w:r>
        <w:t xml:space="preserve">: choose experiments maximizing mutual information about</w:t>
      </w:r>
      <w:r>
        <w:t xml:space="preserve"> </w:t>
      </w:r>
      <m:oMath>
        <m:r>
          <m:t>θ</m:t>
        </m:r>
      </m:oMath>
      <w:r>
        <w:t xml:space="preserve"> </w:t>
      </w:r>
      <w:r>
        <w:t xml:space="preserve">or about a causal query (EIG / BALD-like criteria). In causal settings, mutual-information experiment design is explicitly used to target queries rather than full graphs.</w:t>
      </w:r>
      <w:r>
        <w:t xml:space="preserve"> </w:t>
      </w:r>
      <w:hyperlink r:id="rId22">
        <w:r>
          <w:rPr>
            <w:rStyle w:val="Hyperlink"/>
          </w:rPr>
          <w:t xml:space="preserve">[48]</w:t>
        </w:r>
      </w:hyperlink>
    </w:p>
    <w:p>
      <w:pPr>
        <w:pStyle w:val="Compact"/>
        <w:numPr>
          <w:ilvl w:val="0"/>
          <w:numId w:val="1004"/>
        </w:numPr>
      </w:pPr>
      <w:r>
        <w:rPr>
          <w:b/>
          <w:bCs/>
        </w:rPr>
        <w:t xml:space="preserve">Safe exploration</w:t>
      </w:r>
      <w:r>
        <w:t xml:space="preserve">: restrict candidate experiments to those satisfying safety constraints with high probability (e.g., safe GP bandit variants), essential for chemistry/biology where unsafe conditions are unacceptable.</w:t>
      </w:r>
      <w:r>
        <w:t xml:space="preserve"> </w:t>
      </w:r>
      <w:hyperlink r:id="rId66">
        <w:r>
          <w:rPr>
            <w:rStyle w:val="Hyperlink"/>
          </w:rPr>
          <w:t xml:space="preserve">[49]</w:t>
        </w:r>
      </w:hyperlink>
    </w:p>
    <w:p>
      <w:pPr>
        <w:pStyle w:val="FirstParagraph"/>
      </w:pPr>
      <w:r>
        <w:t xml:space="preserve">A key engineering lesson from self-driving lab case studies is that epistemic uncertainty must be fused with</w:t>
      </w:r>
      <w:r>
        <w:t xml:space="preserve"> </w:t>
      </w:r>
      <w:r>
        <w:rPr>
          <w:b/>
          <w:bCs/>
        </w:rPr>
        <w:t xml:space="preserve">quality control signals</w:t>
      </w:r>
      <w:r>
        <w:t xml:space="preserve"> </w:t>
      </w:r>
      <w:r>
        <w:t xml:space="preserve">(instrument drift, failed runs, contamination flags). Otherwise the system “learns” from corrupted data and can become confidently wrong—an especially dangerous failure mode in closed loops.</w:t>
      </w:r>
      <w:r>
        <w:t xml:space="preserve"> </w:t>
      </w:r>
      <w:hyperlink r:id="rId21">
        <w:r>
          <w:rPr>
            <w:rStyle w:val="Hyperlink"/>
          </w:rPr>
          <w:t xml:space="preserve">[50]</w:t>
        </w:r>
      </w:hyperlink>
    </w:p>
    <w:bookmarkEnd w:id="67"/>
    <w:bookmarkEnd w:id="68"/>
    <w:bookmarkStart w:id="77" w:name="X4c00d39fe0b237c42c30767f7b4e1c23dcf8d99"/>
    <w:p>
      <w:pPr>
        <w:pStyle w:val="Heading2"/>
      </w:pPr>
      <w:r>
        <w:t xml:space="preserve">Symbolic regression and law discovery from learned models</w:t>
      </w:r>
    </w:p>
    <w:p>
      <w:pPr>
        <w:pStyle w:val="FirstParagraph"/>
      </w:pPr>
      <w:r>
        <w:t xml:space="preserve">Closed-loop science becomes substantially more valuable when it yields</w:t>
      </w:r>
      <w:r>
        <w:t xml:space="preserve"> </w:t>
      </w:r>
      <w:r>
        <w:rPr>
          <w:b/>
          <w:bCs/>
        </w:rPr>
        <w:t xml:space="preserve">interpretable laws</w:t>
      </w:r>
      <w:r>
        <w:t xml:space="preserve"> </w:t>
      </w:r>
      <w:r>
        <w:t xml:space="preserve">(equations, mechanisms) rather than opaque predictors. Symbolic regression (SR) and sparse regression approaches are central tools here, and recent benchmarks emphasize the diversity of SR methods and the need for robust comparative evaluation.</w:t>
      </w:r>
      <w:r>
        <w:t xml:space="preserve"> </w:t>
      </w:r>
      <w:hyperlink r:id="rId28">
        <w:r>
          <w:rPr>
            <w:rStyle w:val="Hyperlink"/>
          </w:rPr>
          <w:t xml:space="preserve">[51]</w:t>
        </w:r>
      </w:hyperlink>
    </w:p>
    <w:bookmarkStart w:id="73" w:name="Xe33b4b6cc512a4a8db92328aa6668dc0bd2ad46"/>
    <w:p>
      <w:pPr>
        <w:pStyle w:val="Heading3"/>
      </w:pPr>
      <w:r>
        <w:t xml:space="preserve">Comparative table of requested law-discovery tools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Tool / approach</w:t>
            </w:r>
          </w:p>
        </w:tc>
        <w:tc>
          <w:tcPr/>
          <w:p>
            <w:pPr>
              <w:pStyle w:val="Compact"/>
            </w:pPr>
            <w:r>
              <w:t xml:space="preserve">Core method</w:t>
            </w:r>
          </w:p>
        </w:tc>
        <w:tc>
          <w:tcPr/>
          <w:p>
            <w:pPr>
              <w:pStyle w:val="Compact"/>
            </w:pPr>
            <w:r>
              <w:t xml:space="preserve">Typical data needs</w:t>
            </w:r>
          </w:p>
        </w:tc>
        <w:tc>
          <w:tcPr/>
          <w:p>
            <w:pPr>
              <w:pStyle w:val="Compact"/>
            </w:pPr>
            <w:r>
              <w:t xml:space="preserve">Strengths</w:t>
            </w:r>
          </w:p>
        </w:tc>
        <w:tc>
          <w:tcPr/>
          <w:p>
            <w:pPr>
              <w:pStyle w:val="Compact"/>
            </w:pPr>
            <w:r>
              <w:t xml:space="preserve">Limits / pitfalls</w:t>
            </w:r>
          </w:p>
        </w:tc>
      </w:tr>
      <w:tr>
        <w:tc>
          <w:tcPr/>
          <w:p>
            <w:pPr>
              <w:pStyle w:val="Compact"/>
            </w:pPr>
            <w:r>
              <w:t xml:space="preserve">AI Feynman</w:t>
            </w:r>
          </w:p>
        </w:tc>
        <w:tc>
          <w:tcPr/>
          <w:p>
            <w:pPr>
              <w:pStyle w:val="Compact"/>
            </w:pPr>
            <w:r>
              <w:t xml:space="preserve">NN fitting + physics-inspired heuristics (separability, symmetry, recursion) to recover compact expressions</w:t>
            </w:r>
          </w:p>
        </w:tc>
        <w:tc>
          <w:tcPr/>
          <w:p>
            <w:pPr>
              <w:pStyle w:val="Compact"/>
            </w:pPr>
            <w:r>
              <w:t xml:space="preserve">Moderate; designed for physical equations; benefits from exact/low-noise signals</w:t>
            </w:r>
          </w:p>
        </w:tc>
        <w:tc>
          <w:tcPr/>
          <w:p>
            <w:pPr>
              <w:pStyle w:val="Compact"/>
            </w:pPr>
            <w:r>
              <w:t xml:space="preserve">Strong performance on physics-style equation sets; targets compact interpretable forms</w:t>
            </w:r>
          </w:p>
        </w:tc>
        <w:tc>
          <w:tcPr/>
          <w:p>
            <w:pPr>
              <w:pStyle w:val="Compact"/>
            </w:pPr>
            <w:r>
              <w:t xml:space="preserve">Can degrade with heavy noise, wrong variable choices, or non-identifiable forms</w:t>
            </w:r>
          </w:p>
        </w:tc>
      </w:tr>
      <w:tr>
        <w:tc>
          <w:tcPr/>
          <w:p>
            <w:pPr>
              <w:pStyle w:val="Compact"/>
            </w:pPr>
            <w:r>
              <w:t xml:space="preserve">Eureqa</w:t>
            </w:r>
          </w:p>
        </w:tc>
        <w:tc>
          <w:tcPr/>
          <w:p>
            <w:pPr>
              <w:pStyle w:val="Compact"/>
            </w:pPr>
            <w:r>
              <w:t xml:space="preserve">Evolutionary search / genetic programming over expression space (commercial lineage)</w:t>
            </w:r>
          </w:p>
        </w:tc>
        <w:tc>
          <w:tcPr/>
          <w:p>
            <w:pPr>
              <w:pStyle w:val="Compact"/>
            </w:pPr>
            <w:r>
              <w:t xml:space="preserve">Often needs enough data to guide search; handles noisy regression</w:t>
            </w:r>
          </w:p>
        </w:tc>
        <w:tc>
          <w:tcPr/>
          <w:p>
            <w:pPr>
              <w:pStyle w:val="Compact"/>
            </w:pPr>
            <w:r>
              <w:t xml:space="preserve">Flexible, broad function class; can discover compact relations</w:t>
            </w:r>
          </w:p>
        </w:tc>
        <w:tc>
          <w:tcPr/>
          <w:p>
            <w:pPr>
              <w:pStyle w:val="Compact"/>
            </w:pPr>
            <w:r>
              <w:t xml:space="preserve">Search can be expensive; results depend on operator set, constraints, and regularization</w:t>
            </w:r>
          </w:p>
        </w:tc>
      </w:tr>
      <w:tr>
        <w:tc>
          <w:tcPr/>
          <w:p>
            <w:pPr>
              <w:pStyle w:val="Compact"/>
            </w:pPr>
            <w:r>
              <w:t xml:space="preserve">Sparse regression for dynamics (SINDy)</w:t>
            </w:r>
          </w:p>
        </w:tc>
        <w:tc>
          <w:tcPr/>
          <w:p>
            <w:pPr>
              <w:pStyle w:val="Compact"/>
            </w:pPr>
            <w:r>
              <w:t xml:space="preserve">Build library of candidate terms; solve sparsity-promoting regression for governing equations</w:t>
            </w:r>
          </w:p>
        </w:tc>
        <w:tc>
          <w:tcPr/>
          <w:p>
            <w:pPr>
              <w:pStyle w:val="Compact"/>
            </w:pPr>
            <w:r>
              <w:t xml:space="preserve">Requires state + derivative estimates (or good numerical differentiation); sensitive to noise</w:t>
            </w:r>
          </w:p>
        </w:tc>
        <w:tc>
          <w:tcPr/>
          <w:p>
            <w:pPr>
              <w:pStyle w:val="Compact"/>
            </w:pPr>
            <w:r>
              <w:t xml:space="preserve">Very interpretable for dynamical systems; connects directly to ODE/PDE discovery</w:t>
            </w:r>
          </w:p>
        </w:tc>
        <w:tc>
          <w:tcPr/>
          <w:p>
            <w:pPr>
              <w:pStyle w:val="Compact"/>
            </w:pPr>
            <w:r>
              <w:t xml:space="preserve">Library choice and derivative noise are major bottlenecks; may miss non-sparse dynamics</w:t>
            </w:r>
          </w:p>
        </w:tc>
      </w:tr>
      <w:tr>
        <w:tc>
          <w:tcPr/>
          <w:p>
            <w:pPr>
              <w:pStyle w:val="Compact"/>
            </w:pPr>
            <w:r>
              <w:t xml:space="preserve">PySR</w:t>
            </w:r>
          </w:p>
        </w:tc>
        <w:tc>
          <w:tcPr/>
          <w:p>
            <w:pPr>
              <w:pStyle w:val="Compact"/>
            </w:pPr>
            <w:r>
              <w:t xml:space="preserve">High-performance symbolic regression with distributed backend; emphasis on practical scientific usage</w:t>
            </w:r>
          </w:p>
        </w:tc>
        <w:tc>
          <w:tcPr/>
          <w:p>
            <w:pPr>
              <w:pStyle w:val="Compact"/>
            </w:pPr>
            <w:r>
              <w:t xml:space="preserve">Broad; supports noise and constraints to some extent</w:t>
            </w:r>
          </w:p>
        </w:tc>
        <w:tc>
          <w:tcPr/>
          <w:p>
            <w:pPr>
              <w:pStyle w:val="Compact"/>
            </w:pPr>
            <w:r>
              <w:t xml:space="preserve">Accessible and performant; integrates with scientific Python; targets interpretable equations</w:t>
            </w:r>
          </w:p>
        </w:tc>
        <w:tc>
          <w:tcPr/>
          <w:p>
            <w:pPr>
              <w:pStyle w:val="Compact"/>
            </w:pPr>
            <w:r>
              <w:t xml:space="preserve">Still a combinatorial search; needs careful operator/constraint choice; risk of spurious fits without validation</w:t>
            </w:r>
          </w:p>
        </w:tc>
      </w:tr>
    </w:tbl>
    <w:p>
      <w:pPr>
        <w:pStyle w:val="BodyText"/>
      </w:pPr>
      <w:r>
        <w:rPr>
          <w:b/>
          <w:bCs/>
        </w:rPr>
        <w:t xml:space="preserve">Evidence anchors:</w:t>
      </w:r>
      <w:r>
        <w:t xml:space="preserve"> </w:t>
      </w:r>
      <w:r>
        <w:t xml:space="preserve">AI Feynman is presented as a physics-inspired SR method and reports strong benchmark performance on equations from the Feynman Lectures, improving success rates versus prior software on specified test sets.</w:t>
      </w:r>
      <w:r>
        <w:t xml:space="preserve"> </w:t>
      </w:r>
      <w:hyperlink r:id="rId69">
        <w:r>
          <w:rPr>
            <w:rStyle w:val="Hyperlink"/>
          </w:rPr>
          <w:t xml:space="preserve">[52]</w:t>
        </w:r>
      </w:hyperlink>
      <w:r>
        <w:t xml:space="preserve"> </w:t>
      </w:r>
      <w:r>
        <w:t xml:space="preserve">Early symbolic regression for distilling physical laws via symbolic search is exemplified by Schmidt &amp; Lipson’s Science work.</w:t>
      </w:r>
      <w:r>
        <w:t xml:space="preserve"> </w:t>
      </w:r>
      <w:hyperlink r:id="rId70">
        <w:r>
          <w:rPr>
            <w:rStyle w:val="Hyperlink"/>
          </w:rPr>
          <w:t xml:space="preserve">[53]</w:t>
        </w:r>
      </w:hyperlink>
      <w:r>
        <w:t xml:space="preserve"> </w:t>
      </w:r>
      <w:r>
        <w:t xml:space="preserve">SINDy is introduced for discovering governing equations via sparse identification.</w:t>
      </w:r>
      <w:r>
        <w:t xml:space="preserve"> </w:t>
      </w:r>
      <w:hyperlink r:id="rId71">
        <w:r>
          <w:rPr>
            <w:rStyle w:val="Hyperlink"/>
          </w:rPr>
          <w:t xml:space="preserve">[54]</w:t>
        </w:r>
      </w:hyperlink>
      <w:r>
        <w:t xml:space="preserve"> </w:t>
      </w:r>
      <w:r>
        <w:t xml:space="preserve">PySR is positioned as an open-source library for practical symbolic regression in science, with an interpretable-ML framing.</w:t>
      </w:r>
      <w:r>
        <w:t xml:space="preserve"> </w:t>
      </w:r>
      <w:hyperlink r:id="rId72">
        <w:r>
          <w:rPr>
            <w:rStyle w:val="Hyperlink"/>
          </w:rPr>
          <w:t xml:space="preserve">[55]</w:t>
        </w:r>
      </w:hyperlink>
    </w:p>
    <w:bookmarkEnd w:id="73"/>
    <w:bookmarkStart w:id="75" w:name="X94f27847e149e55aaa0aa68f5c7ce8b6f20598e"/>
    <w:p>
      <w:pPr>
        <w:pStyle w:val="Heading3"/>
      </w:pPr>
      <w:r>
        <w:t xml:space="preserve">A quantitative snapshot: reported equation-recovery success (illustrative)</w:t>
      </w:r>
    </w:p>
    <w:p>
      <w:pPr>
        <w:pStyle w:val="FirstParagraph"/>
      </w:pPr>
      <w:r>
        <w:t xml:space="preserve">The AI Feynman paper reports (i) solving</w:t>
      </w:r>
      <w:r>
        <w:t xml:space="preserve"> </w:t>
      </w:r>
      <w:r>
        <w:rPr>
          <w:b/>
          <w:bCs/>
        </w:rPr>
        <w:t xml:space="preserve">all 100</w:t>
      </w:r>
      <w:r>
        <w:t xml:space="preserve"> </w:t>
      </w:r>
      <w:r>
        <w:t xml:space="preserve">equations from a Feynman-lecture benchmark while “previous publicly available software” solved</w:t>
      </w:r>
      <w:r>
        <w:t xml:space="preserve"> </w:t>
      </w:r>
      <w:r>
        <w:rPr>
          <w:b/>
          <w:bCs/>
        </w:rPr>
        <w:t xml:space="preserve">71</w:t>
      </w:r>
      <w:r>
        <w:t xml:space="preserve">, and (ii) improving reported success on a harder set from</w:t>
      </w:r>
      <w:r>
        <w:t xml:space="preserve"> </w:t>
      </w:r>
      <w:r>
        <w:rPr>
          <w:b/>
          <w:bCs/>
        </w:rPr>
        <w:t xml:space="preserve">15% to 90%</w:t>
      </w:r>
      <w:r>
        <w:t xml:space="preserve">. These numbers are useful as</w:t>
      </w:r>
      <w:r>
        <w:t xml:space="preserve"> </w:t>
      </w:r>
      <w:r>
        <w:rPr>
          <w:i/>
          <w:iCs/>
        </w:rPr>
        <w:t xml:space="preserve">paper-specific evidence</w:t>
      </w:r>
      <w:r>
        <w:t xml:space="preserve"> </w:t>
      </w:r>
      <w:r>
        <w:t xml:space="preserve">of capability on physics-like SR tasks, not as universal SR rankings.</w:t>
      </w:r>
      <w:r>
        <w:t xml:space="preserve"> </w:t>
      </w:r>
      <w:hyperlink r:id="rId74">
        <w:r>
          <w:rPr>
            <w:rStyle w:val="Hyperlink"/>
          </w:rPr>
          <w:t xml:space="preserve">[56]</w:t>
        </w:r>
      </w:hyperlink>
    </w:p>
    <w:p>
      <w:pPr>
        <w:pStyle w:val="SourceCode"/>
      </w:pPr>
      <w:r>
        <w:rPr>
          <w:rStyle w:val="VerbatimChar"/>
        </w:rPr>
        <w:t xml:space="preserve">Reported benchmark success (AI Feynman paper)</w:t>
      </w:r>
      <w:r>
        <w:br/>
      </w:r>
      <w:r>
        <w:br/>
      </w:r>
      <w:r>
        <w:rPr>
          <w:rStyle w:val="VerbatimChar"/>
        </w:rPr>
        <w:t xml:space="preserve">Feynman 100-equation set:</w:t>
      </w:r>
      <w:r>
        <w:br/>
      </w:r>
      <w:r>
        <w:rPr>
          <w:rStyle w:val="VerbatimChar"/>
        </w:rPr>
        <w:t xml:space="preserve">AI Feynman             100% |████████████████████|</w:t>
      </w:r>
      <w:r>
        <w:br/>
      </w:r>
      <w:r>
        <w:rPr>
          <w:rStyle w:val="VerbatimChar"/>
        </w:rPr>
        <w:t xml:space="preserve">Prior SR software       71% |██████████████▎     |</w:t>
      </w:r>
      <w:r>
        <w:br/>
      </w:r>
      <w:r>
        <w:br/>
      </w:r>
      <w:r>
        <w:rPr>
          <w:rStyle w:val="VerbatimChar"/>
        </w:rPr>
        <w:t xml:space="preserve">Harder physics test set:</w:t>
      </w:r>
      <w:r>
        <w:br/>
      </w:r>
      <w:r>
        <w:rPr>
          <w:rStyle w:val="VerbatimChar"/>
        </w:rPr>
        <w:t xml:space="preserve">AI Feynman              90% |█████████████████   |</w:t>
      </w:r>
      <w:r>
        <w:br/>
      </w:r>
      <w:r>
        <w:rPr>
          <w:rStyle w:val="VerbatimChar"/>
        </w:rPr>
        <w:t xml:space="preserve">Prior state of the art  15% |███                 |</w:t>
      </w:r>
    </w:p>
    <w:bookmarkEnd w:id="75"/>
    <w:bookmarkStart w:id="76" w:name="Xf7baf73195b05cafac19823228acdcba4e357b0"/>
    <w:p>
      <w:pPr>
        <w:pStyle w:val="Heading3"/>
      </w:pPr>
      <w:r>
        <w:t xml:space="preserve">How to use SR inside a closed loop (example pipeline)</w:t>
      </w:r>
    </w:p>
    <w:p>
      <w:pPr>
        <w:pStyle w:val="FirstParagraph"/>
      </w:pPr>
      <w:r>
        <w:t xml:space="preserve">A robust “law-discovery” loop rarely runs SR directly on raw measurements. A common pattern is:</w:t>
      </w:r>
    </w:p>
    <w:p>
      <w:pPr>
        <w:pStyle w:val="SourceCode"/>
      </w:pPr>
      <w:r>
        <w:rPr>
          <w:rStyle w:val="VerbatimChar"/>
        </w:rPr>
        <w:t xml:space="preserve">1) Collect data with controlled interventions + replicates + QC metadata</w:t>
      </w:r>
      <w:r>
        <w:br/>
      </w:r>
      <w:r>
        <w:rPr>
          <w:rStyle w:val="VerbatimChar"/>
        </w:rPr>
        <w:t xml:space="preserve">2) Fit a predictive model (GP/NN/ensemble) to smooth noise / infer derivatives if needed</w:t>
      </w:r>
      <w:r>
        <w:br/>
      </w:r>
      <w:r>
        <w:rPr>
          <w:rStyle w:val="VerbatimChar"/>
        </w:rPr>
        <w:t xml:space="preserve">3) Run symbolic regression on:</w:t>
      </w:r>
      <w:r>
        <w:br/>
      </w:r>
      <w:r>
        <w:rPr>
          <w:rStyle w:val="VerbatimChar"/>
        </w:rPr>
        <w:t xml:space="preserve">     - denoised trajectories, or</w:t>
      </w:r>
      <w:r>
        <w:br/>
      </w:r>
      <w:r>
        <w:rPr>
          <w:rStyle w:val="VerbatimChar"/>
        </w:rPr>
        <w:t xml:space="preserve">     - learned latent representations mapped back to physical variables, or</w:t>
      </w:r>
      <w:r>
        <w:br/>
      </w:r>
      <w:r>
        <w:rPr>
          <w:rStyle w:val="VerbatimChar"/>
        </w:rPr>
        <w:t xml:space="preserve">     - candidate mechanisms suggested by causal discovery</w:t>
      </w:r>
      <w:r>
        <w:br/>
      </w:r>
      <w:r>
        <w:rPr>
          <w:rStyle w:val="VerbatimChar"/>
        </w:rPr>
        <w:t xml:space="preserve">4) Validate candidate equations on:</w:t>
      </w:r>
      <w:r>
        <w:br/>
      </w:r>
      <w:r>
        <w:rPr>
          <w:rStyle w:val="VerbatimChar"/>
        </w:rPr>
        <w:t xml:space="preserve">     - held-out experimental regimes (OOD generalization), and</w:t>
      </w:r>
      <w:r>
        <w:br/>
      </w:r>
      <w:r>
        <w:rPr>
          <w:rStyle w:val="VerbatimChar"/>
        </w:rPr>
        <w:t xml:space="preserve">     - targeted falsification experiments designed to distinguish close-form competitors</w:t>
      </w:r>
      <w:r>
        <w:br/>
      </w:r>
      <w:r>
        <w:rPr>
          <w:rStyle w:val="VerbatimChar"/>
        </w:rPr>
        <w:t xml:space="preserve">5) Promote best-supported law into the world model; iterate</w:t>
      </w:r>
    </w:p>
    <w:p>
      <w:pPr>
        <w:pStyle w:val="FirstParagraph"/>
      </w:pPr>
      <w:r>
        <w:t xml:space="preserve">This structure explicitly separates</w:t>
      </w:r>
      <w:r>
        <w:t xml:space="preserve"> </w:t>
      </w:r>
      <w:r>
        <w:rPr>
          <w:i/>
          <w:iCs/>
        </w:rPr>
        <w:t xml:space="preserve">curve fitting</w:t>
      </w:r>
      <w:r>
        <w:t xml:space="preserve"> </w:t>
      </w:r>
      <w:r>
        <w:t xml:space="preserve">from</w:t>
      </w:r>
      <w:r>
        <w:t xml:space="preserve"> </w:t>
      </w:r>
      <w:r>
        <w:rPr>
          <w:i/>
          <w:iCs/>
        </w:rPr>
        <w:t xml:space="preserve">scientific validation</w:t>
      </w:r>
      <w:r>
        <w:t xml:space="preserve">, which is critical to avoid spurious symbolic “laws” that fit but do not generalize.</w:t>
      </w:r>
    </w:p>
    <w:bookmarkEnd w:id="76"/>
    <w:bookmarkEnd w:id="77"/>
    <w:bookmarkStart w:id="85" w:name="Xbbd0cb929394788fed9460bdd1d255d4619f544"/>
    <w:p>
      <w:pPr>
        <w:pStyle w:val="Heading2"/>
      </w:pPr>
      <w:r>
        <w:t xml:space="preserve">Open problems, failure modes, safety/ethics, and a research roadmap</w:t>
      </w:r>
    </w:p>
    <w:bookmarkStart w:id="78" w:name="failure-modes-and-the-closed-loop-trap"/>
    <w:p>
      <w:pPr>
        <w:pStyle w:val="Heading3"/>
      </w:pPr>
      <w:r>
        <w:t xml:space="preserve">Failure modes and the “closed-loop trap”</w:t>
      </w:r>
    </w:p>
    <w:p>
      <w:pPr>
        <w:pStyle w:val="FirstParagraph"/>
      </w:pPr>
      <w:r>
        <w:t xml:space="preserve">Closed-loop autonomy can amplify mistakes because the agent’s actions shape the data distribution it later learns from. The most important failure modes are:</w:t>
      </w:r>
    </w:p>
    <w:p>
      <w:pPr>
        <w:pStyle w:val="Compact"/>
        <w:numPr>
          <w:ilvl w:val="0"/>
          <w:numId w:val="1005"/>
        </w:numPr>
      </w:pPr>
      <w:r>
        <w:rPr>
          <w:b/>
          <w:bCs/>
        </w:rPr>
        <w:t xml:space="preserve">Model misspecification and Goodhart loops:</w:t>
      </w:r>
      <w:r>
        <w:t xml:space="preserve"> </w:t>
      </w:r>
      <w:r>
        <w:t xml:space="preserve">if the world model/surrogate is wrong, the agent may steer into regimes that exploit modeling artifacts; BED literature explicitly notes bias and optimization issues when estimators are biased, and self-driving lab reviews emphasize uncertainty about long-term trajectory and the need for robust safeguards.</w:t>
      </w:r>
      <w:r>
        <w:t xml:space="preserve"> </w:t>
      </w:r>
      <w:hyperlink r:id="rId22">
        <w:r>
          <w:rPr>
            <w:rStyle w:val="Hyperlink"/>
          </w:rPr>
          <w:t xml:space="preserve">[57]</w:t>
        </w:r>
      </w:hyperlink>
    </w:p>
    <w:p>
      <w:pPr>
        <w:pStyle w:val="Compact"/>
        <w:numPr>
          <w:ilvl w:val="0"/>
          <w:numId w:val="1005"/>
        </w:numPr>
      </w:pPr>
      <w:r>
        <w:rPr>
          <w:b/>
          <w:bCs/>
        </w:rPr>
        <w:t xml:space="preserve">Confounding and non-identifiability:</w:t>
      </w:r>
      <w:r>
        <w:t xml:space="preserve"> </w:t>
      </w:r>
      <w:r>
        <w:t xml:space="preserve">causal discovery can return equivalence classes rather than unique graphs; without adequate interventions or with hidden confounding, causal claims may be underdetermined.</w:t>
      </w:r>
      <w:r>
        <w:t xml:space="preserve"> </w:t>
      </w:r>
      <w:hyperlink r:id="rId41">
        <w:r>
          <w:rPr>
            <w:rStyle w:val="Hyperlink"/>
          </w:rPr>
          <w:t xml:space="preserve">[58]</w:t>
        </w:r>
      </w:hyperlink>
    </w:p>
    <w:p>
      <w:pPr>
        <w:pStyle w:val="Compact"/>
        <w:numPr>
          <w:ilvl w:val="0"/>
          <w:numId w:val="1005"/>
        </w:numPr>
      </w:pPr>
      <w:r>
        <w:rPr>
          <w:b/>
          <w:bCs/>
        </w:rPr>
        <w:t xml:space="preserve">Instrument and protocol drift:</w:t>
      </w:r>
      <w:r>
        <w:t xml:space="preserve"> </w:t>
      </w:r>
      <w:r>
        <w:t xml:space="preserve">autonomy assumes stable execution; in reality, calibration changes, consumables vary, and failures occur. Orchestration work stresses structured layers and traceability precisely because these issues are central.</w:t>
      </w:r>
      <w:r>
        <w:t xml:space="preserve"> </w:t>
      </w:r>
      <w:hyperlink r:id="rId25">
        <w:r>
          <w:rPr>
            <w:rStyle w:val="Hyperlink"/>
          </w:rPr>
          <w:t xml:space="preserve">[30]</w:t>
        </w:r>
      </w:hyperlink>
    </w:p>
    <w:p>
      <w:pPr>
        <w:pStyle w:val="Compact"/>
        <w:numPr>
          <w:ilvl w:val="0"/>
          <w:numId w:val="1005"/>
        </w:numPr>
      </w:pPr>
      <w:r>
        <w:rPr>
          <w:b/>
          <w:bCs/>
        </w:rPr>
        <w:t xml:space="preserve">LLM grounding failures:</w:t>
      </w:r>
      <w:r>
        <w:t xml:space="preserve"> </w:t>
      </w:r>
      <w:r>
        <w:t xml:space="preserve">agentic systems can generate plausible but wrong protocols or analyses; chemistry “Coscientist” style systems demonstrate feasibility but also motivate rigorous validation gates rather than trusting text-level competence.</w:t>
      </w:r>
      <w:r>
        <w:t xml:space="preserve"> </w:t>
      </w:r>
      <w:hyperlink r:id="rId55">
        <w:r>
          <w:rPr>
            <w:rStyle w:val="Hyperlink"/>
          </w:rPr>
          <w:t xml:space="preserve">[59]</w:t>
        </w:r>
      </w:hyperlink>
    </w:p>
    <w:p>
      <w:pPr>
        <w:pStyle w:val="FirstParagraph"/>
      </w:pPr>
      <w:r>
        <w:t xml:space="preserve">A “loop-breaker” question that should be operationalized, not rhetorical:</w:t>
      </w:r>
    </w:p>
    <w:p>
      <w:pPr>
        <w:pStyle w:val="BodyText"/>
      </w:pPr>
      <w:r>
        <w:rPr>
          <w:b/>
          <w:bCs/>
        </w:rPr>
        <w:t xml:space="preserve">What is the evidence?</w:t>
      </w:r>
      <w:r>
        <w:br/>
      </w:r>
      <w:r>
        <w:t xml:space="preserve">In autonomous science, “evidence” should mean (i) replicated results, (ii) pre-registered or at least logged decision trails, (iii) falsification tests (designing experiments to disconfirm alternatives), and (iv) robustness to distribution shift (new regimes, new instruments, new labs). SDL reviews explicitly highlight safety/security and human accountability as requirements, not optional add-ons.</w:t>
      </w:r>
      <w:r>
        <w:t xml:space="preserve"> </w:t>
      </w:r>
      <w:hyperlink r:id="rId21">
        <w:r>
          <w:rPr>
            <w:rStyle w:val="Hyperlink"/>
          </w:rPr>
          <w:t xml:space="preserve">[3]</w:t>
        </w:r>
      </w:hyperlink>
    </w:p>
    <w:bookmarkEnd w:id="78"/>
    <w:bookmarkStart w:id="81" w:name="safety-ethics-and-dual-use-constraints"/>
    <w:p>
      <w:pPr>
        <w:pStyle w:val="Heading3"/>
      </w:pPr>
      <w:r>
        <w:t xml:space="preserve">Safety, ethics, and dual-use constraints</w:t>
      </w:r>
    </w:p>
    <w:p>
      <w:pPr>
        <w:pStyle w:val="FirstParagraph"/>
      </w:pPr>
      <w:r>
        <w:t xml:space="preserve">As autonomy increases, safety and security become coupled to the same APIs that enable acceleration. Policy analysis documents concerns that cloud labs and AI-driven agents could lower barriers for misuse, and that there is limited publicly accessible data about cloud lab operations and capabilities—complicating governance.</w:t>
      </w:r>
      <w:r>
        <w:t xml:space="preserve"> </w:t>
      </w:r>
      <w:hyperlink r:id="rId79">
        <w:r>
          <w:rPr>
            <w:rStyle w:val="Hyperlink"/>
          </w:rPr>
          <w:t xml:space="preserve">[60]</w:t>
        </w:r>
      </w:hyperlink>
    </w:p>
    <w:p>
      <w:pPr>
        <w:pStyle w:val="BodyText"/>
      </w:pPr>
      <w:r>
        <w:t xml:space="preserve">Work on biological AI dual-use argues that evaluations should prioritize capabilities enabling high-consequence harms (e.g., pandemic-scale risks) and should occur before deployment to enable mitigations.</w:t>
      </w:r>
      <w:r>
        <w:t xml:space="preserve"> </w:t>
      </w:r>
      <w:hyperlink r:id="rId80">
        <w:r>
          <w:rPr>
            <w:rStyle w:val="Hyperlink"/>
          </w:rPr>
          <w:t xml:space="preserve">[61]</w:t>
        </w:r>
      </w:hyperlink>
    </w:p>
    <w:p>
      <w:pPr>
        <w:pStyle w:val="BodyText"/>
      </w:pPr>
      <w:r>
        <w:t xml:space="preserve">From a systems standpoint, safety requires layered controls:</w:t>
      </w:r>
    </w:p>
    <w:p>
      <w:pPr>
        <w:pStyle w:val="Compact"/>
        <w:numPr>
          <w:ilvl w:val="0"/>
          <w:numId w:val="1006"/>
        </w:numPr>
      </w:pPr>
      <w:r>
        <w:rPr>
          <w:b/>
          <w:bCs/>
        </w:rPr>
        <w:t xml:space="preserve">Pre-execution screening</w:t>
      </w:r>
      <w:r>
        <w:t xml:space="preserve"> </w:t>
      </w:r>
      <w:r>
        <w:t xml:space="preserve">(protocol and material constraints),</w:t>
      </w:r>
    </w:p>
    <w:p>
      <w:pPr>
        <w:pStyle w:val="Compact"/>
        <w:numPr>
          <w:ilvl w:val="0"/>
          <w:numId w:val="1006"/>
        </w:numPr>
      </w:pPr>
      <w:r>
        <w:rPr>
          <w:b/>
          <w:bCs/>
        </w:rPr>
        <w:t xml:space="preserve">Safe exploration</w:t>
      </w:r>
      <w:r>
        <w:t xml:space="preserve"> </w:t>
      </w:r>
      <w:r>
        <w:t xml:space="preserve">(constraint-satisfying experiment choice),</w:t>
      </w:r>
    </w:p>
    <w:p>
      <w:pPr>
        <w:pStyle w:val="Compact"/>
        <w:numPr>
          <w:ilvl w:val="0"/>
          <w:numId w:val="1006"/>
        </w:numPr>
      </w:pPr>
      <w:r>
        <w:rPr>
          <w:b/>
          <w:bCs/>
        </w:rPr>
        <w:t xml:space="preserve">Audit logs and provenance</w:t>
      </w:r>
      <w:r>
        <w:t xml:space="preserve">, and</w:t>
      </w:r>
    </w:p>
    <w:p>
      <w:pPr>
        <w:pStyle w:val="Compact"/>
        <w:numPr>
          <w:ilvl w:val="0"/>
          <w:numId w:val="1006"/>
        </w:numPr>
      </w:pPr>
      <w:r>
        <w:rPr>
          <w:b/>
          <w:bCs/>
        </w:rPr>
        <w:t xml:space="preserve">Human accountability</w:t>
      </w:r>
      <w:r>
        <w:t xml:space="preserve"> </w:t>
      </w:r>
      <w:r>
        <w:t xml:space="preserve">(clear responsibility for autonomous decisions).</w:t>
      </w:r>
    </w:p>
    <w:p>
      <w:pPr>
        <w:pStyle w:val="FirstParagraph"/>
      </w:pPr>
      <w:r>
        <w:t xml:space="preserve">These themes recur across technical and policy literature on self-driving labs and cloud lab risks.</w:t>
      </w:r>
      <w:r>
        <w:t xml:space="preserve"> </w:t>
      </w:r>
      <w:hyperlink r:id="rId21">
        <w:r>
          <w:rPr>
            <w:rStyle w:val="Hyperlink"/>
          </w:rPr>
          <w:t xml:space="preserve">[62]</w:t>
        </w:r>
      </w:hyperlink>
    </w:p>
    <w:bookmarkEnd w:id="81"/>
    <w:bookmarkStart w:id="82" w:name="roboticscompute-bottlenecks"/>
    <w:p>
      <w:pPr>
        <w:pStyle w:val="Heading3"/>
      </w:pPr>
      <w:r>
        <w:t xml:space="preserve">Robotics/compute bottlenecks</w:t>
      </w:r>
    </w:p>
    <w:p>
      <w:pPr>
        <w:pStyle w:val="FirstParagraph"/>
      </w:pPr>
      <w:r>
        <w:t xml:space="preserve">Two bottlenecks dominate scaling:</w:t>
      </w:r>
    </w:p>
    <w:p>
      <w:pPr>
        <w:pStyle w:val="Compact"/>
        <w:numPr>
          <w:ilvl w:val="0"/>
          <w:numId w:val="1007"/>
        </w:numPr>
      </w:pPr>
      <w:r>
        <w:rPr>
          <w:b/>
          <w:bCs/>
        </w:rPr>
        <w:t xml:space="preserve">Planning/utility computation</w:t>
      </w:r>
      <w:r>
        <w:t xml:space="preserve"> </w:t>
      </w:r>
      <w:r>
        <w:t xml:space="preserve">can dominate when experiments are fast (e.g., on-the-fly synchrotron loops, seconds-to-minutes cycles), because EIG/EFE estimation and global optimization become expensive.</w:t>
      </w:r>
      <w:r>
        <w:t xml:space="preserve"> </w:t>
      </w:r>
      <w:hyperlink r:id="rId22">
        <w:r>
          <w:rPr>
            <w:rStyle w:val="Hyperlink"/>
          </w:rPr>
          <w:t xml:space="preserve">[12]</w:t>
        </w:r>
      </w:hyperlink>
    </w:p>
    <w:p>
      <w:pPr>
        <w:pStyle w:val="Compact"/>
        <w:numPr>
          <w:ilvl w:val="0"/>
          <w:numId w:val="1007"/>
        </w:numPr>
      </w:pPr>
      <w:r>
        <w:rPr>
          <w:b/>
          <w:bCs/>
        </w:rPr>
        <w:t xml:space="preserve">Physical generality</w:t>
      </w:r>
      <w:r>
        <w:t xml:space="preserve"> </w:t>
      </w:r>
      <w:r>
        <w:t xml:space="preserve">is hard: mobile robots operating heterogeneous instruments show promise, but robust manipulation, sensing, and multi-modal interpretation remain major engineering challenges.</w:t>
      </w:r>
      <w:r>
        <w:t xml:space="preserve"> </w:t>
      </w:r>
      <w:hyperlink r:id="rId56">
        <w:r>
          <w:rPr>
            <w:rStyle w:val="Hyperlink"/>
          </w:rPr>
          <w:t xml:space="preserve">[63]</w:t>
        </w:r>
      </w:hyperlink>
    </w:p>
    <w:bookmarkEnd w:id="82"/>
    <w:bookmarkStart w:id="83" w:name="a-research-roadmap-with-milestones"/>
    <w:p>
      <w:pPr>
        <w:pStyle w:val="Heading3"/>
      </w:pPr>
      <w:r>
        <w:t xml:space="preserve">A research roadmap with milestones</w:t>
      </w:r>
    </w:p>
    <w:p>
      <w:pPr>
        <w:pStyle w:val="FirstParagraph"/>
      </w:pPr>
      <w:r>
        <w:t xml:space="preserve">The roadmap below is intentionally domain-agnostic (since the target scientific domain is unspecified). It focuses on building blocks whose necessity is supported by evidence from self-driving lab and agentic science literature.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Deliverable</w:t>
            </w:r>
          </w:p>
        </w:tc>
        <w:tc>
          <w:tcPr/>
          <w:p>
            <w:pPr>
              <w:pStyle w:val="Compact"/>
            </w:pPr>
            <w:r>
              <w:t xml:space="preserve">Why it matters (evidence-based rationale)</w:t>
            </w:r>
          </w:p>
        </w:tc>
      </w:tr>
      <w:tr>
        <w:tc>
          <w:tcPr/>
          <w:p>
            <w:pPr>
              <w:pStyle w:val="Compact"/>
            </w:pPr>
            <w:r>
              <w:t xml:space="preserve">Evidence-first data layer</w:t>
            </w:r>
          </w:p>
        </w:tc>
        <w:tc>
          <w:tcPr/>
          <w:p>
            <w:pPr>
              <w:pStyle w:val="Compact"/>
            </w:pPr>
            <w:r>
              <w:t xml:space="preserve">Unified schema for experiments (design, execution trace, QC, metadata), reproducible storage, audit logs</w:t>
            </w:r>
          </w:p>
        </w:tc>
        <w:tc>
          <w:tcPr/>
          <w:p>
            <w:pPr>
              <w:pStyle w:val="Compact"/>
            </w:pPr>
            <w:r>
              <w:t xml:space="preserve">Orchestration and SDL reviews emphasize structured layers, traceability, and repeatability; without this, closed-loop learning is brittle</w:t>
            </w:r>
            <w:r>
              <w:t xml:space="preserve"> </w:t>
            </w:r>
            <w:hyperlink r:id="rId25">
              <w:r>
                <w:rPr>
                  <w:rStyle w:val="Hyperlink"/>
                </w:rPr>
                <w:t xml:space="preserve">[64]</w:t>
              </w:r>
            </w:hyperlink>
          </w:p>
        </w:tc>
      </w:tr>
      <w:tr>
        <w:tc>
          <w:tcPr/>
          <w:p>
            <w:pPr>
              <w:pStyle w:val="Compact"/>
            </w:pPr>
            <w:r>
              <w:t xml:space="preserve">Simulator-first closed loop</w:t>
            </w:r>
          </w:p>
        </w:tc>
        <w:tc>
          <w:tcPr/>
          <w:p>
            <w:pPr>
              <w:pStyle w:val="Compact"/>
            </w:pPr>
            <w:r>
              <w:t xml:space="preserve">A sandbox where the full loop runs end-to-end with known ground truth (SCM or physics simulator)</w:t>
            </w:r>
          </w:p>
        </w:tc>
        <w:tc>
          <w:tcPr/>
          <w:p>
            <w:pPr>
              <w:pStyle w:val="Compact"/>
            </w:pPr>
            <w:r>
              <w:t xml:space="preserve">Allows measuring sample efficiency, false discovery rates, and failure modes before touching physical labs; aligns with “AI scientist” simulator-first pipelines</w:t>
            </w:r>
            <w:r>
              <w:t xml:space="preserve"> </w:t>
            </w:r>
            <w:hyperlink r:id="rId26">
              <w:r>
                <w:rPr>
                  <w:rStyle w:val="Hyperlink"/>
                </w:rPr>
                <w:t xml:space="preserve">[65]</w:t>
              </w:r>
            </w:hyperlink>
          </w:p>
        </w:tc>
      </w:tr>
      <w:tr>
        <w:tc>
          <w:tcPr/>
          <w:p>
            <w:pPr>
              <w:pStyle w:val="Compact"/>
            </w:pPr>
            <w:r>
              <w:t xml:space="preserve">Utility layer with baselines</w:t>
            </w:r>
          </w:p>
        </w:tc>
        <w:tc>
          <w:tcPr/>
          <w:p>
            <w:pPr>
              <w:pStyle w:val="Compact"/>
            </w:pPr>
            <w:r>
              <w:t xml:space="preserve">Implement EIG (with modern estimators), BO acquisitions, and a safe constraint-aware policy</w:t>
            </w:r>
          </w:p>
        </w:tc>
        <w:tc>
          <w:tcPr/>
          <w:p>
            <w:pPr>
              <w:pStyle w:val="Compact"/>
            </w:pPr>
            <w:r>
              <w:t xml:space="preserve">Needed to compare active inference vs IG fairly; BED surveys stress estimator bias/variance and modern debiasing/variational methods</w:t>
            </w:r>
            <w:r>
              <w:t xml:space="preserve"> </w:t>
            </w:r>
            <w:hyperlink r:id="rId22">
              <w:r>
                <w:rPr>
                  <w:rStyle w:val="Hyperlink"/>
                </w:rPr>
                <w:t xml:space="preserve">[66]</w:t>
              </w:r>
            </w:hyperlink>
          </w:p>
        </w:tc>
      </w:tr>
      <w:tr>
        <w:tc>
          <w:tcPr/>
          <w:p>
            <w:pPr>
              <w:pStyle w:val="Compact"/>
            </w:pPr>
            <w:r>
              <w:t xml:space="preserve">Hardware abstraction + adapters</w:t>
            </w:r>
          </w:p>
        </w:tc>
        <w:tc>
          <w:tcPr/>
          <w:p>
            <w:pPr>
              <w:pStyle w:val="Compact"/>
            </w:pPr>
            <w:r>
              <w:t xml:space="preserve">A thin execution API supporting at least one local robot (e.g., OpenTrons) and one cloud-lab style interface</w:t>
            </w:r>
          </w:p>
        </w:tc>
        <w:tc>
          <w:tcPr/>
          <w:p>
            <w:pPr>
              <w:pStyle w:val="Compact"/>
            </w:pPr>
            <w:r>
              <w:t xml:space="preserve">Real autonomy requires reliable actuation; standards/APIs exist but differ in abstraction (device vs protocol vs platform)</w:t>
            </w:r>
            <w:r>
              <w:t xml:space="preserve"> </w:t>
            </w:r>
            <w:hyperlink r:id="rId50">
              <w:r>
                <w:rPr>
                  <w:rStyle w:val="Hyperlink"/>
                </w:rPr>
                <w:t xml:space="preserve">[67]</w:t>
              </w:r>
            </w:hyperlink>
          </w:p>
        </w:tc>
      </w:tr>
      <w:tr>
        <w:tc>
          <w:tcPr/>
          <w:p>
            <w:pPr>
              <w:pStyle w:val="Compact"/>
            </w:pPr>
            <w:r>
              <w:t xml:space="preserve">Closed-loop causal module</w:t>
            </w:r>
          </w:p>
        </w:tc>
        <w:tc>
          <w:tcPr/>
          <w:p>
            <w:pPr>
              <w:pStyle w:val="Compact"/>
            </w:pPr>
            <w:r>
              <w:t xml:space="preserve">Start with query-directed active causal learning (not full-graph), with intervention constraints</w:t>
            </w:r>
          </w:p>
        </w:tc>
        <w:tc>
          <w:tcPr/>
          <w:p>
            <w:pPr>
              <w:pStyle w:val="Compact"/>
            </w:pPr>
            <w:r>
              <w:t xml:space="preserve">Active Bayesian causal inference shows the benefit of designing experiments around causal queries, improving sample efficiency</w:t>
            </w:r>
            <w:r>
              <w:t xml:space="preserve"> </w:t>
            </w:r>
            <w:hyperlink r:id="rId42">
              <w:r>
                <w:rPr>
                  <w:rStyle w:val="Hyperlink"/>
                </w:rPr>
                <w:t xml:space="preserve">[68]</w:t>
              </w:r>
            </w:hyperlink>
          </w:p>
        </w:tc>
      </w:tr>
      <w:tr>
        <w:tc>
          <w:tcPr/>
          <w:p>
            <w:pPr>
              <w:pStyle w:val="Compact"/>
            </w:pPr>
            <w:r>
              <w:t xml:space="preserve">Interpretable law extraction</w:t>
            </w:r>
          </w:p>
        </w:tc>
        <w:tc>
          <w:tcPr/>
          <w:p>
            <w:pPr>
              <w:pStyle w:val="Compact"/>
            </w:pPr>
            <w:r>
              <w:t xml:space="preserve">Pair predictive learners with SR (AI Feynman / PySR / SINDy) + falsification experiment generator</w:t>
            </w:r>
          </w:p>
        </w:tc>
        <w:tc>
          <w:tcPr/>
          <w:p>
            <w:pPr>
              <w:pStyle w:val="Compact"/>
            </w:pPr>
            <w:r>
              <w:t xml:space="preserve">SR benchmarks show substantial capability, but validation is essential to prevent spurious laws; multi-objective and exploratory labs show how to design confirmatory runs</w:t>
            </w:r>
            <w:r>
              <w:t xml:space="preserve"> </w:t>
            </w:r>
            <w:hyperlink r:id="rId28">
              <w:r>
                <w:rPr>
                  <w:rStyle w:val="Hyperlink"/>
                </w:rPr>
                <w:t xml:space="preserve">[69]</w:t>
              </w:r>
            </w:hyperlink>
          </w:p>
        </w:tc>
      </w:tr>
      <w:tr>
        <w:tc>
          <w:tcPr/>
          <w:p>
            <w:pPr>
              <w:pStyle w:val="Compact"/>
            </w:pPr>
            <w:r>
              <w:t xml:space="preserve">Governance + safety gates</w:t>
            </w:r>
          </w:p>
        </w:tc>
        <w:tc>
          <w:tcPr/>
          <w:p>
            <w:pPr>
              <w:pStyle w:val="Compact"/>
            </w:pPr>
            <w:r>
              <w:t xml:space="preserve">Threat modeling, protocol screening, safe exploration, access control, red-teaming</w:t>
            </w:r>
          </w:p>
        </w:tc>
        <w:tc>
          <w:tcPr/>
          <w:p>
            <w:pPr>
              <w:pStyle w:val="Compact"/>
            </w:pPr>
            <w:r>
              <w:t xml:space="preserve">Cloud lab policy analysis and dual-use AI work argue for proactive evaluation and mitigations before deployment</w:t>
            </w:r>
            <w:r>
              <w:t xml:space="preserve"> </w:t>
            </w:r>
            <w:hyperlink r:id="rId79">
              <w:r>
                <w:rPr>
                  <w:rStyle w:val="Hyperlink"/>
                </w:rPr>
                <w:t xml:space="preserve">[70]</w:t>
              </w:r>
            </w:hyperlink>
          </w:p>
        </w:tc>
      </w:tr>
    </w:tbl>
    <w:bookmarkEnd w:id="83"/>
    <w:bookmarkStart w:id="84" w:name="final-skeptical-checkpoint"/>
    <w:p>
      <w:pPr>
        <w:pStyle w:val="Heading3"/>
      </w:pPr>
      <w:r>
        <w:t xml:space="preserve">Final skeptical checkpoint</w:t>
      </w:r>
    </w:p>
    <w:p>
      <w:pPr>
        <w:pStyle w:val="FirstParagraph"/>
      </w:pPr>
      <w:r>
        <w:t xml:space="preserve">Closed-loop autonomy is compelling because it can create a positive feedback loop: better models → better experiments → better data → better models. The same structure can create runaway error amplification if model misspecification, confounding, or execution drift are not controlled.</w:t>
      </w:r>
    </w:p>
    <w:p>
      <w:pPr>
        <w:pStyle w:val="BodyText"/>
      </w:pPr>
      <w:r>
        <w:t xml:space="preserve">So the key scientific question for any proposed autonomous discovery system remains:</w:t>
      </w:r>
    </w:p>
    <w:p>
      <w:pPr>
        <w:pStyle w:val="BodyText"/>
      </w:pPr>
      <w:r>
        <w:rPr>
          <w:b/>
          <w:bCs/>
        </w:rPr>
        <w:t xml:space="preserve">What is the evidence that its discoveries are (i) correct, (ii) reproducible, (iii) mechanistically grounded, and (iv) robust to the shifts that real labs inevitably impose?</w:t>
      </w:r>
      <w:r>
        <w:t xml:space="preserve"> </w:t>
      </w:r>
      <w:hyperlink r:id="rId21">
        <w:r>
          <w:rPr>
            <w:rStyle w:val="Hyperlink"/>
          </w:rPr>
          <w:t xml:space="preserve">[71]</w:t>
        </w:r>
      </w:hyperlink>
    </w:p>
    <w:bookmarkEnd w:id="84"/>
    <w:bookmarkEnd w:id="85"/>
    <w:bookmarkEnd w:id="86"/>
    <w:bookmarkEnd w:id="87"/>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[50]</w:t>
        </w:r>
      </w:hyperlink>
      <w:r>
        <w:t xml:space="preserve"> </w:t>
      </w:r>
      <w:hyperlink r:id="rId21">
        <w:r>
          <w:rPr>
            <w:rStyle w:val="Hyperlink"/>
          </w:rPr>
          <w:t xml:space="preserve">[62]</w:t>
        </w:r>
      </w:hyperlink>
      <w:r>
        <w:t xml:space="preserve"> </w:t>
      </w:r>
      <w:hyperlink r:id="rId21">
        <w:r>
          <w:rPr>
            <w:rStyle w:val="Hyperlink"/>
          </w:rPr>
          <w:t xml:space="preserve">[71]</w:t>
        </w:r>
      </w:hyperlink>
      <w:r>
        <w:t xml:space="preserve"> </w:t>
      </w:r>
      <w:r>
        <w:t xml:space="preserve">https://pmc.ncbi.nlm.nih.gov/articles/PMC12368842/</w:t>
      </w:r>
    </w:p>
    <w:p>
      <w:pPr>
        <w:pStyle w:val="BodyText"/>
      </w:pPr>
      <w:hyperlink r:id="rId21">
        <w:r>
          <w:rPr>
            <w:rStyle w:val="Hyperlink"/>
          </w:rPr>
          <w:t xml:space="preserve">https://pmc.ncbi.nlm.nih.gov/articles/PMC12368842/</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[22]</w:t>
        </w:r>
      </w:hyperlink>
      <w:r>
        <w:t xml:space="preserve"> </w:t>
      </w:r>
      <w:hyperlink r:id="rId22">
        <w:r>
          <w:rPr>
            <w:rStyle w:val="Hyperlink"/>
          </w:rPr>
          <w:t xml:space="preserve">[23]</w:t>
        </w:r>
      </w:hyperlink>
      <w:r>
        <w:t xml:space="preserve"> </w:t>
      </w:r>
      <w:hyperlink r:id="rId22">
        <w:r>
          <w:rPr>
            <w:rStyle w:val="Hyperlink"/>
          </w:rPr>
          <w:t xml:space="preserve">[48]</w:t>
        </w:r>
      </w:hyperlink>
      <w:r>
        <w:t xml:space="preserve"> </w:t>
      </w:r>
      <w:hyperlink r:id="rId22">
        <w:r>
          <w:rPr>
            <w:rStyle w:val="Hyperlink"/>
          </w:rPr>
          <w:t xml:space="preserve">[57]</w:t>
        </w:r>
      </w:hyperlink>
      <w:r>
        <w:t xml:space="preserve"> </w:t>
      </w:r>
      <w:hyperlink r:id="rId22">
        <w:r>
          <w:rPr>
            <w:rStyle w:val="Hyperlink"/>
          </w:rPr>
          <w:t xml:space="preserve">[66]</w:t>
        </w:r>
      </w:hyperlink>
      <w:r>
        <w:t xml:space="preserve"> </w:t>
      </w:r>
      <w:r>
        <w:t xml:space="preserve">https://arxiv.org/pdf/2302.14545</w:t>
      </w:r>
    </w:p>
    <w:p>
      <w:pPr>
        <w:pStyle w:val="BodyText"/>
      </w:pPr>
      <w:hyperlink r:id="rId22">
        <w:r>
          <w:rPr>
            <w:rStyle w:val="Hyperlink"/>
          </w:rPr>
          <w:t xml:space="preserve">https://arxiv.org/pdf/2302.14545</w:t>
        </w:r>
      </w:hyperlink>
    </w:p>
    <w:p>
      <w:pPr>
        <w:pStyle w:val="BodyText"/>
      </w:pPr>
      <w:hyperlink r:id="rId24">
        <w:r>
          <w:rPr>
            <w:rStyle w:val="Hyperlink"/>
          </w:rPr>
          <w:t xml:space="preserve">[4]</w:t>
        </w:r>
      </w:hyperlink>
      <w:r>
        <w:t xml:space="preserve"> </w:t>
      </w:r>
      <w:r>
        <w:t xml:space="preserve">https://arxiv.org/html/2510.23045v3</w:t>
      </w:r>
    </w:p>
    <w:p>
      <w:pPr>
        <w:pStyle w:val="BodyText"/>
      </w:pPr>
      <w:hyperlink r:id="rId24">
        <w:r>
          <w:rPr>
            <w:rStyle w:val="Hyperlink"/>
          </w:rPr>
          <w:t xml:space="preserve">https://arxiv.org/html/2510.23045v3</w:t>
        </w:r>
      </w:hyperlink>
    </w:p>
    <w:p>
      <w:pPr>
        <w:pStyle w:val="BodyText"/>
      </w:pPr>
      <w:hyperlink r:id="rId25">
        <w:r>
          <w:rPr>
            <w:rStyle w:val="Hyperlink"/>
          </w:rPr>
          <w:t xml:space="preserve">[5]</w:t>
        </w:r>
      </w:hyperlink>
      <w:r>
        <w:t xml:space="preserve"> </w:t>
      </w:r>
      <w:hyperlink r:id="rId25">
        <w:r>
          <w:rPr>
            <w:rStyle w:val="Hyperlink"/>
          </w:rPr>
          <w:t xml:space="preserve">[9]</w:t>
        </w:r>
      </w:hyperlink>
      <w:r>
        <w:t xml:space="preserve"> </w:t>
      </w:r>
      <w:hyperlink r:id="rId25">
        <w:r>
          <w:rPr>
            <w:rStyle w:val="Hyperlink"/>
          </w:rPr>
          <w:t xml:space="preserve">[30]</w:t>
        </w:r>
      </w:hyperlink>
      <w:r>
        <w:t xml:space="preserve"> </w:t>
      </w:r>
      <w:hyperlink r:id="rId25">
        <w:r>
          <w:rPr>
            <w:rStyle w:val="Hyperlink"/>
          </w:rPr>
          <w:t xml:space="preserve">[38]</w:t>
        </w:r>
      </w:hyperlink>
      <w:r>
        <w:t xml:space="preserve"> </w:t>
      </w:r>
      <w:hyperlink r:id="rId25">
        <w:r>
          <w:rPr>
            <w:rStyle w:val="Hyperlink"/>
          </w:rPr>
          <w:t xml:space="preserve">[64]</w:t>
        </w:r>
      </w:hyperlink>
      <w:r>
        <w:t xml:space="preserve"> </w:t>
      </w:r>
      <w:r>
        <w:t xml:space="preserve">https://pmc.ncbi.nlm.nih.gov/articles/PMC7161969/</w:t>
      </w:r>
    </w:p>
    <w:p>
      <w:pPr>
        <w:pStyle w:val="BodyText"/>
      </w:pPr>
      <w:hyperlink r:id="rId25">
        <w:r>
          <w:rPr>
            <w:rStyle w:val="Hyperlink"/>
          </w:rPr>
          <w:t xml:space="preserve">https://pmc.ncbi.nlm.nih.gov/articles/PMC7161969/</w:t>
        </w:r>
      </w:hyperlink>
    </w:p>
    <w:p>
      <w:pPr>
        <w:pStyle w:val="BodyText"/>
      </w:pPr>
      <w:hyperlink r:id="rId26">
        <w:r>
          <w:rPr>
            <w:rStyle w:val="Hyperlink"/>
          </w:rPr>
          <w:t xml:space="preserve">[6]</w:t>
        </w:r>
      </w:hyperlink>
      <w:r>
        <w:t xml:space="preserve"> </w:t>
      </w:r>
      <w:hyperlink r:id="rId26">
        <w:r>
          <w:rPr>
            <w:rStyle w:val="Hyperlink"/>
          </w:rPr>
          <w:t xml:space="preserve">[65]</w:t>
        </w:r>
      </w:hyperlink>
      <w:r>
        <w:t xml:space="preserve"> </w:t>
      </w:r>
      <w:r>
        <w:t xml:space="preserve">https://arxiv.org/abs/2408.06292</w:t>
      </w:r>
    </w:p>
    <w:p>
      <w:pPr>
        <w:pStyle w:val="BodyText"/>
      </w:pPr>
      <w:hyperlink r:id="rId26">
        <w:r>
          <w:rPr>
            <w:rStyle w:val="Hyperlink"/>
          </w:rPr>
          <w:t xml:space="preserve">https://arxiv.org/abs/2408.06292</w:t>
        </w:r>
      </w:hyperlink>
    </w:p>
    <w:p>
      <w:pPr>
        <w:pStyle w:val="BodyText"/>
      </w:pPr>
      <w:hyperlink r:id="rId27">
        <w:r>
          <w:rPr>
            <w:rStyle w:val="Hyperlink"/>
          </w:rPr>
          <w:t xml:space="preserve">[7]</w:t>
        </w:r>
      </w:hyperlink>
      <w:r>
        <w:t xml:space="preserve"> </w:t>
      </w:r>
      <w:hyperlink r:id="rId27">
        <w:r>
          <w:rPr>
            <w:rStyle w:val="Hyperlink"/>
          </w:rPr>
          <w:t xml:space="preserve">[15]</w:t>
        </w:r>
      </w:hyperlink>
      <w:r>
        <w:t xml:space="preserve"> </w:t>
      </w:r>
      <w:hyperlink r:id="rId27">
        <w:r>
          <w:rPr>
            <w:rStyle w:val="Hyperlink"/>
          </w:rPr>
          <w:t xml:space="preserve">[36]</w:t>
        </w:r>
      </w:hyperlink>
      <w:r>
        <w:t xml:space="preserve"> </w:t>
      </w:r>
      <w:r>
        <w:t xml:space="preserve">https://pmc.ncbi.nlm.nih.gov/articles/PMC7220369/</w:t>
      </w:r>
    </w:p>
    <w:p>
      <w:pPr>
        <w:pStyle w:val="BodyText"/>
      </w:pPr>
      <w:hyperlink r:id="rId27">
        <w:r>
          <w:rPr>
            <w:rStyle w:val="Hyperlink"/>
          </w:rPr>
          <w:t xml:space="preserve">https://pmc.ncbi.nlm.nih.gov/articles/PMC7220369/</w:t>
        </w:r>
      </w:hyperlink>
    </w:p>
    <w:p>
      <w:pPr>
        <w:pStyle w:val="BodyText"/>
      </w:pPr>
      <w:hyperlink r:id="rId28">
        <w:r>
          <w:rPr>
            <w:rStyle w:val="Hyperlink"/>
          </w:rPr>
          <w:t xml:space="preserve">[8]</w:t>
        </w:r>
      </w:hyperlink>
      <w:r>
        <w:t xml:space="preserve"> </w:t>
      </w:r>
      <w:hyperlink r:id="rId28">
        <w:r>
          <w:rPr>
            <w:rStyle w:val="Hyperlink"/>
          </w:rPr>
          <w:t xml:space="preserve">[51]</w:t>
        </w:r>
      </w:hyperlink>
      <w:r>
        <w:t xml:space="preserve"> </w:t>
      </w:r>
      <w:hyperlink r:id="rId28">
        <w:r>
          <w:rPr>
            <w:rStyle w:val="Hyperlink"/>
          </w:rPr>
          <w:t xml:space="preserve">[69]</w:t>
        </w:r>
      </w:hyperlink>
      <w:r>
        <w:t xml:space="preserve"> </w:t>
      </w:r>
      <w:r>
        <w:t xml:space="preserve">https://pmc.ncbi.nlm.nih.gov/articles/PMC11074949/</w:t>
      </w:r>
    </w:p>
    <w:p>
      <w:pPr>
        <w:pStyle w:val="BodyText"/>
      </w:pPr>
      <w:hyperlink r:id="rId28">
        <w:r>
          <w:rPr>
            <w:rStyle w:val="Hyperlink"/>
          </w:rPr>
          <w:t xml:space="preserve">https://pmc.ncbi.nlm.nih.gov/articles/PMC11074949/</w:t>
        </w:r>
      </w:hyperlink>
    </w:p>
    <w:p>
      <w:pPr>
        <w:pStyle w:val="BodyText"/>
      </w:pPr>
      <w:hyperlink r:id="rId32">
        <w:r>
          <w:rPr>
            <w:rStyle w:val="Hyperlink"/>
          </w:rPr>
          <w:t xml:space="preserve">[13]</w:t>
        </w:r>
      </w:hyperlink>
      <w:r>
        <w:t xml:space="preserve"> </w:t>
      </w:r>
      <w:r>
        <w:t xml:space="preserve">https://arxiv.org/abs/1807.02811</w:t>
      </w:r>
    </w:p>
    <w:p>
      <w:pPr>
        <w:pStyle w:val="BodyText"/>
      </w:pPr>
      <w:hyperlink r:id="rId32">
        <w:r>
          <w:rPr>
            <w:rStyle w:val="Hyperlink"/>
          </w:rPr>
          <w:t xml:space="preserve">https://arxiv.org/abs/1807.02811</w:t>
        </w:r>
      </w:hyperlink>
    </w:p>
    <w:p>
      <w:pPr>
        <w:pStyle w:val="BodyText"/>
      </w:pPr>
      <w:hyperlink r:id="rId33">
        <w:r>
          <w:rPr>
            <w:rStyle w:val="Hyperlink"/>
          </w:rPr>
          <w:t xml:space="preserve">[14]</w:t>
        </w:r>
      </w:hyperlink>
      <w:r>
        <w:t xml:space="preserve"> </w:t>
      </w:r>
      <w:hyperlink r:id="rId33">
        <w:r>
          <w:rPr>
            <w:rStyle w:val="Hyperlink"/>
          </w:rPr>
          <w:t xml:space="preserve">[46]</w:t>
        </w:r>
      </w:hyperlink>
      <w:r>
        <w:t xml:space="preserve"> </w:t>
      </w:r>
      <w:r>
        <w:t xml:space="preserve">https://arxiv.org/abs/0912.3995</w:t>
      </w:r>
    </w:p>
    <w:p>
      <w:pPr>
        <w:pStyle w:val="BodyText"/>
      </w:pPr>
      <w:hyperlink r:id="rId33">
        <w:r>
          <w:rPr>
            <w:rStyle w:val="Hyperlink"/>
          </w:rPr>
          <w:t xml:space="preserve">https://arxiv.org/abs/0912.3995</w:t>
        </w:r>
      </w:hyperlink>
    </w:p>
    <w:p>
      <w:pPr>
        <w:pStyle w:val="BodyText"/>
      </w:pPr>
      <w:hyperlink r:id="rId35">
        <w:r>
          <w:rPr>
            <w:rStyle w:val="Hyperlink"/>
          </w:rPr>
          <w:t xml:space="preserve">[16]</w:t>
        </w:r>
      </w:hyperlink>
      <w:r>
        <w:t xml:space="preserve"> </w:t>
      </w:r>
      <w:hyperlink r:id="rId35">
        <w:r>
          <w:rPr>
            <w:rStyle w:val="Hyperlink"/>
          </w:rPr>
          <w:t xml:space="preserve">[17]</w:t>
        </w:r>
      </w:hyperlink>
      <w:r>
        <w:t xml:space="preserve"> </w:t>
      </w:r>
      <w:hyperlink r:id="rId35">
        <w:r>
          <w:rPr>
            <w:rStyle w:val="Hyperlink"/>
          </w:rPr>
          <w:t xml:space="preserve">[19]</w:t>
        </w:r>
      </w:hyperlink>
      <w:r>
        <w:t xml:space="preserve"> </w:t>
      </w:r>
      <w:hyperlink r:id="rId35">
        <w:r>
          <w:rPr>
            <w:rStyle w:val="Hyperlink"/>
          </w:rPr>
          <w:t xml:space="preserve">[20]</w:t>
        </w:r>
      </w:hyperlink>
      <w:r>
        <w:t xml:space="preserve"> </w:t>
      </w:r>
      <w:r>
        <w:t xml:space="preserve">https://chrismathys.com/wp-content/uploads/2015/05/Friston-et-al.-2015-Active-inference-and-epistemic-value.pdf</w:t>
      </w:r>
    </w:p>
    <w:p>
      <w:pPr>
        <w:pStyle w:val="BodyText"/>
      </w:pPr>
      <w:hyperlink r:id="rId35">
        <w:r>
          <w:rPr>
            <w:rStyle w:val="Hyperlink"/>
          </w:rPr>
          <w:t xml:space="preserve">https://chrismathys.com/wp-content/uploads/2015/05/Friston-et-al.-2015-Active-inference-and-epistemic-value.pdf</w:t>
        </w:r>
      </w:hyperlink>
    </w:p>
    <w:p>
      <w:pPr>
        <w:pStyle w:val="BodyText"/>
      </w:pPr>
      <w:hyperlink r:id="rId36">
        <w:r>
          <w:rPr>
            <w:rStyle w:val="Hyperlink"/>
          </w:rPr>
          <w:t xml:space="preserve">[18]</w:t>
        </w:r>
      </w:hyperlink>
      <w:r>
        <w:t xml:space="preserve"> </w:t>
      </w:r>
      <w:r>
        <w:t xml:space="preserve">https://www.sciencedirect.com/science/article/pii/S0022249620300857</w:t>
      </w:r>
    </w:p>
    <w:p>
      <w:pPr>
        <w:pStyle w:val="BodyText"/>
      </w:pPr>
      <w:hyperlink r:id="rId36">
        <w:r>
          <w:rPr>
            <w:rStyle w:val="Hyperlink"/>
          </w:rPr>
          <w:t xml:space="preserve">https://www.sciencedirect.com/science/article/pii/S0022249620300857</w:t>
        </w:r>
      </w:hyperlink>
    </w:p>
    <w:p>
      <w:pPr>
        <w:pStyle w:val="BodyText"/>
      </w:pPr>
      <w:hyperlink r:id="rId38">
        <w:r>
          <w:rPr>
            <w:rStyle w:val="Hyperlink"/>
          </w:rPr>
          <w:t xml:space="preserve">[21]</w:t>
        </w:r>
      </w:hyperlink>
      <w:r>
        <w:t xml:space="preserve"> </w:t>
      </w:r>
      <w:r>
        <w:t xml:space="preserve">https://www.researchgate.net/publication/318917123_Active_Inference_Curiosity_and_Insight</w:t>
      </w:r>
    </w:p>
    <w:p>
      <w:pPr>
        <w:pStyle w:val="BodyText"/>
      </w:pPr>
      <w:hyperlink r:id="rId38">
        <w:r>
          <w:rPr>
            <w:rStyle w:val="Hyperlink"/>
          </w:rPr>
          <w:t xml:space="preserve">https://www.researchgate.net/publication/318917123_Active_Inference_Curiosity_and_Insight</w:t>
        </w:r>
      </w:hyperlink>
    </w:p>
    <w:p>
      <w:pPr>
        <w:pStyle w:val="BodyText"/>
      </w:pPr>
      <w:hyperlink r:id="rId41">
        <w:r>
          <w:rPr>
            <w:rStyle w:val="Hyperlink"/>
          </w:rPr>
          <w:t xml:space="preserve">[24]</w:t>
        </w:r>
      </w:hyperlink>
      <w:r>
        <w:t xml:space="preserve"> </w:t>
      </w:r>
      <w:hyperlink r:id="rId41">
        <w:r>
          <w:rPr>
            <w:rStyle w:val="Hyperlink"/>
          </w:rPr>
          <w:t xml:space="preserve">[25]</w:t>
        </w:r>
      </w:hyperlink>
      <w:r>
        <w:t xml:space="preserve"> </w:t>
      </w:r>
      <w:hyperlink r:id="rId41">
        <w:r>
          <w:rPr>
            <w:rStyle w:val="Hyperlink"/>
          </w:rPr>
          <w:t xml:space="preserve">[58]</w:t>
        </w:r>
      </w:hyperlink>
      <w:r>
        <w:t xml:space="preserve"> </w:t>
      </w:r>
      <w:r>
        <w:t xml:space="preserve">https://projects.illc.uva.nl/cil/uploaded_files/inlineitem/Spirtes_Glymour_Scheines_2000_Causation_Prediction_.pdf</w:t>
      </w:r>
    </w:p>
    <w:p>
      <w:pPr>
        <w:pStyle w:val="BodyText"/>
      </w:pPr>
      <w:hyperlink r:id="rId41">
        <w:r>
          <w:rPr>
            <w:rStyle w:val="Hyperlink"/>
          </w:rPr>
          <w:t xml:space="preserve">https://projects.illc.uva.nl/cil/uploaded_files/inlineitem/Spirtes_Glymour_Scheines_2000_Causation_Prediction_.pdf</w:t>
        </w:r>
      </w:hyperlink>
    </w:p>
    <w:p>
      <w:pPr>
        <w:pStyle w:val="BodyText"/>
      </w:pPr>
      <w:hyperlink r:id="rId42">
        <w:r>
          <w:rPr>
            <w:rStyle w:val="Hyperlink"/>
          </w:rPr>
          <w:t xml:space="preserve">[26]</w:t>
        </w:r>
      </w:hyperlink>
      <w:r>
        <w:t xml:space="preserve"> </w:t>
      </w:r>
      <w:hyperlink r:id="rId42">
        <w:r>
          <w:rPr>
            <w:rStyle w:val="Hyperlink"/>
          </w:rPr>
          <w:t xml:space="preserve">[68]</w:t>
        </w:r>
      </w:hyperlink>
      <w:r>
        <w:t xml:space="preserve"> </w:t>
      </w:r>
      <w:r>
        <w:t xml:space="preserve">https://proceedings.neurips.cc/paper_files/paper/2022/file/675e371eeeea99551ce47797ed6ed33e-Paper-Conference.pdf</w:t>
      </w:r>
    </w:p>
    <w:p>
      <w:pPr>
        <w:pStyle w:val="BodyText"/>
      </w:pPr>
      <w:hyperlink r:id="rId42">
        <w:r>
          <w:rPr>
            <w:rStyle w:val="Hyperlink"/>
          </w:rPr>
          <w:t xml:space="preserve">https://proceedings.neurips.cc/paper_files/paper/2022/file/675e371eeeea99551ce47797ed6ed33e-Paper-Conference.pdf</w:t>
        </w:r>
      </w:hyperlink>
    </w:p>
    <w:p>
      <w:pPr>
        <w:pStyle w:val="BodyText"/>
      </w:pPr>
      <w:hyperlink r:id="rId43">
        <w:r>
          <w:rPr>
            <w:rStyle w:val="Hyperlink"/>
          </w:rPr>
          <w:t xml:space="preserve">[27]</w:t>
        </w:r>
      </w:hyperlink>
      <w:r>
        <w:t xml:space="preserve"> </w:t>
      </w:r>
      <w:hyperlink r:id="rId43">
        <w:r>
          <w:rPr>
            <w:rStyle w:val="Hyperlink"/>
          </w:rPr>
          <w:t xml:space="preserve">[41]</w:t>
        </w:r>
      </w:hyperlink>
      <w:r>
        <w:t xml:space="preserve"> </w:t>
      </w:r>
      <w:r>
        <w:t xml:space="preserve">https://proceedings.neurips.cc/paper_files/paper/2023/file/c9d9659d1d960b53e8121469ef1f2df5-Paper-Conference.pdf</w:t>
      </w:r>
    </w:p>
    <w:p>
      <w:pPr>
        <w:pStyle w:val="BodyText"/>
      </w:pPr>
      <w:hyperlink r:id="rId43">
        <w:r>
          <w:rPr>
            <w:rStyle w:val="Hyperlink"/>
          </w:rPr>
          <w:t xml:space="preserve">https://proceedings.neurips.cc/paper_files/paper/2023/file/c9d9659d1d960b53e8121469ef1f2df5-Paper-Conference.pdf</w:t>
        </w:r>
      </w:hyperlink>
    </w:p>
    <w:p>
      <w:pPr>
        <w:pStyle w:val="BodyText"/>
      </w:pPr>
      <w:hyperlink r:id="rId44">
        <w:r>
          <w:rPr>
            <w:rStyle w:val="Hyperlink"/>
          </w:rPr>
          <w:t xml:space="preserve">[28]</w:t>
        </w:r>
      </w:hyperlink>
      <w:r>
        <w:t xml:space="preserve"> </w:t>
      </w:r>
      <w:r>
        <w:t xml:space="preserve">https://proceedings.mlr.press/r3/spirtes01a/spirtes01a.pdf</w:t>
      </w:r>
    </w:p>
    <w:p>
      <w:pPr>
        <w:pStyle w:val="BodyText"/>
      </w:pPr>
      <w:hyperlink r:id="rId44">
        <w:r>
          <w:rPr>
            <w:rStyle w:val="Hyperlink"/>
          </w:rPr>
          <w:t xml:space="preserve">https://proceedings.mlr.press/r3/spirtes01a/spirtes01a.pdf</w:t>
        </w:r>
      </w:hyperlink>
    </w:p>
    <w:p>
      <w:pPr>
        <w:pStyle w:val="BodyText"/>
      </w:pPr>
      <w:hyperlink r:id="rId45">
        <w:r>
          <w:rPr>
            <w:rStyle w:val="Hyperlink"/>
          </w:rPr>
          <w:t xml:space="preserve">[29]</w:t>
        </w:r>
      </w:hyperlink>
      <w:r>
        <w:t xml:space="preserve"> </w:t>
      </w:r>
      <w:r>
        <w:t xml:space="preserve">https://arxiv.org/html/2412.01953v2</w:t>
      </w:r>
    </w:p>
    <w:p>
      <w:pPr>
        <w:pStyle w:val="BodyText"/>
      </w:pPr>
      <w:hyperlink r:id="rId45">
        <w:r>
          <w:rPr>
            <w:rStyle w:val="Hyperlink"/>
          </w:rPr>
          <w:t xml:space="preserve">https://arxiv.org/html/2412.01953v2</w:t>
        </w:r>
      </w:hyperlink>
    </w:p>
    <w:p>
      <w:pPr>
        <w:pStyle w:val="BodyText"/>
      </w:pPr>
      <w:hyperlink r:id="rId48">
        <w:r>
          <w:rPr>
            <w:rStyle w:val="Hyperlink"/>
          </w:rPr>
          <w:t xml:space="preserve">[31]</w:t>
        </w:r>
      </w:hyperlink>
      <w:r>
        <w:t xml:space="preserve"> </w:t>
      </w:r>
      <w:r>
        <w:t xml:space="preserve">https://sila-standard.com/standards/</w:t>
      </w:r>
    </w:p>
    <w:p>
      <w:pPr>
        <w:pStyle w:val="BodyText"/>
      </w:pPr>
      <w:hyperlink r:id="rId48">
        <w:r>
          <w:rPr>
            <w:rStyle w:val="Hyperlink"/>
          </w:rPr>
          <w:t xml:space="preserve">https://sila-standard.com/standards/</w:t>
        </w:r>
      </w:hyperlink>
    </w:p>
    <w:p>
      <w:pPr>
        <w:pStyle w:val="BodyText"/>
      </w:pPr>
      <w:hyperlink r:id="rId49">
        <w:r>
          <w:rPr>
            <w:rStyle w:val="Hyperlink"/>
          </w:rPr>
          <w:t xml:space="preserve">[32]</w:t>
        </w:r>
      </w:hyperlink>
      <w:r>
        <w:t xml:space="preserve"> </w:t>
      </w:r>
      <w:r>
        <w:t xml:space="preserve">https://github.com/autoprotocol/autoprotocol-python</w:t>
      </w:r>
    </w:p>
    <w:p>
      <w:pPr>
        <w:pStyle w:val="BodyText"/>
      </w:pPr>
      <w:hyperlink r:id="rId49">
        <w:r>
          <w:rPr>
            <w:rStyle w:val="Hyperlink"/>
          </w:rPr>
          <w:t xml:space="preserve">https://github.com/autoprotocol/autoprotocol-python</w:t>
        </w:r>
      </w:hyperlink>
    </w:p>
    <w:p>
      <w:pPr>
        <w:pStyle w:val="BodyText"/>
      </w:pPr>
      <w:hyperlink r:id="rId50">
        <w:r>
          <w:rPr>
            <w:rStyle w:val="Hyperlink"/>
          </w:rPr>
          <w:t xml:space="preserve">[33]</w:t>
        </w:r>
      </w:hyperlink>
      <w:r>
        <w:t xml:space="preserve"> </w:t>
      </w:r>
      <w:hyperlink r:id="rId50">
        <w:r>
          <w:rPr>
            <w:rStyle w:val="Hyperlink"/>
          </w:rPr>
          <w:t xml:space="preserve">[67]</w:t>
        </w:r>
      </w:hyperlink>
      <w:r>
        <w:t xml:space="preserve"> </w:t>
      </w:r>
      <w:r>
        <w:t xml:space="preserve">https://docs.opentrons.com/flex/protocols/python-api/</w:t>
      </w:r>
    </w:p>
    <w:p>
      <w:pPr>
        <w:pStyle w:val="BodyText"/>
      </w:pPr>
      <w:hyperlink r:id="rId50">
        <w:r>
          <w:rPr>
            <w:rStyle w:val="Hyperlink"/>
          </w:rPr>
          <w:t xml:space="preserve">https://docs.opentrons.com/flex/protocols/python-api/</w:t>
        </w:r>
      </w:hyperlink>
    </w:p>
    <w:p>
      <w:pPr>
        <w:pStyle w:val="BodyText"/>
      </w:pPr>
      <w:hyperlink r:id="rId51">
        <w:r>
          <w:rPr>
            <w:rStyle w:val="Hyperlink"/>
          </w:rPr>
          <w:t xml:space="preserve">[34]</w:t>
        </w:r>
      </w:hyperlink>
      <w:r>
        <w:t xml:space="preserve"> </w:t>
      </w:r>
      <w:r>
        <w:t xml:space="preserve">https://www.emeraldcloudlab.com/documentation/</w:t>
      </w:r>
    </w:p>
    <w:p>
      <w:pPr>
        <w:pStyle w:val="BodyText"/>
      </w:pPr>
      <w:hyperlink r:id="rId51">
        <w:r>
          <w:rPr>
            <w:rStyle w:val="Hyperlink"/>
          </w:rPr>
          <w:t xml:space="preserve">https://www.emeraldcloudlab.com/documentation/</w:t>
        </w:r>
      </w:hyperlink>
    </w:p>
    <w:p>
      <w:pPr>
        <w:pStyle w:val="BodyText"/>
      </w:pPr>
      <w:hyperlink r:id="rId52">
        <w:r>
          <w:rPr>
            <w:rStyle w:val="Hyperlink"/>
          </w:rPr>
          <w:t xml:space="preserve">[35]</w:t>
        </w:r>
      </w:hyperlink>
      <w:r>
        <w:t xml:space="preserve"> </w:t>
      </w:r>
      <w:r>
        <w:t xml:space="preserve">https://www.synthace.com/how-it-works</w:t>
      </w:r>
    </w:p>
    <w:p>
      <w:pPr>
        <w:pStyle w:val="BodyText"/>
      </w:pPr>
      <w:hyperlink r:id="rId52">
        <w:r>
          <w:rPr>
            <w:rStyle w:val="Hyperlink"/>
          </w:rPr>
          <w:t xml:space="preserve">https://www.synthace.com/how-it-works</w:t>
        </w:r>
      </w:hyperlink>
    </w:p>
    <w:p>
      <w:pPr>
        <w:pStyle w:val="BodyText"/>
      </w:pPr>
      <w:hyperlink r:id="rId54">
        <w:r>
          <w:rPr>
            <w:rStyle w:val="Hyperlink"/>
          </w:rPr>
          <w:t xml:space="preserve">[37]</w:t>
        </w:r>
      </w:hyperlink>
      <w:r>
        <w:t xml:space="preserve"> </w:t>
      </w:r>
      <w:r>
        <w:t xml:space="preserve">https://pmc.ncbi.nlm.nih.gov/articles/PMC8863835/</w:t>
      </w:r>
    </w:p>
    <w:p>
      <w:pPr>
        <w:pStyle w:val="BodyText"/>
      </w:pPr>
      <w:hyperlink r:id="rId54">
        <w:r>
          <w:rPr>
            <w:rStyle w:val="Hyperlink"/>
          </w:rPr>
          <w:t xml:space="preserve">https://pmc.ncbi.nlm.nih.gov/articles/PMC8863835/</w:t>
        </w:r>
      </w:hyperlink>
    </w:p>
    <w:p>
      <w:pPr>
        <w:pStyle w:val="BodyText"/>
      </w:pPr>
      <w:hyperlink r:id="rId55">
        <w:r>
          <w:rPr>
            <w:rStyle w:val="Hyperlink"/>
          </w:rPr>
          <w:t xml:space="preserve">[39]</w:t>
        </w:r>
      </w:hyperlink>
      <w:r>
        <w:t xml:space="preserve"> </w:t>
      </w:r>
      <w:hyperlink r:id="rId55">
        <w:r>
          <w:rPr>
            <w:rStyle w:val="Hyperlink"/>
          </w:rPr>
          <w:t xml:space="preserve">[59]</w:t>
        </w:r>
      </w:hyperlink>
      <w:r>
        <w:t xml:space="preserve"> </w:t>
      </w:r>
      <w:r>
        <w:t xml:space="preserve">https://www.nature.com/articles/s41586-023-06792-0</w:t>
      </w:r>
    </w:p>
    <w:p>
      <w:pPr>
        <w:pStyle w:val="BodyText"/>
      </w:pPr>
      <w:hyperlink r:id="rId55">
        <w:r>
          <w:rPr>
            <w:rStyle w:val="Hyperlink"/>
          </w:rPr>
          <w:t xml:space="preserve">https://www.nature.com/articles/s41586-023-06792-0</w:t>
        </w:r>
      </w:hyperlink>
    </w:p>
    <w:p>
      <w:pPr>
        <w:pStyle w:val="BodyText"/>
      </w:pPr>
      <w:hyperlink r:id="rId56">
        <w:r>
          <w:rPr>
            <w:rStyle w:val="Hyperlink"/>
          </w:rPr>
          <w:t xml:space="preserve">[40]</w:t>
        </w:r>
      </w:hyperlink>
      <w:r>
        <w:t xml:space="preserve"> </w:t>
      </w:r>
      <w:hyperlink r:id="rId56">
        <w:r>
          <w:rPr>
            <w:rStyle w:val="Hyperlink"/>
          </w:rPr>
          <w:t xml:space="preserve">[63]</w:t>
        </w:r>
      </w:hyperlink>
      <w:r>
        <w:t xml:space="preserve"> </w:t>
      </w:r>
      <w:r>
        <w:t xml:space="preserve">https://www.nature.com/articles/s41586-024-08173-7</w:t>
      </w:r>
    </w:p>
    <w:p>
      <w:pPr>
        <w:pStyle w:val="BodyText"/>
      </w:pPr>
      <w:hyperlink r:id="rId56">
        <w:r>
          <w:rPr>
            <w:rStyle w:val="Hyperlink"/>
          </w:rPr>
          <w:t xml:space="preserve">https://www.nature.com/articles/s41586-024-08173-7</w:t>
        </w:r>
      </w:hyperlink>
    </w:p>
    <w:p>
      <w:pPr>
        <w:pStyle w:val="BodyText"/>
      </w:pPr>
      <w:hyperlink r:id="rId60">
        <w:r>
          <w:rPr>
            <w:rStyle w:val="Hyperlink"/>
          </w:rPr>
          <w:t xml:space="preserve">[42]</w:t>
        </w:r>
      </w:hyperlink>
      <w:r>
        <w:t xml:space="preserve"> </w:t>
      </w:r>
      <w:r>
        <w:t xml:space="preserve">https://arxiv.org/abs/1612.01474</w:t>
      </w:r>
    </w:p>
    <w:p>
      <w:pPr>
        <w:pStyle w:val="BodyText"/>
      </w:pPr>
      <w:hyperlink r:id="rId60">
        <w:r>
          <w:rPr>
            <w:rStyle w:val="Hyperlink"/>
          </w:rPr>
          <w:t xml:space="preserve">https://arxiv.org/abs/1612.01474</w:t>
        </w:r>
      </w:hyperlink>
    </w:p>
    <w:p>
      <w:pPr>
        <w:pStyle w:val="BodyText"/>
      </w:pPr>
      <w:hyperlink r:id="rId61">
        <w:r>
          <w:rPr>
            <w:rStyle w:val="Hyperlink"/>
          </w:rPr>
          <w:t xml:space="preserve">[43]</w:t>
        </w:r>
      </w:hyperlink>
      <w:r>
        <w:t xml:space="preserve"> </w:t>
      </w:r>
      <w:r>
        <w:t xml:space="preserve">https://proceedings.mlr.press/v48/gal16.html</w:t>
      </w:r>
    </w:p>
    <w:p>
      <w:pPr>
        <w:pStyle w:val="BodyText"/>
      </w:pPr>
      <w:hyperlink r:id="rId61">
        <w:r>
          <w:rPr>
            <w:rStyle w:val="Hyperlink"/>
          </w:rPr>
          <w:t xml:space="preserve">https://proceedings.mlr.press/v48/gal16.html</w:t>
        </w:r>
      </w:hyperlink>
    </w:p>
    <w:p>
      <w:pPr>
        <w:pStyle w:val="BodyText"/>
      </w:pPr>
      <w:hyperlink r:id="rId62">
        <w:r>
          <w:rPr>
            <w:rStyle w:val="Hyperlink"/>
          </w:rPr>
          <w:t xml:space="preserve">[44]</w:t>
        </w:r>
      </w:hyperlink>
      <w:r>
        <w:t xml:space="preserve"> </w:t>
      </w:r>
      <w:r>
        <w:t xml:space="preserve">https://proceedings.mlr.press/v70/guo17a.html</w:t>
      </w:r>
    </w:p>
    <w:p>
      <w:pPr>
        <w:pStyle w:val="BodyText"/>
      </w:pPr>
      <w:hyperlink r:id="rId62">
        <w:r>
          <w:rPr>
            <w:rStyle w:val="Hyperlink"/>
          </w:rPr>
          <w:t xml:space="preserve">https://proceedings.mlr.press/v70/guo17a.html</w:t>
        </w:r>
      </w:hyperlink>
    </w:p>
    <w:p>
      <w:pPr>
        <w:pStyle w:val="BodyText"/>
      </w:pPr>
      <w:hyperlink r:id="rId63">
        <w:r>
          <w:rPr>
            <w:rStyle w:val="Hyperlink"/>
          </w:rPr>
          <w:t xml:space="preserve">[45]</w:t>
        </w:r>
      </w:hyperlink>
      <w:r>
        <w:t xml:space="preserve"> </w:t>
      </w:r>
      <w:r>
        <w:t xml:space="preserve">https://arxiv.org/abs/1910.02600</w:t>
      </w:r>
    </w:p>
    <w:p>
      <w:pPr>
        <w:pStyle w:val="BodyText"/>
      </w:pPr>
      <w:hyperlink r:id="rId63">
        <w:r>
          <w:rPr>
            <w:rStyle w:val="Hyperlink"/>
          </w:rPr>
          <w:t xml:space="preserve">https://arxiv.org/abs/1910.02600</w:t>
        </w:r>
      </w:hyperlink>
    </w:p>
    <w:p>
      <w:pPr>
        <w:pStyle w:val="BodyText"/>
      </w:pPr>
      <w:hyperlink r:id="rId65">
        <w:r>
          <w:rPr>
            <w:rStyle w:val="Hyperlink"/>
          </w:rPr>
          <w:t xml:space="preserve">[47]</w:t>
        </w:r>
      </w:hyperlink>
      <w:r>
        <w:t xml:space="preserve"> </w:t>
      </w:r>
      <w:r>
        <w:t xml:space="preserve">https://www.cs.ox.ac.uk/people/nando.defreitas/publications/BayesOptLoop.pdf</w:t>
      </w:r>
    </w:p>
    <w:p>
      <w:pPr>
        <w:pStyle w:val="BodyText"/>
      </w:pPr>
      <w:hyperlink r:id="rId65">
        <w:r>
          <w:rPr>
            <w:rStyle w:val="Hyperlink"/>
          </w:rPr>
          <w:t xml:space="preserve">https://www.cs.ox.ac.uk/people/nando.defreitas/publications/BayesOptLoop.pdf</w:t>
        </w:r>
      </w:hyperlink>
    </w:p>
    <w:p>
      <w:pPr>
        <w:pStyle w:val="BodyText"/>
      </w:pPr>
      <w:hyperlink r:id="rId66">
        <w:r>
          <w:rPr>
            <w:rStyle w:val="Hyperlink"/>
          </w:rPr>
          <w:t xml:space="preserve">[49]</w:t>
        </w:r>
      </w:hyperlink>
      <w:r>
        <w:t xml:space="preserve"> </w:t>
      </w:r>
      <w:r>
        <w:t xml:space="preserve">https://par.nsf.gov/servlets/purl/10291410</w:t>
      </w:r>
    </w:p>
    <w:p>
      <w:pPr>
        <w:pStyle w:val="BodyText"/>
      </w:pPr>
      <w:hyperlink r:id="rId66">
        <w:r>
          <w:rPr>
            <w:rStyle w:val="Hyperlink"/>
          </w:rPr>
          <w:t xml:space="preserve">https://par.nsf.gov/servlets/purl/10291410</w:t>
        </w:r>
      </w:hyperlink>
    </w:p>
    <w:p>
      <w:pPr>
        <w:pStyle w:val="BodyText"/>
      </w:pPr>
      <w:hyperlink r:id="rId69">
        <w:r>
          <w:rPr>
            <w:rStyle w:val="Hyperlink"/>
          </w:rPr>
          <w:t xml:space="preserve">[52]</w:t>
        </w:r>
      </w:hyperlink>
      <w:r>
        <w:t xml:space="preserve"> </w:t>
      </w:r>
      <w:r>
        <w:t xml:space="preserve">https://www.science.org/doi/10.1126/sciadv.aay2631</w:t>
      </w:r>
    </w:p>
    <w:p>
      <w:pPr>
        <w:pStyle w:val="BodyText"/>
      </w:pPr>
      <w:hyperlink r:id="rId69">
        <w:r>
          <w:rPr>
            <w:rStyle w:val="Hyperlink"/>
          </w:rPr>
          <w:t xml:space="preserve">https://www.science.org/doi/10.1126/sciadv.aay2631</w:t>
        </w:r>
      </w:hyperlink>
    </w:p>
    <w:p>
      <w:pPr>
        <w:pStyle w:val="BodyText"/>
      </w:pPr>
      <w:hyperlink r:id="rId70">
        <w:r>
          <w:rPr>
            <w:rStyle w:val="Hyperlink"/>
          </w:rPr>
          <w:t xml:space="preserve">[53]</w:t>
        </w:r>
      </w:hyperlink>
      <w:r>
        <w:t xml:space="preserve"> </w:t>
      </w:r>
      <w:r>
        <w:t xml:space="preserve">https://cdanfort.w3.uvm.edu/courses/237/schmidt-lipson-2009.pdf</w:t>
      </w:r>
    </w:p>
    <w:p>
      <w:pPr>
        <w:pStyle w:val="BodyText"/>
      </w:pPr>
      <w:hyperlink r:id="rId70">
        <w:r>
          <w:rPr>
            <w:rStyle w:val="Hyperlink"/>
          </w:rPr>
          <w:t xml:space="preserve">https://cdanfort.w3.uvm.edu/courses/237/schmidt-lipson-2009.pdf</w:t>
        </w:r>
      </w:hyperlink>
    </w:p>
    <w:p>
      <w:pPr>
        <w:pStyle w:val="BodyText"/>
      </w:pPr>
      <w:hyperlink r:id="rId71">
        <w:r>
          <w:rPr>
            <w:rStyle w:val="Hyperlink"/>
          </w:rPr>
          <w:t xml:space="preserve">[54]</w:t>
        </w:r>
      </w:hyperlink>
      <w:r>
        <w:t xml:space="preserve"> </w:t>
      </w:r>
      <w:r>
        <w:t xml:space="preserve">https://www.pnas.org/doi/10.1073/pnas.1517384113</w:t>
      </w:r>
    </w:p>
    <w:p>
      <w:pPr>
        <w:pStyle w:val="BodyText"/>
      </w:pPr>
      <w:hyperlink r:id="rId71">
        <w:r>
          <w:rPr>
            <w:rStyle w:val="Hyperlink"/>
          </w:rPr>
          <w:t xml:space="preserve">https://www.pnas.org/doi/10.1073/pnas.1517384113</w:t>
        </w:r>
      </w:hyperlink>
    </w:p>
    <w:p>
      <w:pPr>
        <w:pStyle w:val="BodyText"/>
      </w:pPr>
      <w:hyperlink r:id="rId72">
        <w:r>
          <w:rPr>
            <w:rStyle w:val="Hyperlink"/>
          </w:rPr>
          <w:t xml:space="preserve">[55]</w:t>
        </w:r>
      </w:hyperlink>
      <w:r>
        <w:t xml:space="preserve"> </w:t>
      </w:r>
      <w:r>
        <w:t xml:space="preserve">https://arxiv.org/abs/2305.01582</w:t>
      </w:r>
    </w:p>
    <w:p>
      <w:pPr>
        <w:pStyle w:val="BodyText"/>
      </w:pPr>
      <w:hyperlink r:id="rId72">
        <w:r>
          <w:rPr>
            <w:rStyle w:val="Hyperlink"/>
          </w:rPr>
          <w:t xml:space="preserve">https://arxiv.org/abs/2305.01582</w:t>
        </w:r>
      </w:hyperlink>
    </w:p>
    <w:p>
      <w:pPr>
        <w:pStyle w:val="BodyText"/>
      </w:pPr>
      <w:hyperlink r:id="rId74">
        <w:r>
          <w:rPr>
            <w:rStyle w:val="Hyperlink"/>
          </w:rPr>
          <w:t xml:space="preserve">[56]</w:t>
        </w:r>
      </w:hyperlink>
      <w:r>
        <w:t xml:space="preserve"> </w:t>
      </w:r>
      <w:r>
        <w:t xml:space="preserve">https://pmc.ncbi.nlm.nih.gov/articles/PMC7159912/</w:t>
      </w:r>
    </w:p>
    <w:p>
      <w:pPr>
        <w:pStyle w:val="BodyText"/>
      </w:pPr>
      <w:hyperlink r:id="rId74">
        <w:r>
          <w:rPr>
            <w:rStyle w:val="Hyperlink"/>
          </w:rPr>
          <w:t xml:space="preserve">https://pmc.ncbi.nlm.nih.gov/articles/PMC7159912/</w:t>
        </w:r>
      </w:hyperlink>
    </w:p>
    <w:p>
      <w:pPr>
        <w:pStyle w:val="BodyText"/>
      </w:pPr>
      <w:hyperlink r:id="rId79">
        <w:r>
          <w:rPr>
            <w:rStyle w:val="Hyperlink"/>
          </w:rPr>
          <w:t xml:space="preserve">[60]</w:t>
        </w:r>
      </w:hyperlink>
      <w:r>
        <w:t xml:space="preserve"> </w:t>
      </w:r>
      <w:hyperlink r:id="rId79">
        <w:r>
          <w:rPr>
            <w:rStyle w:val="Hyperlink"/>
          </w:rPr>
          <w:t xml:space="preserve">[70]</w:t>
        </w:r>
      </w:hyperlink>
      <w:r>
        <w:t xml:space="preserve"> </w:t>
      </w:r>
      <w:r>
        <w:t xml:space="preserve">https://www.rand.org/content/dam/rand/pubs/perspectives/PEA3800/PEA3851-1/RAND_PEA3851-1.pdf</w:t>
      </w:r>
    </w:p>
    <w:p>
      <w:pPr>
        <w:pStyle w:val="BodyText"/>
      </w:pPr>
      <w:hyperlink r:id="rId79">
        <w:r>
          <w:rPr>
            <w:rStyle w:val="Hyperlink"/>
          </w:rPr>
          <w:t xml:space="preserve">https://www.rand.org/content/dam/rand/pubs/perspectives/PEA3800/PEA3851-1/RAND_PEA3851-1.pdf</w:t>
        </w:r>
      </w:hyperlink>
    </w:p>
    <w:p>
      <w:pPr>
        <w:pStyle w:val="BodyText"/>
      </w:pPr>
      <w:hyperlink r:id="rId80">
        <w:r>
          <w:rPr>
            <w:rStyle w:val="Hyperlink"/>
          </w:rPr>
          <w:t xml:space="preserve">[61]</w:t>
        </w:r>
      </w:hyperlink>
      <w:r>
        <w:t xml:space="preserve"> </w:t>
      </w:r>
      <w:r>
        <w:t xml:space="preserve">https://journals.plos.org/ploscompbiol/article?id=10.1371%2Fjournal.pcbi.1012975</w:t>
      </w:r>
    </w:p>
    <w:p>
      <w:pPr>
        <w:pStyle w:val="BodyText"/>
      </w:pPr>
      <w:hyperlink r:id="rId80">
        <w:r>
          <w:rPr>
            <w:rStyle w:val="Hyperlink"/>
          </w:rPr>
          <w:t xml:space="preserve">https://journals.plos.org/ploscompbiol/article?id=10.1371%2Fjournal.pcbi.1012975</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arxiv.org/abs/0912.3995" TargetMode="External" /><Relationship Type="http://schemas.openxmlformats.org/officeDocument/2006/relationships/hyperlink" Id="rId60" Target="https://arxiv.org/abs/1612.01474" TargetMode="External" /><Relationship Type="http://schemas.openxmlformats.org/officeDocument/2006/relationships/hyperlink" Id="rId32" Target="https://arxiv.org/abs/1807.02811" TargetMode="External" /><Relationship Type="http://schemas.openxmlformats.org/officeDocument/2006/relationships/hyperlink" Id="rId63" Target="https://arxiv.org/abs/1910.02600" TargetMode="External" /><Relationship Type="http://schemas.openxmlformats.org/officeDocument/2006/relationships/hyperlink" Id="rId72" Target="https://arxiv.org/abs/2305.01582" TargetMode="External" /><Relationship Type="http://schemas.openxmlformats.org/officeDocument/2006/relationships/hyperlink" Id="rId26" Target="https://arxiv.org/abs/2408.06292" TargetMode="External" /><Relationship Type="http://schemas.openxmlformats.org/officeDocument/2006/relationships/hyperlink" Id="rId45" Target="https://arxiv.org/html/2412.01953v2" TargetMode="External" /><Relationship Type="http://schemas.openxmlformats.org/officeDocument/2006/relationships/hyperlink" Id="rId24" Target="https://arxiv.org/html/2510.23045v3" TargetMode="External" /><Relationship Type="http://schemas.openxmlformats.org/officeDocument/2006/relationships/hyperlink" Id="rId22" Target="https://arxiv.org/pdf/2302.14545" TargetMode="External" /><Relationship Type="http://schemas.openxmlformats.org/officeDocument/2006/relationships/hyperlink" Id="rId70" Target="https://cdanfort.w3.uvm.edu/courses/237/schmidt-lipson-2009.pdf" TargetMode="External" /><Relationship Type="http://schemas.openxmlformats.org/officeDocument/2006/relationships/hyperlink" Id="rId35" Target="https://chrismathys.com/wp-content/uploads/2015/05/Friston-et-al.-2015-Active-inference-and-epistemic-value.pdf" TargetMode="External" /><Relationship Type="http://schemas.openxmlformats.org/officeDocument/2006/relationships/hyperlink" Id="rId50" Target="https://docs.opentrons.com/flex/protocols/python-api/" TargetMode="External" /><Relationship Type="http://schemas.openxmlformats.org/officeDocument/2006/relationships/hyperlink" Id="rId49" Target="https://github.com/autoprotocol/autoprotocol-python" TargetMode="External" /><Relationship Type="http://schemas.openxmlformats.org/officeDocument/2006/relationships/hyperlink" Id="rId80" Target="https://journals.plos.org/ploscompbiol/article?id=10.1371%2Fjournal.pcbi.1012975" TargetMode="External" /><Relationship Type="http://schemas.openxmlformats.org/officeDocument/2006/relationships/hyperlink" Id="rId66" Target="https://par.nsf.gov/servlets/purl/10291410" TargetMode="External" /><Relationship Type="http://schemas.openxmlformats.org/officeDocument/2006/relationships/hyperlink" Id="rId28" Target="https://pmc.ncbi.nlm.nih.gov/articles/PMC11074949/" TargetMode="External" /><Relationship Type="http://schemas.openxmlformats.org/officeDocument/2006/relationships/hyperlink" Id="rId21" Target="https://pmc.ncbi.nlm.nih.gov/articles/PMC12368842/" TargetMode="External" /><Relationship Type="http://schemas.openxmlformats.org/officeDocument/2006/relationships/hyperlink" Id="rId74" Target="https://pmc.ncbi.nlm.nih.gov/articles/PMC7159912/" TargetMode="External" /><Relationship Type="http://schemas.openxmlformats.org/officeDocument/2006/relationships/hyperlink" Id="rId25" Target="https://pmc.ncbi.nlm.nih.gov/articles/PMC7161969/" TargetMode="External" /><Relationship Type="http://schemas.openxmlformats.org/officeDocument/2006/relationships/hyperlink" Id="rId27" Target="https://pmc.ncbi.nlm.nih.gov/articles/PMC7220369/" TargetMode="External" /><Relationship Type="http://schemas.openxmlformats.org/officeDocument/2006/relationships/hyperlink" Id="rId54" Target="https://pmc.ncbi.nlm.nih.gov/articles/PMC8863835/" TargetMode="External" /><Relationship Type="http://schemas.openxmlformats.org/officeDocument/2006/relationships/hyperlink" Id="rId44" Target="https://proceedings.mlr.press/r3/spirtes01a/spirtes01a.pdf" TargetMode="External" /><Relationship Type="http://schemas.openxmlformats.org/officeDocument/2006/relationships/hyperlink" Id="rId61" Target="https://proceedings.mlr.press/v48/gal16.html" TargetMode="External" /><Relationship Type="http://schemas.openxmlformats.org/officeDocument/2006/relationships/hyperlink" Id="rId62" Target="https://proceedings.mlr.press/v70/guo17a.html" TargetMode="External" /><Relationship Type="http://schemas.openxmlformats.org/officeDocument/2006/relationships/hyperlink" Id="rId42" Target="https://proceedings.neurips.cc/paper_files/paper/2022/file/675e371eeeea99551ce47797ed6ed33e-Paper-Conference.pdf" TargetMode="External" /><Relationship Type="http://schemas.openxmlformats.org/officeDocument/2006/relationships/hyperlink" Id="rId43" Target="https://proceedings.neurips.cc/paper_files/paper/2023/file/c9d9659d1d960b53e8121469ef1f2df5-Paper-Conference.pdf" TargetMode="External" /><Relationship Type="http://schemas.openxmlformats.org/officeDocument/2006/relationships/hyperlink" Id="rId41" Target="https://projects.illc.uva.nl/cil/uploaded_files/inlineitem/Spirtes_Glymour_Scheines_2000_Causation_Prediction_.pdf" TargetMode="External" /><Relationship Type="http://schemas.openxmlformats.org/officeDocument/2006/relationships/hyperlink" Id="rId48" Target="https://sila-standard.com/standards/" TargetMode="External" /><Relationship Type="http://schemas.openxmlformats.org/officeDocument/2006/relationships/hyperlink" Id="rId65" Target="https://www.cs.ox.ac.uk/people/nando.defreitas/publications/BayesOptLoop.pdf" TargetMode="External" /><Relationship Type="http://schemas.openxmlformats.org/officeDocument/2006/relationships/hyperlink" Id="rId51" Target="https://www.emeraldcloudlab.com/documentation/" TargetMode="External" /><Relationship Type="http://schemas.openxmlformats.org/officeDocument/2006/relationships/hyperlink" Id="rId55" Target="https://www.nature.com/articles/s41586-023-06792-0" TargetMode="External" /><Relationship Type="http://schemas.openxmlformats.org/officeDocument/2006/relationships/hyperlink" Id="rId56" Target="https://www.nature.com/articles/s41586-024-08173-7" TargetMode="External" /><Relationship Type="http://schemas.openxmlformats.org/officeDocument/2006/relationships/hyperlink" Id="rId71" Target="https://www.pnas.org/doi/10.1073/pnas.1517384113" TargetMode="External" /><Relationship Type="http://schemas.openxmlformats.org/officeDocument/2006/relationships/hyperlink" Id="rId79" Target="https://www.rand.org/content/dam/rand/pubs/perspectives/PEA3800/PEA3851-1/RAND_PEA3851-1.pdf" TargetMode="External" /><Relationship Type="http://schemas.openxmlformats.org/officeDocument/2006/relationships/hyperlink" Id="rId38" Target="https://www.researchgate.net/publication/318917123_Active_Inference_Curiosity_and_Insight" TargetMode="External" /><Relationship Type="http://schemas.openxmlformats.org/officeDocument/2006/relationships/hyperlink" Id="rId69" Target="https://www.science.org/doi/10.1126/sciadv.aay2631" TargetMode="External" /><Relationship Type="http://schemas.openxmlformats.org/officeDocument/2006/relationships/hyperlink" Id="rId36" Target="https://www.sciencedirect.com/science/article/pii/S0022249620300857" TargetMode="External" /><Relationship Type="http://schemas.openxmlformats.org/officeDocument/2006/relationships/hyperlink" Id="rId52" Target="https://www.synthace.com/how-it-works" TargetMode="External" /></Relationships>
</file>

<file path=word/_rels/footnotes.xml.rels><?xml version="1.0" encoding="UTF-8"?><Relationships xmlns="http://schemas.openxmlformats.org/package/2006/relationships"><Relationship Type="http://schemas.openxmlformats.org/officeDocument/2006/relationships/hyperlink" Id="rId33" Target="https://arxiv.org/abs/0912.3995" TargetMode="External" /><Relationship Type="http://schemas.openxmlformats.org/officeDocument/2006/relationships/hyperlink" Id="rId60" Target="https://arxiv.org/abs/1612.01474" TargetMode="External" /><Relationship Type="http://schemas.openxmlformats.org/officeDocument/2006/relationships/hyperlink" Id="rId32" Target="https://arxiv.org/abs/1807.02811" TargetMode="External" /><Relationship Type="http://schemas.openxmlformats.org/officeDocument/2006/relationships/hyperlink" Id="rId63" Target="https://arxiv.org/abs/1910.02600" TargetMode="External" /><Relationship Type="http://schemas.openxmlformats.org/officeDocument/2006/relationships/hyperlink" Id="rId72" Target="https://arxiv.org/abs/2305.01582" TargetMode="External" /><Relationship Type="http://schemas.openxmlformats.org/officeDocument/2006/relationships/hyperlink" Id="rId26" Target="https://arxiv.org/abs/2408.06292" TargetMode="External" /><Relationship Type="http://schemas.openxmlformats.org/officeDocument/2006/relationships/hyperlink" Id="rId45" Target="https://arxiv.org/html/2412.01953v2" TargetMode="External" /><Relationship Type="http://schemas.openxmlformats.org/officeDocument/2006/relationships/hyperlink" Id="rId24" Target="https://arxiv.org/html/2510.23045v3" TargetMode="External" /><Relationship Type="http://schemas.openxmlformats.org/officeDocument/2006/relationships/hyperlink" Id="rId22" Target="https://arxiv.org/pdf/2302.14545" TargetMode="External" /><Relationship Type="http://schemas.openxmlformats.org/officeDocument/2006/relationships/hyperlink" Id="rId70" Target="https://cdanfort.w3.uvm.edu/courses/237/schmidt-lipson-2009.pdf" TargetMode="External" /><Relationship Type="http://schemas.openxmlformats.org/officeDocument/2006/relationships/hyperlink" Id="rId35" Target="https://chrismathys.com/wp-content/uploads/2015/05/Friston-et-al.-2015-Active-inference-and-epistemic-value.pdf" TargetMode="External" /><Relationship Type="http://schemas.openxmlformats.org/officeDocument/2006/relationships/hyperlink" Id="rId50" Target="https://docs.opentrons.com/flex/protocols/python-api/" TargetMode="External" /><Relationship Type="http://schemas.openxmlformats.org/officeDocument/2006/relationships/hyperlink" Id="rId49" Target="https://github.com/autoprotocol/autoprotocol-python" TargetMode="External" /><Relationship Type="http://schemas.openxmlformats.org/officeDocument/2006/relationships/hyperlink" Id="rId80" Target="https://journals.plos.org/ploscompbiol/article?id=10.1371%2Fjournal.pcbi.1012975" TargetMode="External" /><Relationship Type="http://schemas.openxmlformats.org/officeDocument/2006/relationships/hyperlink" Id="rId66" Target="https://par.nsf.gov/servlets/purl/10291410" TargetMode="External" /><Relationship Type="http://schemas.openxmlformats.org/officeDocument/2006/relationships/hyperlink" Id="rId28" Target="https://pmc.ncbi.nlm.nih.gov/articles/PMC11074949/" TargetMode="External" /><Relationship Type="http://schemas.openxmlformats.org/officeDocument/2006/relationships/hyperlink" Id="rId21" Target="https://pmc.ncbi.nlm.nih.gov/articles/PMC12368842/" TargetMode="External" /><Relationship Type="http://schemas.openxmlformats.org/officeDocument/2006/relationships/hyperlink" Id="rId74" Target="https://pmc.ncbi.nlm.nih.gov/articles/PMC7159912/" TargetMode="External" /><Relationship Type="http://schemas.openxmlformats.org/officeDocument/2006/relationships/hyperlink" Id="rId25" Target="https://pmc.ncbi.nlm.nih.gov/articles/PMC7161969/" TargetMode="External" /><Relationship Type="http://schemas.openxmlformats.org/officeDocument/2006/relationships/hyperlink" Id="rId27" Target="https://pmc.ncbi.nlm.nih.gov/articles/PMC7220369/" TargetMode="External" /><Relationship Type="http://schemas.openxmlformats.org/officeDocument/2006/relationships/hyperlink" Id="rId54" Target="https://pmc.ncbi.nlm.nih.gov/articles/PMC8863835/" TargetMode="External" /><Relationship Type="http://schemas.openxmlformats.org/officeDocument/2006/relationships/hyperlink" Id="rId44" Target="https://proceedings.mlr.press/r3/spirtes01a/spirtes01a.pdf" TargetMode="External" /><Relationship Type="http://schemas.openxmlformats.org/officeDocument/2006/relationships/hyperlink" Id="rId61" Target="https://proceedings.mlr.press/v48/gal16.html" TargetMode="External" /><Relationship Type="http://schemas.openxmlformats.org/officeDocument/2006/relationships/hyperlink" Id="rId62" Target="https://proceedings.mlr.press/v70/guo17a.html" TargetMode="External" /><Relationship Type="http://schemas.openxmlformats.org/officeDocument/2006/relationships/hyperlink" Id="rId42" Target="https://proceedings.neurips.cc/paper_files/paper/2022/file/675e371eeeea99551ce47797ed6ed33e-Paper-Conference.pdf" TargetMode="External" /><Relationship Type="http://schemas.openxmlformats.org/officeDocument/2006/relationships/hyperlink" Id="rId43" Target="https://proceedings.neurips.cc/paper_files/paper/2023/file/c9d9659d1d960b53e8121469ef1f2df5-Paper-Conference.pdf" TargetMode="External" /><Relationship Type="http://schemas.openxmlformats.org/officeDocument/2006/relationships/hyperlink" Id="rId41" Target="https://projects.illc.uva.nl/cil/uploaded_files/inlineitem/Spirtes_Glymour_Scheines_2000_Causation_Prediction_.pdf" TargetMode="External" /><Relationship Type="http://schemas.openxmlformats.org/officeDocument/2006/relationships/hyperlink" Id="rId48" Target="https://sila-standard.com/standards/" TargetMode="External" /><Relationship Type="http://schemas.openxmlformats.org/officeDocument/2006/relationships/hyperlink" Id="rId65" Target="https://www.cs.ox.ac.uk/people/nando.defreitas/publications/BayesOptLoop.pdf" TargetMode="External" /><Relationship Type="http://schemas.openxmlformats.org/officeDocument/2006/relationships/hyperlink" Id="rId51" Target="https://www.emeraldcloudlab.com/documentation/" TargetMode="External" /><Relationship Type="http://schemas.openxmlformats.org/officeDocument/2006/relationships/hyperlink" Id="rId55" Target="https://www.nature.com/articles/s41586-023-06792-0" TargetMode="External" /><Relationship Type="http://schemas.openxmlformats.org/officeDocument/2006/relationships/hyperlink" Id="rId56" Target="https://www.nature.com/articles/s41586-024-08173-7" TargetMode="External" /><Relationship Type="http://schemas.openxmlformats.org/officeDocument/2006/relationships/hyperlink" Id="rId71" Target="https://www.pnas.org/doi/10.1073/pnas.1517384113" TargetMode="External" /><Relationship Type="http://schemas.openxmlformats.org/officeDocument/2006/relationships/hyperlink" Id="rId79" Target="https://www.rand.org/content/dam/rand/pubs/perspectives/PEA3800/PEA3851-1/RAND_PEA3851-1.pdf" TargetMode="External" /><Relationship Type="http://schemas.openxmlformats.org/officeDocument/2006/relationships/hyperlink" Id="rId38" Target="https://www.researchgate.net/publication/318917123_Active_Inference_Curiosity_and_Insight" TargetMode="External" /><Relationship Type="http://schemas.openxmlformats.org/officeDocument/2006/relationships/hyperlink" Id="rId69" Target="https://www.science.org/doi/10.1126/sciadv.aay2631" TargetMode="External" /><Relationship Type="http://schemas.openxmlformats.org/officeDocument/2006/relationships/hyperlink" Id="rId36" Target="https://www.sciencedirect.com/science/article/pii/S0022249620300857" TargetMode="External" /><Relationship Type="http://schemas.openxmlformats.org/officeDocument/2006/relationships/hyperlink" Id="rId52" Target="https://www.synthace.com/how-it-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2026-02-11T05:48:14Z</dcterms:created>
  <dcterms:modified xsi:type="dcterms:W3CDTF">2026-02-11T05:48:14Z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