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sz w:val="40"/>
        </w:rPr>
        <w:t>Dicionário de Dados</w:t>
      </w:r>
    </w:p>
    <w:p>
      <w:pPr>
        <w:spacing w:before="0" w:after="80"/>
        <w:jc w:val="center"/>
      </w:pPr>
      <w:r>
        <w:rPr>
          <w:b w:val="0"/>
          <w:i/>
          <w:color w:val="64748B"/>
          <w:sz w:val="26"/>
        </w:rPr>
        <w:t>IEEE-CIS Fraud Detection Dataset</w:t>
      </w:r>
    </w:p>
    <w:p>
      <w:pPr>
        <w:spacing w:before="0" w:after="480"/>
        <w:jc w:val="center"/>
      </w:pPr>
      <w:r>
        <w:rPr>
          <w:b w:val="0"/>
          <w:i w:val="0"/>
          <w:color w:val="94A3B8"/>
          <w:sz w:val="20"/>
        </w:rPr>
        <w:t>TCC — Sistema Híbrido de Detecção de Fraudes com ML + RAG</w:t>
      </w:r>
    </w:p>
    <w:p>
      <w:pPr>
        <w:spacing w:before="0" w:after="120"/>
        <w:jc w:val="left"/>
      </w:pPr>
      <w:r>
        <w:rPr>
          <w:b/>
          <w:i w:val="0"/>
          <w:sz w:val="26"/>
        </w:rPr>
        <w:t>Visão Geral do Dataset</w:t>
      </w:r>
    </w:p>
    <w:p>
      <w:pPr>
        <w:spacing w:before="0" w:after="320"/>
      </w:pPr>
      <w:r>
        <w:rPr>
          <w:sz w:val="20"/>
        </w:rPr>
        <w:t>O dataset IEEE-CIS Fraud Detection é composto por duas tabelas que devem ser unidas pela coluna TransactionID usando um left join (nem toda transação tem registro de identidade).</w:t>
        <w:br/>
        <w:br/>
        <w:t>• train_transaction.csv — 590.540 linhas × 394 colunas</w:t>
        <w:br/>
        <w:t xml:space="preserve">  Contém dados da transação em si: valor, cartão, endereço, e-mail e as features   dos grupos C, D, M e V.</w:t>
        <w:br/>
        <w:br/>
        <w:t>• train_identity.csv — 144.233 linhas × 41 colunas</w:t>
        <w:br/>
        <w:t xml:space="preserve">  Contém dados sobre o dispositivo e identidade digital do usuário.   Presente em 24,4% das transações de treino.</w:t>
        <w:br/>
        <w:br/>
        <w:t>• Taxa de fraude: 3,5% (20.663 fraudes de 590.540 transações)</w:t>
        <w:br/>
        <w:t>• Período coberto: 6 meses (inferido pelos valores de TransactionDT)</w:t>
        <w:br/>
        <w:t>• Fonte: Vesta Corporation — empresa de serviços de garantia de pagamento</w:t>
      </w:r>
    </w:p>
    <w:p>
      <w:pPr>
        <w:spacing w:before="0" w:after="160"/>
        <w:jc w:val="left"/>
      </w:pPr>
      <w:r>
        <w:rPr>
          <w:b/>
          <w:i w:val="0"/>
          <w:sz w:val="26"/>
        </w:rPr>
        <w:t>Descrição das Colunas por Grupo</w:t>
      </w:r>
    </w:p>
    <w:p>
      <w:pPr>
        <w:spacing w:before="280" w:after="80"/>
        <w:shd w:val="clear" w:color="auto" w:fill="7C3AED"/>
      </w:pPr>
      <w:r>
        <w:rPr>
          <w:b/>
          <w:color w:val="FFFFFF"/>
          <w:sz w:val="24"/>
        </w:rPr>
        <w:t xml:space="preserve">  Variável Alvo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A única coluna que o modelo deve prever. Fortemente desbalanceada: ~96,5% são legítimas e ~3,5% são fraudes.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7C3AE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7C3AED"/>
                <w:sz w:val="18"/>
              </w:rPr>
              <w:t>isFraud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0 ou 1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Rótulo binário fornecido pela competição: 0 = classe negativa | 1 = classe de fraude. Não equivale a decisão jurídica sobre Pix e nunca deve ser usado como feature de entrada.</w:t>
            </w:r>
          </w:p>
        </w:tc>
      </w:tr>
    </w:tbl>
    <w:p/>
    <w:p>
      <w:pPr>
        <w:spacing w:before="280" w:after="80"/>
        <w:shd w:val="clear" w:color="auto" w:fill="059669"/>
      </w:pPr>
      <w:r>
        <w:rPr>
          <w:b/>
          <w:color w:val="FFFFFF"/>
          <w:sz w:val="24"/>
        </w:rPr>
        <w:t xml:space="preserve">  Identificadores e Tempo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Colunas de controle. TransactionDT não é um timestamp real — é um contador em segundos a partir de uma data de referência não divulgada pela Vesta.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059669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059669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val="clear" w:color="auto" w:fill="059669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059669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059669"/>
                <w:sz w:val="18"/>
              </w:rPr>
              <w:t>TransactionID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Ex: 2987000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Chave primária. Usado para fazer o join com train_identity.csv.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59669"/>
                <w:sz w:val="18"/>
              </w:rPr>
              <w:t>TransactionDT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Ex: 86400 (= 1 dia)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Segundos decorridos desde uma referência não divulgada. O módulo por 86400 indica posição relativa no ciclo diário; não deve ser chamado de hora local sem data-base e fuso.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059669"/>
                <w:sz w:val="18"/>
              </w:rPr>
              <w:t>TransactionAmt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Ex: 31.95, 117.00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Valor de pagamento da transação no domínio original. Analisar a distribuição e os valores extremos sem presumir padrão causal.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59669"/>
                <w:sz w:val="18"/>
              </w:rPr>
              <w:t>ProductCD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W, H, C, S, R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Código de produto. O significado dos códigos não foi divulgado; eventuais associações com o alvo precisam ser medidas no treino.</w:t>
            </w:r>
          </w:p>
        </w:tc>
      </w:tr>
    </w:tbl>
    <w:p/>
    <w:p>
      <w:pPr>
        <w:spacing w:before="280" w:after="80"/>
        <w:shd w:val="clear" w:color="auto" w:fill="0E7AFF"/>
      </w:pPr>
      <w:r>
        <w:rPr>
          <w:b/>
          <w:color w:val="FFFFFF"/>
          <w:sz w:val="24"/>
        </w:rPr>
        <w:t xml:space="preserve">  Informações do Cartão (card1–card6)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Informações do cartão no domínio original. card4 e card6 têm categorias legíveis; o significado individual de card1, card2, card3 e card5 não foi publicado.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0E7AF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0E7AF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val="clear" w:color="auto" w:fill="0E7AF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0E7AF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0E7AFF"/>
                <w:sz w:val="18"/>
              </w:rPr>
              <w:t>card1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Ex: 4150, 9500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Atributo codificado de cartão com alta cardinalidade. O significado exato não foi divulgado.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E7AFF"/>
                <w:sz w:val="18"/>
              </w:rPr>
              <w:t>card2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Ex: 111, 360, 555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Atributo adicional do cartão (codificado). Muitos valores nulos.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0E7AFF"/>
                <w:sz w:val="18"/>
              </w:rPr>
              <w:t>card3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Ex: 150, 185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Atributo adicional do cartão (codificado).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E7AFF"/>
                <w:sz w:val="18"/>
              </w:rPr>
              <w:t>card4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visa, mastercard, american express, discover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Rede/bandeira do cartão no domínio original.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0E7AFF"/>
                <w:sz w:val="18"/>
              </w:rPr>
              <w:t>card5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Ex: 101, 145, 226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Atributo adicional do cartão (codificado).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E7AFF"/>
                <w:sz w:val="18"/>
              </w:rPr>
              <w:t>card6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debit, credit, debit or credit, charge card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Tipo do cartão no domínio original.</w:t>
            </w:r>
          </w:p>
        </w:tc>
      </w:tr>
    </w:tbl>
    <w:p/>
    <w:p>
      <w:pPr>
        <w:spacing w:before="280" w:after="80"/>
        <w:shd w:val="clear" w:color="auto" w:fill="F59E0B"/>
      </w:pPr>
      <w:r>
        <w:rPr>
          <w:b/>
          <w:color w:val="1E293B"/>
          <w:sz w:val="24"/>
        </w:rPr>
        <w:t xml:space="preserve">  Endereço (addr1, addr2)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Endereço associado à transação. Ambas as colunas são numéricas codificadas — não representam texto de endereço.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F59E0B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F59E0B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Tipo</w:t>
            </w:r>
          </w:p>
        </w:tc>
        <w:tc>
          <w:tcPr>
            <w:tcW w:type="dxa" w:w="1701"/>
            <w:shd w:val="clear" w:color="auto" w:fill="F59E0B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F59E0B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F59E0B"/>
                <w:sz w:val="18"/>
              </w:rPr>
              <w:t>addr1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Ex: 299, 325, 204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Região de cobrança codificada numericamente.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F59E0B"/>
                <w:sz w:val="18"/>
              </w:rPr>
              <w:t>addr2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Ex: 87, 96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País de cobrança codificado numericamente.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F59E0B"/>
                <w:sz w:val="18"/>
              </w:rPr>
              <w:t>dist1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Ex: 0, 9, 298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Uma das medidas de distância fornecidas no domínio original; definição detalhada não publicada.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F59E0B"/>
                <w:sz w:val="18"/>
              </w:rPr>
              <w:t>dist2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Ex: 0, 65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Segunda medida de distância; definição detalhada não publicada e alta presença de nulos.</w:t>
            </w:r>
          </w:p>
        </w:tc>
      </w:tr>
    </w:tbl>
    <w:p/>
    <w:p>
      <w:pPr>
        <w:spacing w:before="280" w:after="80"/>
        <w:shd w:val="clear" w:color="auto" w:fill="EF4444"/>
      </w:pPr>
      <w:r>
        <w:rPr>
          <w:b/>
          <w:color w:val="FFFFFF"/>
          <w:sz w:val="24"/>
        </w:rPr>
        <w:t xml:space="preserve">  E-mail (P_emaildomain, R_emaildomain)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Domínios de e-mail do comprador (P = purchaser) e do destinatário (R = recipient). Qualquer associação com o alvo deve ser medida, não presumida.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EF4444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EF4444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val="clear" w:color="auto" w:fill="EF4444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EF4444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EF4444"/>
                <w:sz w:val="18"/>
              </w:rPr>
              <w:t>P_emaildomain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gmail.com, yahoo.com, hotmail.com…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Domínio do e-mail de quem comprou no domínio original.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EF4444"/>
                <w:sz w:val="18"/>
              </w:rPr>
              <w:t>R_emaildomain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gmail.com, anonymous.com…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Domínio do e-mail do destinatário no domínio original.</w:t>
            </w:r>
          </w:p>
        </w:tc>
      </w:tr>
    </w:tbl>
    <w:p/>
    <w:p>
      <w:pPr>
        <w:spacing w:before="280" w:after="80"/>
        <w:shd w:val="clear" w:color="auto" w:fill="06B6D4"/>
      </w:pPr>
      <w:r>
        <w:rPr>
          <w:b/>
          <w:color w:val="1E293B"/>
          <w:sz w:val="24"/>
        </w:rPr>
        <w:t xml:space="preserve">  Grupo C — Variáveis de Contagem (C1–C14)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Grupo descrito oficialmente como contagens. O evento contado por cada coluna não foi divulgado. Interpretações da comunidade são hipóteses e não devem ser apresentadas como dicionário factual ou equivalência com sinais Pix.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06B6D4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06B6D4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Tipo</w:t>
            </w:r>
          </w:p>
        </w:tc>
        <w:tc>
          <w:tcPr>
            <w:tcW w:type="dxa" w:w="1701"/>
            <w:shd w:val="clear" w:color="auto" w:fill="06B6D4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06B6D4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06B6D4"/>
                <w:sz w:val="18"/>
              </w:rPr>
              <w:t>C1–C14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contagens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14 atributos de contagem anonimizados; semântica individual não publicada.</w:t>
            </w:r>
          </w:p>
        </w:tc>
      </w:tr>
    </w:tbl>
    <w:p/>
    <w:p>
      <w:pPr>
        <w:spacing w:before="280" w:after="80"/>
        <w:shd w:val="clear" w:color="auto" w:fill="84CC16"/>
      </w:pPr>
      <w:r>
        <w:rPr>
          <w:b/>
          <w:color w:val="1E293B"/>
          <w:sz w:val="24"/>
        </w:rPr>
        <w:t xml:space="preserve">  Grupo D — Variáveis de Tempo (D1–D15)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Grupo descrito oficialmente como deltas temporais. Os eventos de origem e destino de cada delta não foram publicados. Importância e associação com o alvo dependem do experimento.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84CC1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84CC1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Tipo</w:t>
            </w:r>
          </w:p>
        </w:tc>
        <w:tc>
          <w:tcPr>
            <w:tcW w:type="dxa" w:w="1701"/>
            <w:shd w:val="clear" w:color="auto" w:fill="84CC1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84CC1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84CC16"/>
                <w:sz w:val="18"/>
              </w:rPr>
              <w:t>D1–D15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deltas temporais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15 atributos temporais anonimizados; semântica individual não publicada.</w:t>
            </w:r>
          </w:p>
        </w:tc>
      </w:tr>
    </w:tbl>
    <w:p/>
    <w:p>
      <w:pPr>
        <w:spacing w:before="280" w:after="80"/>
        <w:shd w:val="clear" w:color="auto" w:fill="F97316"/>
      </w:pPr>
      <w:r>
        <w:rPr>
          <w:b/>
          <w:color w:val="1E293B"/>
          <w:sz w:val="24"/>
        </w:rPr>
        <w:t xml:space="preserve">  Grupo M — Variáveis de Match (M1–M9)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Indicadores de correspondência (match) do domínio original. A variável M4 possui categorias próprias; as demais aparecem como T/F/ausente. O significado individual não foi publicado.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F9731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F9731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Tipo</w:t>
            </w:r>
          </w:p>
        </w:tc>
        <w:tc>
          <w:tcPr>
            <w:tcW w:type="dxa" w:w="1701"/>
            <w:shd w:val="clear" w:color="auto" w:fill="F9731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F9731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F97316"/>
                <w:sz w:val="18"/>
              </w:rPr>
              <w:t>M1–M3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T, F, NaN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Indicadores de match anonimizados.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F97316"/>
                <w:sz w:val="18"/>
              </w:rPr>
              <w:t>M4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M0–M6, NaN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Indicador categórico de match com significado não publicado.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F97316"/>
                <w:sz w:val="18"/>
              </w:rPr>
              <w:t>M5–M9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T, F, NaN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Indicadores de match anonimizados.</w:t>
            </w:r>
          </w:p>
        </w:tc>
      </w:tr>
    </w:tbl>
    <w:p/>
    <w:p>
      <w:pPr>
        <w:spacing w:before="280" w:after="80"/>
        <w:shd w:val="clear" w:color="auto" w:fill="6B7280"/>
      </w:pPr>
      <w:r>
        <w:rPr>
          <w:b/>
          <w:color w:val="FFFFFF"/>
          <w:sz w:val="24"/>
        </w:rPr>
        <w:t xml:space="preserve">  Grupo V — Features Vesta (V1–V339)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train_transaction.csv</w:t>
      </w:r>
    </w:p>
    <w:p>
      <w:pPr>
        <w:spacing w:before="0" w:after="160"/>
      </w:pPr>
      <w:r>
        <w:rPr>
          <w:i/>
          <w:sz w:val="20"/>
        </w:rPr>
        <w:t>339 atributos numéricos engenheirados pela Vesta e anonimizados. A competição não publicou agrupamentos semânticos por faixa. Nulos e distribuição devem ser medidos coluna a coluna no EDA.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6B728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6B728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val="clear" w:color="auto" w:fill="6B728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6B728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6B7280"/>
                <w:sz w:val="18"/>
              </w:rPr>
              <w:t>V1–V339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valores numéricos e NaN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Atributos Vesta anonimizados; semântica individual e por faixa não publicada.</w:t>
            </w:r>
          </w:p>
        </w:tc>
      </w:tr>
    </w:tbl>
    <w:p/>
    <w:p>
      <w:pPr>
        <w:spacing w:before="280" w:after="80"/>
        <w:shd w:val="clear" w:color="auto" w:fill="EC4899"/>
      </w:pPr>
      <w:r>
        <w:rPr>
          <w:b/>
          <w:color w:val="1E293B"/>
          <w:sz w:val="24"/>
        </w:rPr>
        <w:t xml:space="preserve">  Identidade (id_01–id_38)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train_identity.csv</w:t>
      </w:r>
    </w:p>
    <w:p>
      <w:pPr>
        <w:spacing w:before="0" w:after="160"/>
      </w:pPr>
      <w:r>
        <w:rPr>
          <w:i/>
          <w:sz w:val="20"/>
        </w:rPr>
        <w:t>Atributos de identidade, rede e assinatura digital do domínio original. No treino, existem para 144.233 de 590.540 transações (24,4%). A competição não publicou o significado individual de id_01 a id_38.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EC4899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EC4899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Tipo</w:t>
            </w:r>
          </w:p>
        </w:tc>
        <w:tc>
          <w:tcPr>
            <w:tcW w:type="dxa" w:w="1701"/>
            <w:shd w:val="clear" w:color="auto" w:fill="EC4899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EC4899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EC4899"/>
                <w:sz w:val="18"/>
              </w:rPr>
              <w:t>id_01–id_11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numérico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valores e NaN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Atributos numéricos anonimizados; definição individual não publicada.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EC4899"/>
                <w:sz w:val="18"/>
              </w:rPr>
              <w:t>id_12–id_38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categórico/numérico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categorias, valores e NaN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Atributos anonimizados; preservar nomes e não inferir significado individual.</w:t>
            </w:r>
          </w:p>
        </w:tc>
      </w:tr>
    </w:tbl>
    <w:p/>
    <w:p>
      <w:pPr>
        <w:spacing w:before="280" w:after="80"/>
        <w:shd w:val="clear" w:color="auto" w:fill="14B8A6"/>
      </w:pPr>
      <w:r>
        <w:rPr>
          <w:b/>
          <w:color w:val="1E293B"/>
          <w:sz w:val="24"/>
        </w:rPr>
        <w:t xml:space="preserve">  Dispositivo (DeviceType, DeviceInfo)</w:t>
      </w:r>
    </w:p>
    <w:p>
      <w:pPr>
        <w:spacing w:before="0" w:after="80"/>
      </w:pPr>
      <w:r>
        <w:rPr>
          <w:i/>
          <w:color w:val="64748B"/>
          <w:sz w:val="18"/>
        </w:rPr>
        <w:t xml:space="preserve">  Arquivo: train_identity.csv</w:t>
      </w:r>
    </w:p>
    <w:p>
      <w:pPr>
        <w:spacing w:before="0" w:after="160"/>
      </w:pPr>
      <w:r>
        <w:rPr>
          <w:i/>
          <w:sz w:val="20"/>
        </w:rPr>
        <w:t>Informações diretas sobre o dispositivo usado na transação.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14B8A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Coluna</w:t>
            </w:r>
          </w:p>
        </w:tc>
        <w:tc>
          <w:tcPr>
            <w:tcW w:type="dxa" w:w="907"/>
            <w:shd w:val="clear" w:color="auto" w:fill="14B8A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Tipo</w:t>
            </w:r>
          </w:p>
        </w:tc>
        <w:tc>
          <w:tcPr>
            <w:tcW w:type="dxa" w:w="1701"/>
            <w:shd w:val="clear" w:color="auto" w:fill="14B8A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Valores exemplo</w:t>
            </w:r>
          </w:p>
        </w:tc>
        <w:tc>
          <w:tcPr>
            <w:tcW w:type="dxa" w:w="4989"/>
            <w:shd w:val="clear" w:color="auto" w:fill="14B8A6"/>
          </w:tcPr>
          <w:p>
            <w:pPr>
              <w:spacing w:before="60" w:after="60"/>
            </w:pPr>
            <w:r>
              <w:rPr>
                <w:b/>
                <w:color w:val="1E293B"/>
                <w:sz w:val="18"/>
              </w:rPr>
              <w:t>Descrição</w:t>
            </w:r>
          </w:p>
        </w:tc>
      </w:tr>
      <w:tr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b/>
                <w:color w:val="14B8A6"/>
                <w:sz w:val="18"/>
              </w:rPr>
              <w:t>DeviceType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desktop, mobile</w:t>
            </w:r>
          </w:p>
        </w:tc>
        <w:tc>
          <w:tcPr>
            <w:tcW w:type="dxa" w:w="2422"/>
            <w:shd w:val="clear" w:color="auto" w:fill="F8F9FC"/>
          </w:tcPr>
          <w:p>
            <w:pPr>
              <w:spacing w:before="40" w:after="40"/>
            </w:pPr>
            <w:r>
              <w:rPr>
                <w:sz w:val="18"/>
              </w:rPr>
              <w:t>Tipo do dispositivo no domínio original. Associação com o alvo deve ser medida.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4B8A6"/>
                <w:sz w:val="18"/>
              </w:rPr>
              <w:t>DeviceInfo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Ex: Windows, iOS Device, Samsung…</w:t>
            </w:r>
          </w:p>
        </w:tc>
        <w:tc>
          <w:tcPr>
            <w:tcW w:type="dxa" w:w="242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Informação textual do dispositivo. Tem alta cardinalidade e valores ausentes; qualquer agrupamento precisa de regra documentada.</w:t>
            </w:r>
          </w:p>
        </w:tc>
      </w:tr>
    </w:tbl>
    <w:p/>
    <w:p>
      <w:r>
        <w:br w:type="page"/>
      </w:r>
    </w:p>
    <w:p>
      <w:pPr>
        <w:spacing w:before="0" w:after="160"/>
        <w:jc w:val="left"/>
      </w:pPr>
      <w:r>
        <w:rPr>
          <w:b/>
          <w:i w:val="0"/>
          <w:sz w:val="26"/>
        </w:rPr>
        <w:t>Notas Importantes para o TCC</w:t>
      </w:r>
    </w:p>
    <w:p>
      <w:pPr>
        <w:spacing w:before="0" w:after="160"/>
      </w:pPr>
      <w:r>
        <w:rPr>
          <w:b/>
          <w:sz w:val="20"/>
        </w:rPr>
        <w:t xml:space="preserve">⚠ Colunas V1–V339 são anônimas: </w:t>
      </w:r>
      <w:r>
        <w:rPr>
          <w:sz w:val="20"/>
        </w:rPr>
        <w:t>A Vesta não divulgou o significado dessas features. Use análise de importância (SHAP) para identificar quais são relevantes. Não tente interpretar individualmente.</w:t>
      </w:r>
    </w:p>
    <w:p>
      <w:pPr>
        <w:spacing w:before="0" w:after="160"/>
      </w:pPr>
      <w:r>
        <w:rPr>
          <w:b/>
          <w:sz w:val="20"/>
        </w:rPr>
        <w:t xml:space="preserve">⚠ Muitos nulos não são necessariamente erro: </w:t>
      </w:r>
      <w:r>
        <w:rPr>
          <w:sz w:val="20"/>
        </w:rPr>
        <w:t>A ausência pode refletir o processo de coleta. Meça por coluna e valide se indicadores de ausência ajudam sem causar vazamento; não presuma a causa do nulo.</w:t>
      </w:r>
    </w:p>
    <w:p>
      <w:pPr>
        <w:spacing w:before="0" w:after="160"/>
      </w:pPr>
      <w:r>
        <w:rPr>
          <w:b/>
          <w:sz w:val="20"/>
        </w:rPr>
        <w:t xml:space="preserve">⚠ TransactionDT não é hora real: </w:t>
      </w:r>
      <w:r>
        <w:rPr>
          <w:sz w:val="20"/>
        </w:rPr>
        <w:t>O módulo por 86400 permite uma posição cíclica relativa, mas a data-base e o fuso não foram divulgados. Não chame o resultado de hora local.</w:t>
      </w:r>
    </w:p>
    <w:p>
      <w:pPr>
        <w:spacing w:before="0" w:after="160"/>
      </w:pPr>
      <w:r>
        <w:rPr>
          <w:b/>
          <w:sz w:val="20"/>
        </w:rPr>
        <w:t xml:space="preserve">⚠ train_identity.csv cobre 24,4% do treino: </w:t>
      </w:r>
      <w:r>
        <w:rPr>
          <w:sz w:val="20"/>
        </w:rPr>
        <w:t>Após o left join, as colunas id_ e Device* ficam ausentes nas demais transações. Imputação e indicadores devem ser ajustados apenas no treino.</w:t>
      </w:r>
    </w:p>
    <w:p>
      <w:pPr>
        <w:spacing w:before="0" w:after="160"/>
      </w:pPr>
      <w:r>
        <w:rPr>
          <w:b/>
          <w:sz w:val="20"/>
        </w:rPr>
        <w:t xml:space="preserve">⚠ card1–card5 têm alta cardinalidade: </w:t>
      </w:r>
      <w:r>
        <w:rPr>
          <w:sz w:val="20"/>
        </w:rPr>
        <w:t>Avalie codificação e memória. Se usar target encoding, calcule-o dentro das partições de treino para evitar vazamento do alvo.</w:t>
      </w:r>
    </w:p>
    <w:p>
      <w:pPr>
        <w:spacing w:before="0" w:after="160"/>
      </w:pPr>
      <w:r>
        <w:rPr>
          <w:b/>
          <w:sz w:val="20"/>
        </w:rPr>
        <w:t xml:space="preserve">⚠ Colunas anônimas não ganham significado com SHAP: </w:t>
      </w:r>
      <w:r>
        <w:rPr>
          <w:sz w:val="20"/>
        </w:rPr>
        <w:t>SHAP mede contribuição para a previsão. Não converta C*, D*, M*, V* ou id_* em conceitos Pix sem atributo derivado, definição e validação.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