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40"/>
        </w:rPr>
        <w:t>Dicionário de Dados</w:t>
      </w:r>
    </w:p>
    <w:p>
      <w:pPr>
        <w:spacing w:before="0" w:after="80"/>
        <w:jc w:val="center"/>
      </w:pPr>
      <w:r>
        <w:rPr>
          <w:b w:val="0"/>
          <w:i/>
          <w:color w:val="64748B"/>
          <w:sz w:val="26"/>
        </w:rPr>
        <w:t>IEEE-CIS Fraud Detection Dataset</w:t>
      </w:r>
    </w:p>
    <w:p>
      <w:pPr>
        <w:spacing w:before="0" w:after="480"/>
        <w:jc w:val="center"/>
      </w:pPr>
      <w:r>
        <w:rPr>
          <w:b w:val="0"/>
          <w:i w:val="0"/>
          <w:color w:val="94A3B8"/>
          <w:sz w:val="20"/>
        </w:rPr>
        <w:t>TCC — Sistema Híbrido de Detecção de Fraudes com ML + RAG</w:t>
      </w:r>
    </w:p>
    <w:p>
      <w:pPr>
        <w:spacing w:before="0" w:after="120"/>
        <w:jc w:val="left"/>
      </w:pPr>
      <w:r>
        <w:rPr>
          <w:b/>
          <w:i w:val="0"/>
          <w:sz w:val="26"/>
        </w:rPr>
        <w:t>Visão Geral do Dataset</w:t>
      </w:r>
    </w:p>
    <w:p>
      <w:pPr>
        <w:spacing w:before="0" w:after="320"/>
      </w:pPr>
      <w:r>
        <w:rPr>
          <w:sz w:val="20"/>
        </w:rPr>
        <w:t>O dataset IEEE-CIS Fraud Detection é composto por duas tabelas que devem ser unidas pela coluna TransactionID usando um left join (nem toda transação tem registro de identidade).</w:t>
        <w:br/>
        <w:br/>
        <w:t>• train_transaction.csv — 590.540 linhas × 394 colunas</w:t>
        <w:br/>
        <w:t xml:space="preserve">  Contém dados da transação em si: valor, cartão, endereço, e-mail e as features   dos grupos C, D, M e V.</w:t>
        <w:br/>
        <w:br/>
        <w:t>• train_identity.csv — 144.233 linhas × 41 colunas</w:t>
        <w:br/>
        <w:t xml:space="preserve">  Contém dados sobre o dispositivo e identidade digital do usuário.   Presente em ~60% das transações.</w:t>
        <w:br/>
        <w:br/>
        <w:t>• Taxa de fraude: 3,5% (20.663 fraudes de 590.540 transações)</w:t>
        <w:br/>
        <w:t>• Período coberto: 6 meses (inferido pelos valores de TransactionDT)</w:t>
        <w:br/>
        <w:t>• Fonte: Vesta Corporation — empresa de serviços de garantia de pagamento</w:t>
      </w:r>
    </w:p>
    <w:p>
      <w:pPr>
        <w:spacing w:before="0" w:after="160"/>
        <w:jc w:val="left"/>
      </w:pPr>
      <w:r>
        <w:rPr>
          <w:b/>
          <w:i w:val="0"/>
          <w:sz w:val="26"/>
        </w:rPr>
        <w:t>Descrição das Colunas por Grupo</w:t>
      </w:r>
    </w:p>
    <w:p>
      <w:pPr>
        <w:spacing w:before="280" w:after="80"/>
        <w:shd w:val="clear" w:color="auto" w:fill="7C3AED"/>
      </w:pPr>
      <w:r>
        <w:rPr>
          <w:b/>
          <w:color w:val="FFFFFF"/>
          <w:sz w:val="24"/>
        </w:rPr>
        <w:t xml:space="preserve">  Variável Alvo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train_transaction.csv</w:t>
      </w:r>
    </w:p>
    <w:p>
      <w:pPr>
        <w:spacing w:before="0" w:after="160"/>
      </w:pPr>
      <w:r>
        <w:rPr>
          <w:i/>
          <w:sz w:val="20"/>
        </w:rPr>
        <w:t>A única coluna que o modelo deve prever. Fortemente desbalanceada: ~96,5% são legítimas e ~3,5% são fraudes.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7C3AED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7C3AED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701"/>
            <w:shd w:val="clear" w:color="auto" w:fill="7C3AED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7C3AED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7C3AED"/>
                <w:sz w:val="18"/>
              </w:rPr>
              <w:t>isFraud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int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 ou 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 = transação legítima | 1 = fraude confirmada. Variável alvo do projeto. Nunca use como feature de entrada.</w:t>
            </w:r>
          </w:p>
        </w:tc>
      </w:tr>
    </w:tbl>
    <w:p/>
    <w:p>
      <w:pPr>
        <w:spacing w:before="280" w:after="80"/>
        <w:shd w:val="clear" w:color="auto" w:fill="059669"/>
      </w:pPr>
      <w:r>
        <w:rPr>
          <w:b/>
          <w:color w:val="FFFFFF"/>
          <w:sz w:val="24"/>
        </w:rPr>
        <w:t xml:space="preserve">  Identificadores e Tempo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train_transaction.csv</w:t>
      </w:r>
    </w:p>
    <w:p>
      <w:pPr>
        <w:spacing w:before="0" w:after="160"/>
      </w:pPr>
      <w:r>
        <w:rPr>
          <w:i/>
          <w:sz w:val="20"/>
        </w:rPr>
        <w:t>Colunas de controle. TransactionDT não é um timestamp real — é um contador em segundos a partir de uma data de referência não divulgada pela Vesta.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059669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059669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701"/>
            <w:shd w:val="clear" w:color="auto" w:fill="059669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059669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59669"/>
                <w:sz w:val="18"/>
              </w:rPr>
              <w:t>TransactionID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int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Ex: 2987000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Chave primária. Usado para fazer o join com train_identity.csv.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59669"/>
                <w:sz w:val="18"/>
              </w:rPr>
              <w:t>TransactionDT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int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Ex: 86400 (= 1 dia)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Segundos decorridos desde uma data-base secreta. Para extrair dia da semana e hora, use: dt % 86400 // 3600 = hora do dia.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59669"/>
                <w:sz w:val="18"/>
              </w:rPr>
              <w:t>TransactionAmt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Ex: 31.95, 117.00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Valor da transação em dólares (USD). Fraudes tendem a ter valores específicos — analise a distribuição com escala log.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59669"/>
                <w:sz w:val="18"/>
              </w:rPr>
              <w:t>ProductCD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W, H, C, S, 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Código do produto/serviço comprado. W é o mais frequente. Significado exato não divulgado, mas correlaciona com risco.</w:t>
            </w:r>
          </w:p>
        </w:tc>
      </w:tr>
    </w:tbl>
    <w:p/>
    <w:p>
      <w:pPr>
        <w:spacing w:before="280" w:after="80"/>
        <w:shd w:val="clear" w:color="auto" w:fill="0E7AFF"/>
      </w:pPr>
      <w:r>
        <w:rPr>
          <w:b/>
          <w:color w:val="FFFFFF"/>
          <w:sz w:val="24"/>
        </w:rPr>
        <w:t xml:space="preserve">  Informações do Cartão (card1–card6)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train_transaction.csv</w:t>
      </w:r>
    </w:p>
    <w:p>
      <w:pPr>
        <w:spacing w:before="0" w:after="160"/>
      </w:pPr>
      <w:r>
        <w:rPr>
          <w:i/>
          <w:sz w:val="20"/>
        </w:rPr>
        <w:t>Dados sobre o cartão usado na transação. card4 e card6 têm valores legíveis; os demais são codificados pela Vesta.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0E7AFF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0E7AFF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701"/>
            <w:shd w:val="clear" w:color="auto" w:fill="0E7AFF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0E7AFF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E7AFF"/>
                <w:sz w:val="18"/>
              </w:rPr>
              <w:t>card1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int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Ex: 4150, 9500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Identificador do tipo de cartão (codificado). Alta cardinalidade — considere frequency encoding ou target encoding.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E7AFF"/>
                <w:sz w:val="18"/>
              </w:rPr>
              <w:t>card2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Ex: 111, 360, 555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Atributo adicional do cartão (codificado). Muitos valores nulos.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E7AFF"/>
                <w:sz w:val="18"/>
              </w:rPr>
              <w:t>card3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Ex: 150, 185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Atributo adicional do cartão (codificado).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E7AFF"/>
                <w:sz w:val="18"/>
              </w:rPr>
              <w:t>card4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visa, mastercard, american express, discover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Bandeira do cartão. Mais interpretável que os outros. Visa é a mais comum (~60% das transações).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E7AFF"/>
                <w:sz w:val="18"/>
              </w:rPr>
              <w:t>card5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Ex: 101, 145, 226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Atributo adicional do cartão (codificado).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E7AFF"/>
                <w:sz w:val="18"/>
              </w:rPr>
              <w:t>card6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debit, credit, debit or credit, charge card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Tipo do cartão. Cartões de débito são mais frequentes.</w:t>
            </w:r>
          </w:p>
        </w:tc>
      </w:tr>
    </w:tbl>
    <w:p/>
    <w:p>
      <w:pPr>
        <w:spacing w:before="280" w:after="80"/>
        <w:shd w:val="clear" w:color="auto" w:fill="F59E0B"/>
      </w:pPr>
      <w:r>
        <w:rPr>
          <w:b/>
          <w:color w:val="1E293B"/>
          <w:sz w:val="24"/>
        </w:rPr>
        <w:t xml:space="preserve">  Endereço (addr1, addr2)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train_transaction.csv</w:t>
      </w:r>
    </w:p>
    <w:p>
      <w:pPr>
        <w:spacing w:before="0" w:after="160"/>
      </w:pPr>
      <w:r>
        <w:rPr>
          <w:i/>
          <w:sz w:val="20"/>
        </w:rPr>
        <w:t>Endereço associado à transação. Ambas as colunas são numéricas codificadas — não representam texto de endereço.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F59E0B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F59E0B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Tipo</w:t>
            </w:r>
          </w:p>
        </w:tc>
        <w:tc>
          <w:tcPr>
            <w:tcW w:type="dxa" w:w="1701"/>
            <w:shd w:val="clear" w:color="auto" w:fill="F59E0B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F59E0B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F59E0B"/>
                <w:sz w:val="18"/>
              </w:rPr>
              <w:t>addr1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Ex: 299, 325, 204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Região de cobrança (billing region). Codificada numericamente. ~13% de valores nulos.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F59E0B"/>
                <w:sz w:val="18"/>
              </w:rPr>
              <w:t>addr2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Ex: 87, 96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País de cobrança (billing country). Baixa variabilidade — maioria das transações é do mesmo país.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F59E0B"/>
                <w:sz w:val="18"/>
              </w:rPr>
              <w:t>dist1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Ex: 0, 9, 298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Distância entre o endereço de cobrança e o de entrega. Distâncias grandes podem indicar fraude. ~60% de nulos.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F59E0B"/>
                <w:sz w:val="18"/>
              </w:rPr>
              <w:t>dist2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Ex: 0, 65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Segunda medida de distância (entre outros endereços associados). ~94% de nulos — use com cautela.</w:t>
            </w:r>
          </w:p>
        </w:tc>
      </w:tr>
    </w:tbl>
    <w:p/>
    <w:p>
      <w:pPr>
        <w:spacing w:before="280" w:after="80"/>
        <w:shd w:val="clear" w:color="auto" w:fill="EF4444"/>
      </w:pPr>
      <w:r>
        <w:rPr>
          <w:b/>
          <w:color w:val="FFFFFF"/>
          <w:sz w:val="24"/>
        </w:rPr>
        <w:t xml:space="preserve">  E-mail (P_emaildomain, R_emaildomain)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train_transaction.csv</w:t>
      </w:r>
    </w:p>
    <w:p>
      <w:pPr>
        <w:spacing w:before="0" w:after="160"/>
      </w:pPr>
      <w:r>
        <w:rPr>
          <w:i/>
          <w:sz w:val="20"/>
        </w:rPr>
        <w:t>Domínios de e-mail do comprador (P = purchaser) e do destinatário (R = recipient). E-mails anônimos (gmail, yahoo) têm correlação diferente de e-mails corporativos.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EF4444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EF4444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701"/>
            <w:shd w:val="clear" w:color="auto" w:fill="EF4444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EF4444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F4444"/>
                <w:sz w:val="18"/>
              </w:rPr>
              <w:t>P_emaildomain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gmail.com, yahoo.com, hotmail.com…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Domínio do e-mail de quem comprou. Domínios menos comuns ou de outros países → maior risco.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F4444"/>
                <w:sz w:val="18"/>
              </w:rPr>
              <w:t>R_emaildomain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gmail.com, anonymous.com…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Domínio do e-mail do destinatário. 'anonymous.com' é especialmente relevante — alta taxa de fraude associada.</w:t>
            </w:r>
          </w:p>
        </w:tc>
      </w:tr>
    </w:tbl>
    <w:p/>
    <w:p>
      <w:pPr>
        <w:spacing w:before="280" w:after="80"/>
        <w:shd w:val="clear" w:color="auto" w:fill="06B6D4"/>
      </w:pPr>
      <w:r>
        <w:rPr>
          <w:b/>
          <w:color w:val="1E293B"/>
          <w:sz w:val="24"/>
        </w:rPr>
        <w:t xml:space="preserve">  Grupo C — Variáveis de Contagem (C1–C14)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train_transaction.csv</w:t>
      </w:r>
    </w:p>
    <w:p>
      <w:pPr>
        <w:spacing w:before="0" w:after="160"/>
      </w:pPr>
      <w:r>
        <w:rPr>
          <w:i/>
          <w:sz w:val="20"/>
        </w:rPr>
        <w:t>Contagens relacionadas ao histórico do cartão/endereço. Exemplos: quantos endereços diferentes já foram associados a esse cartão, quantos e-mails diferentes, etc. Significado exato não divulgado pela Vesta, mas inferido pela comunidade Kaggle.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06B6D4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06B6D4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Tipo</w:t>
            </w:r>
          </w:p>
        </w:tc>
        <w:tc>
          <w:tcPr>
            <w:tcW w:type="dxa" w:w="1701"/>
            <w:shd w:val="clear" w:color="auto" w:fill="06B6D4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06B6D4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1–17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Nº de endereços associados ao cartão. C1=1 → cartão novo ou pouco usado.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1–17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Nº de endereços encontrados para o cartão (variante de C1).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0–26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Contagem relacionada ao histórico do cartão (semântica não confirmada).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0–15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Contagem de transações com o mesmo endereço de entrega.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Contagem de e-mails diferentes usados com esse cartão.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1–15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Contagem de endereços de cobrança distintos no histórico.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0–8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Contagem de transações recentes (janela de tempo curta).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1–16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Contagem similar a C1/C2 — possivelmente por janela de tempo diferente.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C9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Nº de transações com o mesmo endereço de entrega (variante).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C10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Contagem de dispositivos diferentes usados com esse cartão.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C11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1–17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Contagem geral de histórico do cartão.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C12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0–15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Contagem de transações negadas anteriores.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C13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1–2918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Contagem de transações totais do comprador — alta cardinalidade.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06B6D4"/>
                <w:sz w:val="18"/>
              </w:rPr>
              <w:t>C14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1–33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Contagem de endereços distintos (janela longa).</w:t>
            </w:r>
          </w:p>
        </w:tc>
      </w:tr>
    </w:tbl>
    <w:p/>
    <w:p>
      <w:pPr>
        <w:spacing w:before="280" w:after="80"/>
        <w:shd w:val="clear" w:color="auto" w:fill="84CC16"/>
      </w:pPr>
      <w:r>
        <w:rPr>
          <w:b/>
          <w:color w:val="1E293B"/>
          <w:sz w:val="24"/>
        </w:rPr>
        <w:t xml:space="preserve">  Grupo D — Variáveis de Tempo (D1–D15)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train_transaction.csv</w:t>
      </w:r>
    </w:p>
    <w:p>
      <w:pPr>
        <w:spacing w:before="0" w:after="160"/>
      </w:pPr>
      <w:r>
        <w:rPr>
          <w:i/>
          <w:sz w:val="20"/>
        </w:rPr>
        <w:t>Diferenças de tempo em dias entre eventos relacionados ao cartão/conta. D1 é a mais importante: representa há quantos dias o cartão foi visto pela última vez. Valores muito altos ou muito baixos podem indicar cartões recém-criados para fraude.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84CC1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84CC1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Tipo</w:t>
            </w:r>
          </w:p>
        </w:tc>
        <w:tc>
          <w:tcPr>
            <w:tcW w:type="dxa" w:w="1701"/>
            <w:shd w:val="clear" w:color="auto" w:fill="84CC1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84CC1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0–640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Dias desde a transação anterior com esse cartão. ⭐ Uma das features mais correlacionadas com isFraud.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0–640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Dias desde a transação anterior (variante — às vezes igual a D1).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0–819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Dias desde que o endereço de entrega foi visto pela última vez.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0–869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Dias desde transação anterior (escopo diferente de D1).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0–819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Dias desde o último uso do e-mail do comprador.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0–836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Variável de tempo (semântica incerta, ~88% nulos).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0–843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Variável de tempo (~93% nulos).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0–1708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Dias desde o cadastro da conta (inferido pela comunidade).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D9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Fração do dia (hora/24) da última transação. Valor entre 0 e 1.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D10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0–876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Dias desde última transação no mesmo dispositivo.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D11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0–670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Dias desde o cadastro do comprador (~47% nulos).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D12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0–649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Variável de tempo (~94% nulos).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D13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0–820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Variável de tempo (~95% nulos).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D14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0–855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Variável de tempo (~95% nulos).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84CC16"/>
                <w:sz w:val="18"/>
              </w:rPr>
              <w:t>D15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0–879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Dias desde a última mudança de endereço (~44% nulos).</w:t>
            </w:r>
          </w:p>
        </w:tc>
      </w:tr>
    </w:tbl>
    <w:p/>
    <w:p>
      <w:pPr>
        <w:spacing w:before="280" w:after="80"/>
        <w:shd w:val="clear" w:color="auto" w:fill="F97316"/>
      </w:pPr>
      <w:r>
        <w:rPr>
          <w:b/>
          <w:color w:val="1E293B"/>
          <w:sz w:val="24"/>
        </w:rPr>
        <w:t xml:space="preserve">  Grupo M — Variáveis de Match (M1–M9)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train_transaction.csv</w:t>
      </w:r>
    </w:p>
    <w:p>
      <w:pPr>
        <w:spacing w:before="0" w:after="160"/>
      </w:pPr>
      <w:r>
        <w:rPr>
          <w:i/>
          <w:sz w:val="20"/>
        </w:rPr>
        <w:t>Flags booleanas (True/False/NaN) que indicam se informações batem entre si. Por exemplo: o nome no cartão bate com o nome de cobrança? Divergências são sinais clássicos de fraude.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F9731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F9731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Tipo</w:t>
            </w:r>
          </w:p>
        </w:tc>
        <w:tc>
          <w:tcPr>
            <w:tcW w:type="dxa" w:w="1701"/>
            <w:shd w:val="clear" w:color="auto" w:fill="F9731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F9731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F97316"/>
                <w:sz w:val="18"/>
              </w:rPr>
              <w:t>M1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T, F, NaN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Nome no cartão bate com nome de cobrança.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F97316"/>
                <w:sz w:val="18"/>
              </w:rPr>
              <w:t>M2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T, F, NaN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Atributo de match (semântica não confirmada).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F97316"/>
                <w:sz w:val="18"/>
              </w:rPr>
              <w:t>M3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T, F, NaN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Endereço de cobrança bate com endereço no cadastro do cartão.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F97316"/>
                <w:sz w:val="18"/>
              </w:rPr>
              <w:t>M4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M0–M6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Variável de match com múltiplos níveis (não apenas T/F).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F97316"/>
                <w:sz w:val="18"/>
              </w:rPr>
              <w:t>M5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T, F, NaN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E-mail do comprador bate com e-mail cadastrado no cartão.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F97316"/>
                <w:sz w:val="18"/>
              </w:rPr>
              <w:t>M6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T, F, NaN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Match de outro atributo do cartão.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F97316"/>
                <w:sz w:val="18"/>
              </w:rPr>
              <w:t>M7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T, F, NaN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Match (~86% nulos).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F97316"/>
                <w:sz w:val="18"/>
              </w:rPr>
              <w:t>M8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T, F, NaN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Match (~87% nulos).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F97316"/>
                <w:sz w:val="18"/>
              </w:rPr>
              <w:t>M9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T, F, NaN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Match (~87% nulos).</w:t>
            </w:r>
          </w:p>
        </w:tc>
      </w:tr>
    </w:tbl>
    <w:p/>
    <w:p>
      <w:pPr>
        <w:spacing w:before="280" w:after="80"/>
        <w:shd w:val="clear" w:color="auto" w:fill="6B7280"/>
      </w:pPr>
      <w:r>
        <w:rPr>
          <w:b/>
          <w:color w:val="FFFFFF"/>
          <w:sz w:val="24"/>
        </w:rPr>
        <w:t xml:space="preserve">  Grupo V — Features Vesta (V1–V339)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train_transaction.csv</w:t>
      </w:r>
    </w:p>
    <w:p>
      <w:pPr>
        <w:spacing w:before="0" w:after="160"/>
      </w:pPr>
      <w:r>
        <w:rPr>
          <w:i/>
          <w:sz w:val="20"/>
        </w:rPr>
        <w:t>339 features proprietárias criadas pela Vesta Corporation. São combinações e transformações das outras colunas, mais sinais internos de risco que a Vesta não divulga. Muitas têm &gt;90% de nulos. Agrupadas por faixas conforme análise da comunidade Kaggle.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6B728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6B728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701"/>
            <w:shd w:val="clear" w:color="auto" w:fill="6B728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6B728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V1–V11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Relacionadas ao cartão e histórico de pagamento.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V12–V34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Relacionadas a endereço e localização.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V35–V52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Relacionadas ao dispositivo usado.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V53–V74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Relacionadas ao e-mail do comprador e destinatário.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V75–V94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Relacionadas ao valor da transação (TransactionAmt).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V95–V137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Relacionadas a janelas de tempo e frequência.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V138–V166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Features de contagem derivadas.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V167–V278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Features mistas — maior concentração de nulos.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V279–V321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Features mistas — correlação com identidade.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6B7280"/>
                <w:sz w:val="18"/>
              </w:rPr>
              <w:t>V322–V339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 ou contagens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Últimas features Vesta — menor variância, muitos nulos.</w:t>
            </w:r>
          </w:p>
        </w:tc>
      </w:tr>
    </w:tbl>
    <w:p/>
    <w:p>
      <w:pPr>
        <w:spacing w:before="280" w:after="80"/>
        <w:shd w:val="clear" w:color="auto" w:fill="EC4899"/>
      </w:pPr>
      <w:r>
        <w:rPr>
          <w:b/>
          <w:color w:val="1E293B"/>
          <w:sz w:val="24"/>
        </w:rPr>
        <w:t xml:space="preserve">  Identidade (id_01–id_38)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train_identity.csv</w:t>
      </w:r>
    </w:p>
    <w:p>
      <w:pPr>
        <w:spacing w:before="0" w:after="160"/>
      </w:pPr>
      <w:r>
        <w:rPr>
          <w:i/>
          <w:sz w:val="20"/>
        </w:rPr>
        <w:t>Informações sobre o dispositivo, rede e comportamento do usuário. Presentes em apenas ~60% das transações (nem toda transação tem identity). Muitas colunas têm semântica parcialmente inferida pela comunidade.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EC4899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EC4899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Tipo</w:t>
            </w:r>
          </w:p>
        </w:tc>
        <w:tc>
          <w:tcPr>
            <w:tcW w:type="dxa" w:w="1701"/>
            <w:shd w:val="clear" w:color="auto" w:fill="EC4899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EC4899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id_01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-5 a 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Score de risco de identidade (negativo = mais seguro).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id_02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0–526523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Score numérico de identidade (possível ID interno).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id_03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0–824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Contagem relacionada à identidade.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id_04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0–429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Contagem relacionada à identidade.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id_05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0–480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Número de eventos de risco associados à conta.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id_06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-112 a 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Score negativo — quanto menor, mais suspeito.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id_07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Contagem de correspondências de identidade.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id_08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0–5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Contagem de correspondências de identidade.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id_09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Flag de verificação de identidade.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Flag de verificação de identidade.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100–600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Score de conta/sessão.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Found, NotFound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IP está em base de proxies conhecidos? Found = proxy.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1–2918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Contagem de transações associadas a esse dispositivo.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-480 a 480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Fuso horário do dispositivo (offset em minutos do UTC).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New, Found, Unknown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Status do browser/OS: New = recém-instalado.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Found, NotFound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Autofill do browser usado? Found = sim.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100–600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Score de sessão/dispositivo.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Flag de identidade.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id_19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30–600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Score relacionado ao histórico do dispositivo.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30–600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Score relacionado ao histórico do dispositivo.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0–1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Flag (~97% nulos).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Flag (~97% nulos).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TRANSPARENT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Tipo de proxy (~97% nulos).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0–15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Score de conta (~97% nulos).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1–2918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Contagem de uso do dispositivo.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1–2918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Contagem de uso do dispositivo.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Found, NotFound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Verificação adicional de identidade.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New, Found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Status de conta: New = conta recém-criada.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id_29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Found, NotFound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Cookie habilitado no browser.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id_30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Ex: Windows 10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Sistema operacional e versão do dispositivo.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id_31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Ex: chrome 75.0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Browser e versão. Browsers desatualizados → maior risco.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id_32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float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Ex: 32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Profundidade de cor da tela (bits).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id_33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Ex: 1920x1080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Resolução da tela. Resoluções incomuns podem indicar bot.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id_34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match_status:1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Status de match de identidade com valor numérico.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id_35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T, F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Cookie de terceiros habilitado.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id_36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T, F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Uso de proxy detectado (complemento de id_12).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id_37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T, F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Browser mobile.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EC4899"/>
                <w:sz w:val="18"/>
              </w:rPr>
              <w:t>id_38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T, F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JavaScript habilitado no browser.</w:t>
            </w:r>
          </w:p>
        </w:tc>
      </w:tr>
    </w:tbl>
    <w:p/>
    <w:p>
      <w:pPr>
        <w:spacing w:before="280" w:after="80"/>
        <w:shd w:val="clear" w:color="auto" w:fill="14B8A6"/>
      </w:pPr>
      <w:r>
        <w:rPr>
          <w:b/>
          <w:color w:val="1E293B"/>
          <w:sz w:val="24"/>
        </w:rPr>
        <w:t xml:space="preserve">  Dispositivo (DeviceType, DeviceInfo)</w:t>
      </w:r>
    </w:p>
    <w:p>
      <w:pPr>
        <w:spacing w:before="0" w:after="80"/>
      </w:pPr>
      <w:r>
        <w:rPr>
          <w:i/>
          <w:color w:val="64748B"/>
          <w:sz w:val="18"/>
        </w:rPr>
        <w:t xml:space="preserve">  Arquivo: train_identity.csv</w:t>
      </w:r>
    </w:p>
    <w:p>
      <w:pPr>
        <w:spacing w:before="0" w:after="160"/>
      </w:pPr>
      <w:r>
        <w:rPr>
          <w:i/>
          <w:sz w:val="20"/>
        </w:rPr>
        <w:t>Informações diretas sobre o dispositivo usado na transação.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14B8A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Coluna</w:t>
            </w:r>
          </w:p>
        </w:tc>
        <w:tc>
          <w:tcPr>
            <w:tcW w:type="dxa" w:w="907"/>
            <w:shd w:val="clear" w:color="auto" w:fill="14B8A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Tipo</w:t>
            </w:r>
          </w:p>
        </w:tc>
        <w:tc>
          <w:tcPr>
            <w:tcW w:type="dxa" w:w="1701"/>
            <w:shd w:val="clear" w:color="auto" w:fill="14B8A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Valores exemplo</w:t>
            </w:r>
          </w:p>
        </w:tc>
        <w:tc>
          <w:tcPr>
            <w:tcW w:type="dxa" w:w="4989"/>
            <w:shd w:val="clear" w:color="auto" w:fill="14B8A6"/>
          </w:tcPr>
          <w:p>
            <w:pPr>
              <w:spacing w:before="60" w:after="60"/>
            </w:pPr>
            <w:r>
              <w:rPr>
                <w:b/>
                <w:color w:val="1E293B"/>
                <w:sz w:val="18"/>
              </w:rPr>
              <w:t>Descrição</w:t>
            </w:r>
          </w:p>
        </w:tc>
      </w:tr>
      <w:tr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b/>
                <w:color w:val="14B8A6"/>
                <w:sz w:val="18"/>
              </w:rPr>
              <w:t>DeviceType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desktop, mobile</w:t>
            </w:r>
          </w:p>
        </w:tc>
        <w:tc>
          <w:tcPr>
            <w:tcW w:type="dxa" w:w="2422"/>
            <w:shd w:val="clear" w:color="auto" w:fill="F8F9FC"/>
          </w:tcPr>
          <w:p>
            <w:pPr>
              <w:spacing w:before="40" w:after="40"/>
            </w:pPr>
            <w:r>
              <w:rPr>
                <w:sz w:val="18"/>
              </w:rPr>
              <w:t>Tipo do dispositivo. Mobile tem taxa de fraude levemente diferente de desktop.</w:t>
            </w:r>
          </w:p>
        </w:tc>
      </w:tr>
      <w:tr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b/>
                <w:color w:val="14B8A6"/>
                <w:sz w:val="18"/>
              </w:rPr>
              <w:t>DeviceInfo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str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Ex: Windows, iOS Device, Samsung…</w:t>
            </w:r>
          </w:p>
        </w:tc>
        <w:tc>
          <w:tcPr>
            <w:tcW w:type="dxa" w:w="2422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Modelo/sistema do dispositivo. Alta cardinalidade — agrupe em categorias (iOS, Android, Windows, Mac, Other) para usar como feature.</w:t>
            </w:r>
          </w:p>
        </w:tc>
      </w:tr>
    </w:tbl>
    <w:p/>
    <w:p>
      <w:r>
        <w:br w:type="page"/>
      </w:r>
    </w:p>
    <w:p>
      <w:pPr>
        <w:spacing w:before="0" w:after="160"/>
        <w:jc w:val="left"/>
      </w:pPr>
      <w:r>
        <w:rPr>
          <w:b/>
          <w:i w:val="0"/>
          <w:sz w:val="26"/>
        </w:rPr>
        <w:t>Notas Importantes para o TCC</w:t>
      </w:r>
    </w:p>
    <w:p>
      <w:pPr>
        <w:spacing w:before="0" w:after="160"/>
      </w:pPr>
      <w:r>
        <w:rPr>
          <w:b/>
          <w:sz w:val="20"/>
        </w:rPr>
        <w:t xml:space="preserve">⚠ Colunas V1–V339 são anônimas: </w:t>
      </w:r>
      <w:r>
        <w:rPr>
          <w:sz w:val="20"/>
        </w:rPr>
        <w:t>A Vesta não divulgou o significado dessas features. Use análise de importância (SHAP) para identificar quais são relevantes. Não tente interpretar individualmente.</w:t>
      </w:r>
    </w:p>
    <w:p>
      <w:pPr>
        <w:spacing w:before="0" w:after="160"/>
      </w:pPr>
      <w:r>
        <w:rPr>
          <w:b/>
          <w:sz w:val="20"/>
        </w:rPr>
        <w:t xml:space="preserve">⚠ Muitos nulos não são erro: </w:t>
      </w:r>
      <w:r>
        <w:rPr>
          <w:sz w:val="20"/>
        </w:rPr>
        <w:t>Colunas como D6, D7, D12–D14 têm &gt;90% de nulos porque nem toda transação gera esses eventos. O nulo em si é uma informação — crie uma flag is_null para essas colunas.</w:t>
      </w:r>
    </w:p>
    <w:p>
      <w:pPr>
        <w:spacing w:before="0" w:after="160"/>
      </w:pPr>
      <w:r>
        <w:rPr>
          <w:b/>
          <w:sz w:val="20"/>
        </w:rPr>
        <w:t xml:space="preserve">⚠ TransactionDT não é hora real: </w:t>
      </w:r>
      <w:r>
        <w:rPr>
          <w:sz w:val="20"/>
        </w:rPr>
        <w:t>Você pode extrair padrões de hora do dia (dt % 86400 // 3600) e dia da semana (dt // 86400 % 7), mas não sabe a data absoluta.</w:t>
      </w:r>
    </w:p>
    <w:p>
      <w:pPr>
        <w:spacing w:before="0" w:after="160"/>
      </w:pPr>
      <w:r>
        <w:rPr>
          <w:b/>
          <w:sz w:val="20"/>
        </w:rPr>
        <w:t xml:space="preserve">⚠ train_identity.csv só tem 60% das transações: </w:t>
      </w:r>
      <w:r>
        <w:rPr>
          <w:sz w:val="20"/>
        </w:rPr>
        <w:t>Após o left join, todas as colunas id_ e Device* terão NaN para os 40% sem identity. Trate esses NaNs com imputação ou indicadores de ausência.</w:t>
      </w:r>
    </w:p>
    <w:p>
      <w:pPr>
        <w:spacing w:before="0" w:after="160"/>
      </w:pPr>
      <w:r>
        <w:rPr>
          <w:b/>
          <w:sz w:val="20"/>
        </w:rPr>
        <w:t xml:space="preserve">⚠ card1–card5 têm alta cardinalidade: </w:t>
      </w:r>
      <w:r>
        <w:rPr>
          <w:sz w:val="20"/>
        </w:rPr>
        <w:t>Com milhares de valores únicos, one-hot encoding vai explodir a dimensionalidade. Prefira target encoding ou frequency encoding para essas colunas.</w:t>
      </w:r>
    </w:p>
    <w:sectPr w:rsidR="00FC693F" w:rsidRPr="0006063C" w:rsidSect="00034616"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