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parcial 2 Modelos de classificação e explicabilidade</w:t>
      </w:r>
    </w:p>
    <w:p>
      <w:r>
        <w:rPr>
          <w:b/>
        </w:rPr>
        <w:t>TCC:</w:t>
      </w:r>
      <w:r>
        <w:t xml:space="preserve"> Protótipo Híbrido para Detecção e Explicação de Fraudes em Transações Pix Simuladas Utilizando Machine Learning, SHAP e RAG</w:t>
      </w:r>
    </w:p>
    <w:p>
      <w:r>
        <w:rPr>
          <w:b/>
        </w:rPr>
        <w:t>Autores:</w:t>
      </w:r>
      <w:r>
        <w:t xml:space="preserve"> Letícia Alves (ML e dados) · Lucas Nogueira (RAG e escrita)</w:t>
      </w:r>
    </w:p>
    <w:p>
      <w:r>
        <w:rPr>
          <w:b/>
        </w:rPr>
        <w:t>Data da consolidação:</w:t>
      </w:r>
      <w:r>
        <w:t xml:space="preserve"> 20 de setembro de 2026</w:t>
      </w:r>
    </w:p>
    <w:p>
      <w:pPr>
        <w:pStyle w:val="AcademicQuote"/>
        <w:shd w:fill="F3F6F9"/>
      </w:pPr>
      <w:r>
        <w:rPr>
          <w:b/>
        </w:rPr>
        <w:t>Sobre os dados:</w:t>
      </w:r>
      <w:r>
        <w:t xml:space="preserve"> este trabalho </w:t>
      </w:r>
      <w:r>
        <w:rPr>
          <w:b/>
        </w:rPr>
        <w:t>não utiliza dados reais do Pix</w:t>
      </w:r>
      <w:r>
        <w:t xml:space="preserve"> nem de instituições financeiras. Os experimentos usam o dataset público IEEE-CIS Fraud Detection (Kaggle), de transações com cartão. As variáveis inspiradas no Pix são proxies analíticos documentados, conforme a seção 4.1 da proposta aprovada.</w:t>
      </w:r>
    </w:p>
    <w:p>
      <w:pPr>
        <w:pStyle w:val="Heading1"/>
      </w:pPr>
      <w:r>
        <w:t>1. O que esta entrega cobre</w:t>
      </w:r>
    </w:p>
    <w:p>
      <w:r>
        <w:t xml:space="preserve">Os dois modelos previstos na proposta - </w:t>
      </w:r>
      <w:r>
        <w:rPr>
          <w:b/>
        </w:rPr>
        <w:t>XGBoost</w:t>
      </w:r>
      <w:r>
        <w:t xml:space="preserve"> como principal e </w:t>
      </w:r>
      <w:r>
        <w:rPr>
          <w:b/>
        </w:rPr>
        <w:t>Random Forest</w:t>
      </w:r>
      <w:r>
        <w:t xml:space="preserve"> como comparativo - treinados sobre as mesmas 590.540 transações, com o mesmo pré-processamento e o mesmo corte temporal do baseline de junho, e a aplicação do </w:t>
      </w:r>
      <w:r>
        <w:rPr>
          <w:b/>
        </w:rPr>
        <w:t>SHAP</w:t>
      </w:r>
      <w:r>
        <w:t xml:space="preserve"> sobre o modelo escolhido.</w:t>
      </w:r>
    </w:p>
    <w:p>
      <w:r>
        <w:t xml:space="preserve">Todos os modelos usam o mesmo tratamento de desbalanceamento (ponderação de classe, adotada em junho) e são medidos pelo mesmo código, </w:t>
      </w:r>
      <w:r>
        <w:rPr>
          <w:rFonts w:ascii="Consolas" w:hAnsi="Consolas"/>
          <w:sz w:val="18"/>
        </w:rPr>
        <w:t>src/models/evaluator.py</w:t>
      </w:r>
      <w:r>
        <w:t>. Isso é o que permite atribuir as diferenças ao algoritmo, e não à forma de medir.</w:t>
      </w:r>
    </w:p>
    <w:p>
      <w:r>
        <w:t>O artefato XGBoost entregue, que também produziu o relatório SHAP, alcançou AUC-PR 0,5719 na validação e 0,4833 no teste. A avaliação final reutilizou o modelo e o pré-processador persistidos. O limiar 0,6834220290 foi escolhido por maximização de F1 exclusivamente na validação, antes de medir o teste.</w:t>
      </w:r>
    </w:p>
    <w:p>
      <w:pPr>
        <w:pStyle w:val="Heading1"/>
      </w:pPr>
      <w:r>
        <w:t>2. Comparação entre modelos - validação</w:t>
      </w:r>
    </w:p>
    <w:p>
      <w:r>
        <w:t>Conjunto de validação: 88.581 transações, 3.042 fraudes, taxa base 3,434%. A AUC-PR de um classificador aleatório equivale à taxa base, e é a régua de leitura.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rHeight w:hRule="atLeast"/>
          <w:tblHeader w:val="true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AUC-PR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AUC-ROC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Tempo de treino</w:t>
            </w:r>
          </w:p>
        </w:tc>
      </w:tr>
      <w:tr>
        <w:trPr>
          <w:trHeight w:hRule="atLeast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Regressão logística (baseline de junho)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0,3930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0,8410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6 min</w:t>
            </w:r>
          </w:p>
        </w:tc>
      </w:tr>
      <w:tr>
        <w:trPr>
          <w:trHeight w:hRule="atLeast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Random Forest, profundidade ≤ 20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0,4573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0,8751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140 s</w:t>
            </w:r>
          </w:p>
        </w:tc>
      </w:tr>
      <w:tr>
        <w:trPr>
          <w:trHeight w:hRule="atLeast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XGBoost, hiperparâmetros padrão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0,5293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0,9044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56 s</w:t>
            </w:r>
          </w:p>
        </w:tc>
      </w:tr>
      <w:tr>
        <w:trPr>
          <w:trHeight w:hRule="atLeast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Random Forest, árvores completas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0,5298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0,9078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176 s</w:t>
            </w:r>
          </w:p>
        </w:tc>
      </w:tr>
      <w:tr>
        <w:trPr>
          <w:trHeight w:hRule="atLeast"/>
        </w:trPr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>XGBoost entregue e usado no SHAP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>0,5719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7"/>
              </w:rPr>
              <w:t>0,9067</w:t>
            </w:r>
          </w:p>
        </w:tc>
        <w:tc>
          <w:tcPr>
            <w:tcW w:type="dxa" w:w="22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Não medido separadamente¹</w:t>
            </w:r>
          </w:p>
        </w:tc>
      </w:tr>
    </w:tbl>
    <w:p>
      <w:pPr>
        <w:spacing w:after="20"/>
      </w:pPr>
    </w:p>
    <w:p>
      <w:r>
        <w:t>¹ Os 30 s registrados anteriormente pertencem ao retreino histórico do tuning, não à geração deste artefato. A busca histórica com 50 tentativas levou 829 s; o fluxo completo levou 902 s e atingiu pico de 5.266 MB. Não se atribui esse tempo ao artefato atual.</w:t>
      </w:r>
    </w:p>
    <w:p>
      <w:r>
        <w:t xml:space="preserve">O resultado 0,5703 permanece como evidência histórica em </w:t>
      </w:r>
      <w:r>
        <w:rPr>
          <w:rFonts w:ascii="Consolas" w:hAnsi="Consolas"/>
          <w:sz w:val="18"/>
        </w:rPr>
        <w:t>reports/tuning_xgboost.json</w:t>
      </w:r>
      <w:r>
        <w:t>. O modelo reconstruído com os parâmetros selecionados para compatibilidade com SHAP obteve 0,5719 e passou a ser o artefato entregue. A tabela identifica essa execução; os números históricos não foram apagados nem reinterpretados como novas medições.</w:t>
      </w:r>
    </w:p>
    <w:p>
      <w:r>
        <w:rPr>
          <w:b/>
        </w:rPr>
        <w:t>Dois pontos que a tabela já sustenta:</w:t>
      </w:r>
    </w:p>
    <w:p>
      <w:r>
        <w:t xml:space="preserve">O </w:t>
      </w:r>
      <w:r>
        <w:rPr>
          <w:b/>
        </w:rPr>
        <w:t>Random Forest empata com o XGBoost sem ajuste</w:t>
      </w:r>
      <w:r>
        <w:t xml:space="preserve"> (0,5298 contra 0,5293). Não cabe afirmar superioridade genérica do modelo principal sobre o comparativo; o que a evidência mostra é que a diferença, se existir, vem da busca de hiperparâmetros.</w:t>
      </w:r>
    </w:p>
    <w:p>
      <w:r>
        <w:rPr>
          <w:b/>
        </w:rPr>
        <w:t>Ambos superam o baseline com folga</w:t>
      </w:r>
      <w:r>
        <w:t>, o que justifica a complexidade adicional em relação a um modelo linear - o critério que havíamos declarado para esta etapa.</w:t>
      </w:r>
    </w:p>
    <w:p>
      <w:pPr>
        <w:pStyle w:val="Heading1"/>
      </w:pPr>
      <w:r>
        <w:t>3. Metodologia da busca de hiperparâmetros</w:t>
      </w:r>
    </w:p>
    <w:p>
      <w:r>
        <w:t xml:space="preserve">Seis decisões, registradas em </w:t>
      </w:r>
      <w:r>
        <w:rPr>
          <w:rFonts w:ascii="Consolas" w:hAnsi="Consolas"/>
          <w:sz w:val="18"/>
        </w:rPr>
        <w:t>reports/anotacoes_metodologia.md</w:t>
      </w:r>
      <w:r>
        <w:t>:</w:t>
      </w:r>
    </w:p>
    <w:p>
      <w:pPr>
        <w:pStyle w:val="ListNumber"/>
      </w:pPr>
      <w:r>
        <w:rPr>
          <w:b/>
        </w:rPr>
        <w:t>A métrica otimizada é a AUC-PR na validação.</w:t>
      </w:r>
      <w:r>
        <w:t xml:space="preserve"> Otimizar AUC-ROC premiaria ordenar bem os 96,5% de casos fáceis; acurácia premiaria não detectar nada.</w:t>
      </w:r>
    </w:p>
    <w:p>
      <w:pPr>
        <w:pStyle w:val="ListNumber"/>
      </w:pPr>
      <w:r>
        <w:rPr>
          <w:b/>
        </w:rPr>
        <w:t>O parâmetro de desbalanceamento não entra na busca.</w:t>
      </w:r>
      <w:r>
        <w:t xml:space="preserve"> Fica fixo na razão real entre classes (27,43), que é a forma do XGBoost expressar a ponderação de classe adotada em junho. Deixá-lo variar transformaria uma decisão metodológica já comparada em mais um hiperparâmetro.</w:t>
      </w:r>
    </w:p>
    <w:p>
      <w:pPr>
        <w:pStyle w:val="ListNumber"/>
      </w:pPr>
      <w:r>
        <w:rPr>
          <w:b/>
        </w:rPr>
        <w:t>O pré-processamento é ajustado uma vez, fora da busca.</w:t>
      </w:r>
      <w:r>
        <w:t xml:space="preserve"> Não depende dos hiperparâmetros, e é ajustado somente no treino - validação e teste apenas recebem a transformação.</w:t>
      </w:r>
    </w:p>
    <w:p>
      <w:pPr>
        <w:pStyle w:val="ListNumber"/>
      </w:pPr>
      <w:r>
        <w:rPr>
          <w:b/>
        </w:rPr>
        <w:t>O conjunto de teste não é tocado durante a busca.</w:t>
      </w:r>
      <w:r>
        <w:t xml:space="preserve"> A seleção acontece na validação; o teste é avaliado uma única vez, ao final, com o modelo já escolhido.</w:t>
      </w:r>
    </w:p>
    <w:p>
      <w:pPr>
        <w:pStyle w:val="ListNumber"/>
      </w:pPr>
      <w:r>
        <w:rPr>
          <w:b/>
        </w:rPr>
        <w:t>A busca usa uma amostra temporal do treino.</w:t>
      </w:r>
      <w:r>
        <w:t xml:space="preserve"> Cada tentativa usa as 150 mil transações mais recentes do treino, com a validação completa. O candidato alcançou AUC-PR 0,5912 nessa condição. O artefato entregue, treinado anteriormente no treino completo com os parâmetros selecionados e XGBoost 3.0.5, apresenta AUC-PR 0,5719. O retreino histórico do tuning registrou 0,5703 com XGBoost 3.4.1. São execuções distintas; a avaliação final usa apenas o artefato entregue.</w:t>
      </w:r>
    </w:p>
    <w:p>
      <w:pPr>
        <w:pStyle w:val="ListNumber"/>
      </w:pPr>
      <w:r>
        <w:rPr>
          <w:b/>
        </w:rPr>
        <w:t>O espaço e a poda foram reduzidos por viabilidade.</w:t>
      </w:r>
      <w:r>
        <w:t xml:space="preserve"> O teto passou de 600 para 300 árvores e a profundidade máxima de 10 para 8. Um </w:t>
      </w:r>
      <w:r>
        <w:rPr>
          <w:rFonts w:ascii="Consolas" w:hAnsi="Consolas"/>
          <w:sz w:val="18"/>
        </w:rPr>
        <w:t>MedianPruner</w:t>
      </w:r>
      <w:r>
        <w:t xml:space="preserve"> interrompeu 25 das 50 tentativas após aquecimento. A melhor configuração atingiu os dois tetos, portanto não se afirma que seja um ótimo global.</w:t>
      </w:r>
    </w:p>
    <w:p>
      <w:r>
        <w:t xml:space="preserve">Os melhores parâmetros foram </w:t>
      </w:r>
      <w:r>
        <w:rPr>
          <w:rFonts w:ascii="Consolas" w:hAnsi="Consolas"/>
          <w:sz w:val="18"/>
        </w:rPr>
        <w:t>learning_rate=0,2308</w:t>
      </w:r>
      <w:r>
        <w:t xml:space="preserve">, </w:t>
      </w:r>
      <w:r>
        <w:rPr>
          <w:rFonts w:ascii="Consolas" w:hAnsi="Consolas"/>
          <w:sz w:val="18"/>
        </w:rPr>
        <w:t>max_depth=8</w:t>
      </w:r>
      <w:r>
        <w:t xml:space="preserve">, </w:t>
      </w:r>
      <w:r>
        <w:rPr>
          <w:rFonts w:ascii="Consolas" w:hAnsi="Consolas"/>
          <w:sz w:val="18"/>
        </w:rPr>
        <w:t>min_child_weight=14,5371</w:t>
      </w:r>
      <w:r>
        <w:t xml:space="preserve">, </w:t>
      </w:r>
      <w:r>
        <w:rPr>
          <w:rFonts w:ascii="Consolas" w:hAnsi="Consolas"/>
          <w:sz w:val="18"/>
        </w:rPr>
        <w:t>subsample=0,8712</w:t>
      </w:r>
      <w:r>
        <w:t xml:space="preserve">, </w:t>
      </w:r>
      <w:r>
        <w:rPr>
          <w:rFonts w:ascii="Consolas" w:hAnsi="Consolas"/>
          <w:sz w:val="18"/>
        </w:rPr>
        <w:t>colsample_bytree=0,9159</w:t>
      </w:r>
      <w:r>
        <w:t xml:space="preserve">, </w:t>
      </w:r>
      <w:r>
        <w:rPr>
          <w:rFonts w:ascii="Consolas" w:hAnsi="Consolas"/>
          <w:sz w:val="18"/>
        </w:rPr>
        <w:t>gamma=1,6854</w:t>
      </w:r>
      <w:r>
        <w:t xml:space="preserve">, </w:t>
      </w:r>
      <w:r>
        <w:rPr>
          <w:rFonts w:ascii="Consolas" w:hAnsi="Consolas"/>
          <w:sz w:val="18"/>
        </w:rPr>
        <w:t>reg_alpha=0,1130</w:t>
      </w:r>
      <w:r>
        <w:t xml:space="preserve"> e </w:t>
      </w:r>
      <w:r>
        <w:rPr>
          <w:rFonts w:ascii="Consolas" w:hAnsi="Consolas"/>
          <w:sz w:val="18"/>
        </w:rPr>
        <w:t>reg_lambda=1,2327</w:t>
      </w:r>
      <w:r>
        <w:t xml:space="preserve">, com 300 árvores e </w:t>
      </w:r>
      <w:r>
        <w:rPr>
          <w:rFonts w:ascii="Consolas" w:hAnsi="Consolas"/>
          <w:sz w:val="18"/>
        </w:rPr>
        <w:t>scale_pos_weight=27,4343</w:t>
      </w:r>
      <w:r>
        <w:t xml:space="preserve"> fixo.</w:t>
      </w:r>
    </w:p>
    <w:p>
      <w:pPr>
        <w:pStyle w:val="Heading1"/>
      </w:pPr>
      <w:r>
        <w:t>4. Explicabilidade - SHAP</w:t>
      </w:r>
    </w:p>
    <w:p>
      <w:r>
        <w:t xml:space="preserve">O XGBoost final foi explicado com </w:t>
      </w:r>
      <w:r>
        <w:rPr>
          <w:rFonts w:ascii="Consolas" w:hAnsi="Consolas"/>
          <w:sz w:val="18"/>
        </w:rPr>
        <w:t>TreeExplainer</w:t>
      </w:r>
      <w:r>
        <w:t xml:space="preserve">, usando </w:t>
      </w:r>
      <w:r>
        <w:rPr>
          <w:rFonts w:ascii="Consolas" w:hAnsi="Consolas"/>
          <w:sz w:val="18"/>
        </w:rPr>
        <w:t>feature_perturbation="interventional"</w:t>
      </w:r>
      <w:r>
        <w:t>, saída em escala de probabilidade e um fundo de 500 linhas amostradas exclusivamente do treino (seed 42). A análise global usou 1.000 transações aleatórias da validação.</w:t>
      </w:r>
    </w:p>
    <w:p>
      <w:r>
        <w:t xml:space="preserve">As cinco variáveis de maior média absoluta de contribuição foram </w:t>
      </w:r>
      <w:r>
        <w:rPr>
          <w:rFonts w:ascii="Consolas" w:hAnsi="Consolas"/>
          <w:sz w:val="18"/>
        </w:rPr>
        <w:t>TransactionAmt</w:t>
      </w:r>
      <w:r>
        <w:t xml:space="preserve">, </w:t>
      </w:r>
      <w:r>
        <w:rPr>
          <w:rFonts w:ascii="Consolas" w:hAnsi="Consolas"/>
          <w:sz w:val="18"/>
        </w:rPr>
        <w:t>C13</w:t>
      </w:r>
      <w:r>
        <w:t xml:space="preserve">, </w:t>
      </w:r>
      <w:r>
        <w:rPr>
          <w:rFonts w:ascii="Consolas" w:hAnsi="Consolas"/>
          <w:sz w:val="18"/>
        </w:rPr>
        <w:t>C1</w:t>
      </w:r>
      <w:r>
        <w:t xml:space="preserve">, </w:t>
      </w:r>
      <w:r>
        <w:rPr>
          <w:rFonts w:ascii="Consolas" w:hAnsi="Consolas"/>
          <w:sz w:val="18"/>
        </w:rPr>
        <w:t>C14</w:t>
      </w:r>
      <w:r>
        <w:t xml:space="preserve"> e </w:t>
      </w:r>
      <w:r>
        <w:rPr>
          <w:rFonts w:ascii="Consolas" w:hAnsi="Consolas"/>
          <w:sz w:val="18"/>
        </w:rPr>
        <w:t>card1</w:t>
      </w:r>
      <w:r>
        <w:t xml:space="preserve">. Duas proxies com semântica documentada também aparecem cedo no ranking: </w:t>
      </w:r>
      <w:r>
        <w:rPr>
          <w:rFonts w:ascii="Consolas" w:hAnsi="Consolas"/>
          <w:sz w:val="18"/>
        </w:rPr>
        <w:t>valor_atipico_proxy</w:t>
      </w:r>
      <w:r>
        <w:t xml:space="preserve"> em 7º lugar e </w:t>
      </w:r>
      <w:r>
        <w:rPr>
          <w:rFonts w:ascii="Consolas" w:hAnsi="Consolas"/>
          <w:sz w:val="18"/>
        </w:rPr>
        <w:t>frequencia_recente_proxy</w:t>
      </w:r>
      <w:r>
        <w:t xml:space="preserve"> em 13º. Esse resultado indica influência no comportamento do modelo; </w:t>
      </w:r>
      <w:r>
        <w:rPr>
          <w:b/>
        </w:rPr>
        <w:t>não prova causalidade</w:t>
      </w:r>
      <w:r>
        <w:t xml:space="preserve"> e não revela o significado oculto das colunas anônimas.</w:t>
      </w:r>
    </w:p>
    <w:p>
      <w:r>
        <w:t xml:space="preserve">Foram produzidos force plots para um verdadeiro positivo, um falso positivo, um falso negativo e um verdadeiro negativo, escolhidos pela probabilidade mediana de cada quadrante. A fidelidade numérica foi verificada em todas as linhas explicadas: o erro máximo em </w:t>
      </w:r>
      <w:r>
        <w:rPr>
          <w:rFonts w:ascii="Consolas" w:hAnsi="Consolas"/>
          <w:sz w:val="18"/>
        </w:rPr>
        <w:t>valor base + soma das contribuições = probabilidade prevista</w:t>
      </w:r>
      <w:r>
        <w:t xml:space="preserve"> foi 3,04 × 10^-7, abaixo da tolerância 10^-5. O relatório, o summary plot e os quatro casos estão em </w:t>
      </w:r>
      <w:r>
        <w:rPr>
          <w:rFonts w:ascii="Consolas" w:hAnsi="Consolas"/>
          <w:sz w:val="18"/>
        </w:rPr>
        <w:t>reports/pessoa_1/julho/shap/</w:t>
      </w:r>
      <w:r>
        <w:t>.</w:t>
      </w:r>
    </w:p>
    <w:p>
      <w:r>
        <w:t>Os casos SHAP históricos foram selecionados com limiar 0,5. A escolha posterior do limiar F1 não altera as contribuições, mas pode alterar a classificação de casos locais; por isso, seus rótulos VP, FP, FN e VN não são reapresentados como se tivessem sido calculados com o limiar final.</w:t>
      </w:r>
    </w:p>
    <w:p>
      <w:pPr>
        <w:pStyle w:val="Heading1"/>
      </w:pPr>
      <w:r>
        <w:t>5. Avaliação final no teste</w:t>
      </w:r>
    </w:p>
    <w:p>
      <w:r>
        <w:t xml:space="preserve">A avaliação final foi executada em 18/09/2026, sobre as 88.581 transações do período de teste, com 3.083 fraudes (3,4804%). O modelo e o pré-processador foram carregados por </w:t>
      </w:r>
      <w:r>
        <w:rPr>
          <w:rFonts w:ascii="Consolas" w:hAnsi="Consolas"/>
          <w:sz w:val="18"/>
        </w:rPr>
        <w:t>src.models.persistencia.carregar</w:t>
      </w:r>
      <w:r>
        <w:t>, com verificação de hashes. Não houve retreino ou novo ajuste de pré-processamento.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rHeight w:hRule="atLeast"/>
          <w:tblHeader w:val="true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Validação no limiar F1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Teste com limiar congelado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Limiar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0,6834220290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0,6834220290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AUC-PR (average precision)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0,5719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0,4833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AUC-ROC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0,9067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0,8700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Precisão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0,6680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0,5852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Recall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0,4829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0,4324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F1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0,5606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0,4973</w:t>
            </w:r>
          </w:p>
        </w:tc>
      </w:tr>
    </w:tbl>
    <w:p>
      <w:pPr>
        <w:spacing w:after="20"/>
      </w:pPr>
    </w:p>
    <w:p>
      <w:r>
        <w:t>Matriz de confusão no teste, com linhas representando a classe real e colunas representando a classificação do modelo: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rHeight w:hRule="atLeast"/>
          <w:tblHeader w:val="true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Classe real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Prevista legítima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Prevista fraude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Legítima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84.553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945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Fraude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1.750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1.333</w:t>
            </w:r>
          </w:p>
        </w:tc>
      </w:tr>
    </w:tbl>
    <w:p>
      <w:pPr>
        <w:spacing w:after="20"/>
      </w:pPr>
    </w:p>
    <w:p>
      <w:r>
        <w:t>O modelo sinalizou 2.278 transações e recuperou 1.333 das 3.083 fraudes rotuladas. A AUC-PR caiu aproximadamente 0,0887 entre validação e teste, evidenciando degradação no período posterior. Esses resultados não sustentam desempenho equivalente em Pix real.</w:t>
      </w:r>
    </w:p>
    <w:p>
      <w:r>
        <w:t xml:space="preserve">Os valores completos, versões, hashes do dataset e hashes do artefato estão em </w:t>
      </w:r>
      <w:r>
        <w:rPr>
          <w:rFonts w:ascii="Consolas" w:hAnsi="Consolas"/>
          <w:sz w:val="18"/>
        </w:rPr>
        <w:t>reports/avaliacao_xgboost_entregue.json</w:t>
      </w:r>
      <w:r>
        <w:t xml:space="preserve">. O limiar foi salvo em </w:t>
      </w:r>
      <w:r>
        <w:rPr>
          <w:rFonts w:ascii="Consolas" w:hAnsi="Consolas"/>
          <w:sz w:val="18"/>
        </w:rPr>
        <w:t>models/xgboost/politica_decisao.json</w:t>
      </w:r>
      <w:r>
        <w:t xml:space="preserve"> antes da inferência no teste. O script </w:t>
      </w:r>
      <w:r>
        <w:rPr>
          <w:rFonts w:ascii="Consolas" w:hAnsi="Consolas"/>
          <w:sz w:val="18"/>
        </w:rPr>
        <w:t>scripts/avaliar_xgboost_entregue.py</w:t>
      </w:r>
      <w:r>
        <w:t xml:space="preserve"> recusa sobrescrever uma avaliação já registrada.</w:t>
      </w:r>
    </w:p>
    <w:p>
      <w:pPr>
        <w:pStyle w:val="Heading1"/>
      </w:pPr>
      <w:r>
        <w:t>6. Ressalvas metodológicas</w:t>
      </w:r>
    </w:p>
    <w:p>
      <w:r>
        <w:rPr>
          <w:b/>
        </w:rPr>
        <w:t>As métricas de decisão não são comparáveis entre modelos no limiar padrão.</w:t>
      </w:r>
      <w:r>
        <w:t xml:space="preserve"> No corte de 0,5, os modelos operam em pontos muito distintos da curva: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rHeight w:hRule="atLeast"/>
          <w:tblHeader w:val="true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Precisão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Regressão logística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0,68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0,14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XGBoost padrão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0,67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0,27</w:t>
            </w:r>
          </w:p>
        </w:tc>
      </w:tr>
      <w:tr>
        <w:trPr>
          <w:trHeight w:hRule="atLeast"/>
        </w:trPr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Random Forest, árvores completas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0,32</w:t>
            </w:r>
          </w:p>
        </w:tc>
        <w:tc>
          <w:tcPr>
            <w:tcW w:type="dxa" w:w="3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0,80</w:t>
            </w:r>
          </w:p>
        </w:tc>
      </w:tr>
    </w:tbl>
    <w:p>
      <w:pPr>
        <w:spacing w:after="20"/>
      </w:pPr>
    </w:p>
    <w:p>
      <w:r>
        <w:t xml:space="preserve">Cada modelo distribui suas probabilidades de forma própria, e o mesmo 0,5 cai em lugares diferentes de cada curva. Comparar precisão, recall ou F1 nesse ponto compara </w:t>
      </w:r>
      <w:r>
        <w:rPr>
          <w:b/>
        </w:rPr>
        <w:t>calibração</w:t>
      </w:r>
      <w:r>
        <w:t>, não qualidade. A comparação legítima entre modelos é a AUC-PR, que independe do limiar.</w:t>
      </w:r>
    </w:p>
    <w:p>
      <w:r>
        <w:rPr>
          <w:b/>
        </w:rPr>
        <w:t>Critério adotado: maximização de F1 na validação.</w:t>
      </w:r>
      <w:r>
        <w:t xml:space="preserve"> A dupla decidiu usar </w:t>
      </w:r>
      <w:r>
        <w:rPr>
          <w:rFonts w:ascii="Consolas" w:hAnsi="Consolas"/>
          <w:sz w:val="18"/>
        </w:rPr>
        <w:t>criterio="f1"</w:t>
      </w:r>
      <w:r>
        <w:t xml:space="preserve">, pois restrições de precisão mínima ou recall mínimo exigiriam alvos numéricos sem justificativa operacional disponível. A função </w:t>
      </w:r>
      <w:r>
        <w:rPr>
          <w:rFonts w:ascii="Consolas" w:hAnsi="Consolas"/>
          <w:sz w:val="18"/>
        </w:rPr>
        <w:t>escolher_limiar</w:t>
      </w:r>
      <w:r>
        <w:t xml:space="preserve"> selecionou 0,6834220290184021; em empate de F1, a implementação escolhe o menor limiar. Essa escolha não usa os rótulos do teste.</w:t>
      </w:r>
    </w:p>
    <w:p>
      <w:r>
        <w:t>O quadro acima preserva os pontos de operação históricos no corte 0,5. Aplicar 0,683422 aos outros modelos não remove diferenças de calibração e não equivale a selecionar F1 para cada modelo. Não foi calculada uma nova comparação nesse corte: os artefatos ou vetores de probabilidades da regressão logística e do Random Forest não estavam disponíveis nesta execução. Essa comparação permanece uma limitação explícita; a comparação principal da seção 2 usa AUC-PR, independente de limiar.</w:t>
      </w:r>
    </w:p>
    <w:p>
      <w:r>
        <w:rPr>
          <w:b/>
        </w:rPr>
        <w:t>Profundidade no Random Forest.</w:t>
      </w:r>
      <w:r>
        <w:t xml:space="preserve"> Com árvores completas, a floresta chega a profundidade média 64 e 16.430 folhas por árvore - memorização de transações individuais. Limitar a profundidade a 20 reduz o custo, mas </w:t>
      </w:r>
      <w:r>
        <w:rPr>
          <w:b/>
        </w:rPr>
        <w:t>custa 0,07 de AUC-PR</w:t>
      </w:r>
      <w:r>
        <w:t xml:space="preserve"> (0,4573 contra 0,5298). A capacidade extra é aproveitada pela média das 100 árvores, e por isso foi mantida.</w:t>
      </w:r>
    </w:p>
    <w:p>
      <w:r>
        <w:t>Uma medição preliminar com 10 árvores havia indicado empate entre as duas configurações. A conclusão não se sustentou com 100: extrapolação linear vale para custo, não para qualidade.</w:t>
      </w:r>
    </w:p>
    <w:p>
      <w:pPr>
        <w:pStyle w:val="Heading1"/>
      </w:pPr>
      <w:r>
        <w:t>7. Limitações assumidas</w:t>
      </w:r>
    </w:p>
    <w:p>
      <w:pPr>
        <w:pStyle w:val="ListBullet"/>
      </w:pPr>
      <w:r>
        <w:rPr>
          <w:b/>
        </w:rPr>
        <w:t>O dataset é de cartão, não de Pix</w:t>
      </w:r>
      <w:r>
        <w:t xml:space="preserve"> - nenhum resultado indica desempenho no Pix real.</w:t>
      </w:r>
    </w:p>
    <w:p>
      <w:pPr>
        <w:pStyle w:val="ListBullet"/>
      </w:pPr>
      <w:r>
        <w:rPr>
          <w:b/>
        </w:rPr>
        <w:t>Três variáveis da proposta não têm equivalente no IEEE-CIS</w:t>
      </w:r>
      <w:r>
        <w:t>: tipo de chave Pix, perfil do destinatário e idade da conta.</w:t>
      </w:r>
    </w:p>
    <w:p>
      <w:pPr>
        <w:pStyle w:val="ListBullet"/>
      </w:pPr>
      <w:r>
        <w:rPr>
          <w:b/>
        </w:rPr>
        <w:t>O Random Forest não passou por busca de hiperparâmetros</w:t>
      </w:r>
      <w:r>
        <w:t>, conforme seu papel de modelo comparativo na proposta. A comparação com o XGBoost ajustado precisa ser lida com essa assimetria em mente.</w:t>
      </w:r>
    </w:p>
    <w:p>
      <w:pPr>
        <w:pStyle w:val="ListBullet"/>
      </w:pPr>
      <w:r>
        <w:rPr>
          <w:b/>
        </w:rPr>
        <w:t>Retreino e carregamento são procedimentos diferentes</w:t>
      </w:r>
      <w:r>
        <w:t>: reconstruir árvores pode variar com versões e operações numéricas. Nesta avaliação, carregar o mesmo artefato reproduziu as métricas registradas na validação. O comportamento observado não garante igualdade bit a bit em qualquer ambiente.</w:t>
      </w:r>
    </w:p>
    <w:p>
      <w:pPr>
        <w:pStyle w:val="ListBullet"/>
      </w:pPr>
      <w:r>
        <w:rPr>
          <w:b/>
        </w:rPr>
        <w:t>A busca amostral é uma aproximação</w:t>
      </w:r>
      <w:r>
        <w:t>: o candidato na cauda do treino marcou 0,5912. Para a entrega, usa-se 0,5719 do artefato congelado; 0,5703 identifica somente a execução histórica do tuning.</w:t>
      </w:r>
    </w:p>
    <w:p>
      <w:pPr>
        <w:pStyle w:val="ListBullet"/>
      </w:pPr>
      <w:r>
        <w:rPr>
          <w:b/>
        </w:rPr>
        <w:t>A melhor tentativa atingiu os limites do espaço reduzido</w:t>
      </w:r>
      <w:r>
        <w:t xml:space="preserve"> (300 árvores e profundidade 8), de modo que a busca não demonstra que esses tetos sejam ótimos globais.</w:t>
      </w:r>
    </w:p>
    <w:p>
      <w:pPr>
        <w:pStyle w:val="ListBullet"/>
      </w:pPr>
      <w:r>
        <w:rPr>
          <w:b/>
        </w:rPr>
        <w:t>Há degradação temporal no XGBoost entregue</w:t>
      </w:r>
      <w:r>
        <w:t>: a AUC-PR caiu de 0,5719 na validação para 0,4833 no teste preservado.</w:t>
      </w:r>
    </w:p>
    <w:p>
      <w:pPr>
        <w:pStyle w:val="Heading1"/>
      </w:pPr>
      <w:r>
        <w:t>8. Próxima etapa</w:t>
      </w:r>
    </w:p>
    <w:p>
      <w:r>
        <w:t>O código de integração das três camadas está integrado ao repositório: recuperador documental, construção de prompt, pipeline e notebook demonstrativo. O índice reconstruído possui proveniência própria. Permanecem pendentes a ativação do cliente LLM, a resolução das entradas do pipeline na interface e a avaliação experimental das explicações; testes com clientes simulados não equivalem a geração real pelo LLM.</w:t>
      </w:r>
    </w:p>
    <w:p>
      <w:pPr>
        <w:pStyle w:val="Heading1"/>
      </w:pPr>
      <w:r>
        <w:t>9. Ponto para alinhamento</w:t>
      </w:r>
    </w:p>
    <w:p>
      <w:r>
        <w:t>O envio ao orientador deve ser feito pela dupla após a revisão deste documento. A implementação do cliente LLM, o responsável pela chave e o teto mensal de custo exigem decisão operacional conjunta. A presente entrega conclui a medição do modelo principal e a escolha do limiar; não declara a geração RAG ou a comparação de todos os classificadores no limiar final como concluídas.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53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66573"/>
        <w:sz w:val="16"/>
      </w:rPr>
      <w:t>TCC · Fraude Pix com Machine Learning, SHAP e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Quote">
    <w:name w:val="Academic Quote"/>
    <w:basedOn w:val="Normal"/>
    <w:pPr>
      <w:spacing w:before="80" w:after="160"/>
      <w:ind w:left="283" w:right="283"/>
    </w:pPr>
    <w:rPr>
      <w:rFonts w:ascii="Arial" w:hAnsi="Arial"/>
      <w:color w:val="56657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parcial 2 — Modelos de classificação e explicabilidade</dc:title>
  <dc:subject>Avaliação final do XGBoost e explicabilidade SHAP</dc:subject>
  <dc:creator>Letícia Alves; Lucas Nogueira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