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e1fa2c98804965d0b904af30c8ac314d0a2f09f"/>
    <w:p>
      <w:pPr>
        <w:pStyle w:val="Heading1"/>
      </w:pPr>
      <w:r>
        <w:t xml:space="preserve">Entrega parcial 1 — EDA, features Pix simuladas e baseline de referência</w:t>
      </w:r>
    </w:p>
    <w:p>
      <w:pPr>
        <w:pStyle w:val="FirstParagraph"/>
      </w:pPr>
      <w:r>
        <w:rPr>
          <w:b/>
          <w:bCs/>
        </w:rPr>
        <w:t xml:space="preserve">TCC:</w:t>
      </w:r>
      <w:r>
        <w:t xml:space="preserve"> </w:t>
      </w:r>
      <w:r>
        <w:t xml:space="preserve">Protótipo Híbrido para Detecção e Explicação de Fraudes em Transações Pix Simuladas Utilizando Machine Learning, SHAP e RAG</w:t>
      </w:r>
      <w:r>
        <w:t xml:space="preserve"> </w:t>
      </w:r>
      <w:r>
        <w:rPr>
          <w:b/>
          <w:bCs/>
        </w:rPr>
        <w:t xml:space="preserve">Autores:</w:t>
      </w:r>
      <w:r>
        <w:t xml:space="preserve"> </w:t>
      </w:r>
      <w:r>
        <w:t xml:space="preserve">Letícia Alves (ML e dados) · Lucas Nogueira (RAG e escrita)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10/09/2026</w:t>
      </w:r>
    </w:p>
    <w:p>
      <w:r>
        <w:pict>
          <v:rect style="width:0;height:1.5pt" o:hralign="center" o:hrstd="t" o:hr="t"/>
        </w:pict>
      </w:r>
    </w:p>
    <w:bookmarkStart w:id="9" w:name="declaração-sobre-os-dados"/>
    <w:p>
      <w:pPr>
        <w:pStyle w:val="Heading2"/>
      </w:pPr>
      <w:r>
        <w:t xml:space="preserve">Declaração sobre os dados</w:t>
      </w:r>
    </w:p>
    <w:p>
      <w:pPr>
        <w:pStyle w:val="FirstParagraph"/>
      </w:pPr>
      <w:r>
        <w:t xml:space="preserve">Este trabalho</w:t>
      </w:r>
      <w:r>
        <w:t xml:space="preserve"> </w:t>
      </w:r>
      <w:r>
        <w:rPr>
          <w:b/>
          <w:bCs/>
        </w:rPr>
        <w:t xml:space="preserve">não utiliza dados reais do Pix</w:t>
      </w:r>
      <w:r>
        <w:t xml:space="preserve"> </w:t>
      </w:r>
      <w:r>
        <w:t xml:space="preserve">nem de qualquer instituição financeira. Os experimentos usam o dataset público IEEE-CIS Fraud Detection (Kaggle), que contém transações de comércio eletrônico com cartão. As variáveis inspiradas no Pix são</w:t>
      </w:r>
      <w:r>
        <w:t xml:space="preserve"> </w:t>
      </w:r>
      <w:r>
        <w:rPr>
          <w:b/>
          <w:bCs/>
        </w:rPr>
        <w:t xml:space="preserve">proxies analíticos documentados</w:t>
      </w:r>
      <w:r>
        <w:t xml:space="preserve">, construídos a partir das colunas do IEEE-CIS, conforme a seção 4.1 da proposta aprovada. Os resultados aqui não comprovam desempenho operacional no Pix, e o protótipo não deve ser usado para bloquear transações ou acusar pessoas.</w:t>
      </w:r>
    </w:p>
    <w:p>
      <w:r>
        <w:pict>
          <v:rect style="width:0;height:1.5pt" o:hralign="center" o:hrstd="t" o:hr="t"/>
        </w:pict>
      </w:r>
    </w:p>
    <w:bookmarkEnd w:id="9"/>
    <w:bookmarkStart w:id="10" w:name="o-que-esta-entrega-cobre"/>
    <w:p>
      <w:pPr>
        <w:pStyle w:val="Heading2"/>
      </w:pPr>
      <w:r>
        <w:t xml:space="preserve">1. O que esta entrega cobre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Análise exploratória do dataset</w:t>
            </w:r>
          </w:p>
        </w:tc>
        <w:tc>
          <w:tcPr/>
          <w:p>
            <w:pPr>
              <w:pStyle w:val="Compac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Pix simuladas (4 conceitos)</w:t>
            </w:r>
          </w:p>
        </w:tc>
        <w:tc>
          <w:tcPr/>
          <w:p>
            <w:pPr>
              <w:pStyle w:val="Compact"/>
            </w:pPr>
            <w:r>
              <w:t xml:space="preserve">Implementadas e aprovadas pela dupla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Pré-processamento completo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Divisão treino/validação/teste</w:t>
            </w:r>
          </w:p>
        </w:tc>
        <w:tc>
          <w:tcPr/>
          <w:p>
            <w:pPr>
              <w:pStyle w:val="Compact"/>
            </w:pPr>
            <w:r>
              <w:t xml:space="preserve">Implementada e verificada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(Regressão Logística) treinado e avaliado</w:t>
            </w:r>
          </w:p>
        </w:tc>
        <w:tc>
          <w:tcPr/>
          <w:p>
            <w:pPr>
              <w:pStyle w:val="Compact"/>
            </w:pPr>
            <w:r>
              <w:t xml:space="preserve">Concluído</w:t>
            </w:r>
          </w:p>
        </w:tc>
      </w:tr>
    </w:tbl>
    <w:p>
      <w:pPr>
        <w:pStyle w:val="BodyText"/>
      </w:pPr>
      <w:r>
        <w:t xml:space="preserve">O escopo previsto para esta entrega era EDA e features. O baseline foi incluído porque já está concluído e porque produziu um resultado que muda a leitura do projeto (seção 5).</w:t>
      </w:r>
    </w:p>
    <w:p>
      <w:r>
        <w:pict>
          <v:rect style="width:0;height:1.5pt" o:hralign="center" o:hrstd="t" o:hr="t"/>
        </w:pict>
      </w:r>
    </w:p>
    <w:bookmarkEnd w:id="10"/>
    <w:bookmarkStart w:id="11" w:name="dados"/>
    <w:p>
      <w:pPr>
        <w:pStyle w:val="Heading2"/>
      </w:pPr>
      <w:r>
        <w:t xml:space="preserve">2. Dados</w:t>
      </w:r>
    </w:p>
    <w:p>
      <w:pPr>
        <w:pStyle w:val="FirstParagraph"/>
      </w:pPr>
      <w:r>
        <w:t xml:space="preserve">O IEEE-CIS traz duas tabelas, unidas pelo</w:t>
      </w:r>
      <w:r>
        <w:t xml:space="preserve"> </w:t>
      </w:r>
      <w:r>
        <w:rPr>
          <w:rStyle w:val="VerbatimChar"/>
        </w:rPr>
        <w:t xml:space="preserve">TransactionID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Medida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Transações</w:t>
            </w:r>
          </w:p>
        </w:tc>
        <w:tc>
          <w:tcPr/>
          <w:p>
            <w:pPr>
              <w:pStyle w:val="Compact"/>
            </w:pPr>
            <w:r>
              <w:t xml:space="preserve">590.540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Fraudes marcadas</w:t>
            </w:r>
          </w:p>
        </w:tc>
        <w:tc>
          <w:tcPr/>
          <w:p>
            <w:pPr>
              <w:pStyle w:val="Compact"/>
            </w:pPr>
            <w:r>
              <w:t xml:space="preserve">20.663 (3,499%)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Razão legítima:fraude</w:t>
            </w:r>
          </w:p>
        </w:tc>
        <w:tc>
          <w:tcPr/>
          <w:p>
            <w:pPr>
              <w:pStyle w:val="Compact"/>
            </w:pPr>
            <w:r>
              <w:t xml:space="preserve">27,6 :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Colunas após a junção</w:t>
            </w:r>
          </w:p>
        </w:tc>
        <w:tc>
          <w:tcPr/>
          <w:p>
            <w:pPr>
              <w:pStyle w:val="Compact"/>
            </w:pPr>
            <w:r>
              <w:t xml:space="preserve">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Cobertura da tabela de identidade</w:t>
            </w:r>
          </w:p>
        </w:tc>
        <w:tc>
          <w:tcPr/>
          <w:p>
            <w:pPr>
              <w:pStyle w:val="Compact"/>
            </w:pPr>
            <w:r>
              <w:t xml:space="preserve">24,4% das transações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Extensão relativa de</w:t>
            </w:r>
            <w:r>
              <w:t xml:space="preserve"> </w:t>
            </w:r>
            <w:r>
              <w:rPr>
                <w:rStyle w:val="VerbatimChar"/>
              </w:rPr>
              <w:t xml:space="preserve">TransactionDT</w:t>
            </w:r>
          </w:p>
        </w:tc>
        <w:tc>
          <w:tcPr/>
          <w:p>
            <w:pPr>
              <w:pStyle w:val="Compact"/>
            </w:pPr>
            <w:r>
              <w:t xml:space="preserve">~182 dias</w:t>
            </w:r>
          </w:p>
        </w:tc>
      </w:tr>
    </w:tbl>
    <w:p>
      <w:pPr>
        <w:pStyle w:val="BodyText"/>
      </w:pPr>
      <w:r>
        <w:t xml:space="preserve">O desbalanceamento de 27,6:1 é o fato que organiza todas as decisões seguintes: um classificador que sempre responda</w:t>
      </w:r>
      <w:r>
        <w:t xml:space="preserve"> </w:t>
      </w:r>
      <w:r>
        <w:t xml:space="preserve">“não é fraude”</w:t>
      </w:r>
      <w:r>
        <w:t xml:space="preserve"> </w:t>
      </w:r>
      <w:r>
        <w:t xml:space="preserve">acerta 96,5% dos casos e é inútil. Por isso a acurácia não é reportada em nenhum momento deste trabalho.</w:t>
      </w:r>
    </w:p>
    <w:p>
      <w:pPr>
        <w:pStyle w:val="BodyText"/>
      </w:pPr>
      <w:r>
        <w:t xml:space="preserve">Este documento é o relatório oficial desta entrega. O detalhamento técnico da EDA — padrão de nulos, correlações e o registro completo das features — está em</w:t>
      </w:r>
      <w:r>
        <w:t xml:space="preserve"> </w:t>
      </w:r>
      <w:r>
        <w:rPr>
          <w:rStyle w:val="VerbatimChar"/>
        </w:rPr>
        <w:t xml:space="preserve">reports/pessoa_2/junho/04_entrega_parcial_eda_features.md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reports/eda_summary.txt</w:t>
      </w:r>
      <w:r>
        <w:t xml:space="preserve">, que funcionam como evidência de apoio e não como relatórios independentes.</w:t>
      </w:r>
    </w:p>
    <w:p>
      <w:r>
        <w:pict>
          <v:rect style="width:0;height:1.5pt" o:hralign="center" o:hrstd="t" o:hr="t"/>
        </w:pict>
      </w:r>
    </w:p>
    <w:bookmarkEnd w:id="11"/>
    <w:bookmarkStart w:id="12" w:name="features-pix-simuladas"/>
    <w:p>
      <w:pPr>
        <w:pStyle w:val="Heading2"/>
      </w:pPr>
      <w:r>
        <w:t xml:space="preserve">3. Features Pix simuladas</w:t>
      </w:r>
    </w:p>
    <w:p>
      <w:pPr>
        <w:pStyle w:val="FirstParagraph"/>
      </w:pPr>
      <w:r>
        <w:t xml:space="preserve">Quatro conceitos implementados em</w:t>
      </w:r>
      <w:r>
        <w:t xml:space="preserve"> </w:t>
      </w:r>
      <w:r>
        <w:rPr>
          <w:rStyle w:val="VerbatimChar"/>
        </w:rPr>
        <w:t xml:space="preserve">src/features/pix_features.py</w:t>
      </w:r>
      <w:r>
        <w:t xml:space="preserve">, aprovados pela dupla em 16/08/2026 (ata em</w:t>
      </w:r>
      <w:r>
        <w:t xml:space="preserve"> </w:t>
      </w:r>
      <w:r>
        <w:rPr>
          <w:rStyle w:val="VerbatimChar"/>
        </w:rPr>
        <w:t xml:space="preserve">reports/reunioes/</w:t>
      </w:r>
      <w:r>
        <w:t xml:space="preserve">), gerando seis colunas: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Conceito da proposta</w:t>
            </w:r>
          </w:p>
        </w:tc>
        <w:tc>
          <w:tcPr/>
          <w:p>
            <w:pPr>
              <w:pStyle w:val="Compact"/>
            </w:pPr>
            <w:r>
              <w:t xml:space="preserve">Ressalva obrigatória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valor_atipico_proxy</w:t>
            </w:r>
          </w:p>
        </w:tc>
        <w:tc>
          <w:tcPr/>
          <w:p>
            <w:pPr>
              <w:pStyle w:val="Compact"/>
            </w:pPr>
            <w:r>
              <w:t xml:space="preserve">valor atípico / mudança brusca de comportamento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card1</w:t>
            </w:r>
            <w:r>
              <w:t xml:space="preserve"> </w:t>
            </w:r>
            <w:r>
              <w:t xml:space="preserve">é identificador mascarado, não conta nem chave Pix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frequencia_recente_proxy</w:t>
            </w:r>
          </w:p>
        </w:tc>
        <w:tc>
          <w:tcPr/>
          <w:p>
            <w:pPr>
              <w:pStyle w:val="Compact"/>
            </w:pPr>
            <w:r>
              <w:t xml:space="preserve">frequência de transações recentes</w:t>
            </w:r>
          </w:p>
        </w:tc>
        <w:tc>
          <w:tcPr/>
          <w:p>
            <w:pPr>
              <w:pStyle w:val="Compact"/>
            </w:pPr>
            <w:r>
              <w:t xml:space="preserve">a janela usa o relógio relativo do dataset, não um dia civil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dispositivo_raro_proxy</w:t>
            </w:r>
          </w:p>
        </w:tc>
        <w:tc>
          <w:tcPr/>
          <w:p>
            <w:pPr>
              <w:pStyle w:val="Compact"/>
            </w:pPr>
            <w:r>
              <w:t xml:space="preserve">dispositivo conhecido ou desconhecido</w:t>
            </w:r>
          </w:p>
        </w:tc>
        <w:tc>
          <w:tcPr/>
          <w:p>
            <w:pPr>
              <w:pStyle w:val="Compact"/>
            </w:pPr>
            <w:r>
              <w:t xml:space="preserve">raridade estatística não equivale a dispositivo comprometido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posicao_ciclo_diario_relativa</w:t>
            </w:r>
          </w:p>
        </w:tc>
        <w:tc>
          <w:tcPr/>
          <w:p>
            <w:pPr>
              <w:pStyle w:val="Compact"/>
            </w:pPr>
            <w:r>
              <w:t xml:space="preserve">horário da transação</w:t>
            </w:r>
          </w:p>
        </w:tc>
        <w:tc>
          <w:tcPr/>
          <w:p>
            <w:pPr>
              <w:pStyle w:val="Compact"/>
            </w:pPr>
            <w:r>
              <w:t xml:space="preserve">origem e fuso de</w:t>
            </w:r>
            <w:r>
              <w:t xml:space="preserve"> </w:t>
            </w:r>
            <w:r>
              <w:rPr>
                <w:rStyle w:val="VerbatimChar"/>
              </w:rPr>
              <w:t xml:space="preserve">TransactionDT</w:t>
            </w:r>
            <w:r>
              <w:t xml:space="preserve"> </w:t>
            </w:r>
            <w:r>
              <w:t xml:space="preserve">não são publicados</w:t>
            </w:r>
          </w:p>
        </w:tc>
      </w:tr>
    </w:tbl>
    <w:p>
      <w:pPr>
        <w:pStyle w:val="BodyText"/>
      </w:pPr>
      <w:r>
        <w:t xml:space="preserve">Todas são</w:t>
      </w:r>
      <w:r>
        <w:t xml:space="preserve"> </w:t>
      </w:r>
      <w:r>
        <w:rPr>
          <w:b/>
          <w:bCs/>
        </w:rPr>
        <w:t xml:space="preserve">causais</w:t>
      </w:r>
      <w:r>
        <w:t xml:space="preserve">: usam apenas transações anteriores à linha avaliada, sem consultar o alvo nem eventos futuros.</w:t>
      </w:r>
    </w:p>
    <w:p>
      <w:pPr>
        <w:pStyle w:val="BodyText"/>
      </w:pPr>
      <w:r>
        <w:t xml:space="preserve">Três itens da proposta permanecem</w:t>
      </w:r>
      <w:r>
        <w:t xml:space="preserve"> </w:t>
      </w:r>
      <w:r>
        <w:rPr>
          <w:b/>
          <w:bCs/>
        </w:rPr>
        <w:t xml:space="preserve">sem feature correspondente</w:t>
      </w:r>
      <w:r>
        <w:t xml:space="preserve">, por não terem equivalente no IEEE-CIS: tipo de chave Pix, perfil do destinatário e idade da conta. Serão declarados como limitação no Capítulo 4.</w:t>
      </w:r>
    </w:p>
    <w:p>
      <w:r>
        <w:pict>
          <v:rect style="width:0;height:1.5pt" o:hralign="center" o:hrstd="t" o:hr="t"/>
        </w:pict>
      </w:r>
    </w:p>
    <w:bookmarkEnd w:id="12"/>
    <w:bookmarkStart w:id="13" w:name="pré-processamento-e-divisão-dos-dados"/>
    <w:p>
      <w:pPr>
        <w:pStyle w:val="Heading2"/>
      </w:pPr>
      <w:r>
        <w:t xml:space="preserve">4. Pré-processamento e divisão dos dados</w:t>
      </w:r>
    </w:p>
    <w:p>
      <w:pPr>
        <w:pStyle w:val="FirstParagraph"/>
      </w:pPr>
      <w:r>
        <w:rPr>
          <w:b/>
          <w:bCs/>
        </w:rPr>
        <w:t xml:space="preserve">Tratamento por grupo de coluna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src/features/preprocessor.py</w:t>
      </w:r>
      <w:r>
        <w:t xml:space="preserve">): 406 numéricas recebem imputação por mediana e padronização; 11 categóricas de baixa cardinalidade viram one-hot; 18 de alta cardinalidade recebem codificação por frequência. Todo ajuste estatístico é aprendido</w:t>
      </w:r>
      <w:r>
        <w:t xml:space="preserve"> </w:t>
      </w:r>
      <w:r>
        <w:rPr>
          <w:b/>
          <w:bCs/>
        </w:rPr>
        <w:t xml:space="preserve">somente no conjunto de treino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card4</w:t>
      </w:r>
      <w:r>
        <w:t xml:space="preserve"> </w:t>
      </w:r>
      <w:r>
        <w:t xml:space="preserve">(bandeira do cartão) e</w:t>
      </w:r>
      <w:r>
        <w:t xml:space="preserve"> </w:t>
      </w:r>
      <w:r>
        <w:rPr>
          <w:rStyle w:val="VerbatimChar"/>
        </w:rPr>
        <w:t xml:space="preserve">card6</w:t>
      </w:r>
      <w:r>
        <w:t xml:space="preserve"> </w:t>
      </w:r>
      <w:r>
        <w:t xml:space="preserve">(crédito/débito) foram</w:t>
      </w:r>
      <w:r>
        <w:t xml:space="preserve"> </w:t>
      </w:r>
      <w:r>
        <w:rPr>
          <w:b/>
          <w:bCs/>
        </w:rPr>
        <w:t xml:space="preserve">excluídas</w:t>
      </w:r>
      <w:r>
        <w:t xml:space="preserve">: são conceitos exclusivos do domínio de cartão, sem equivalente possível no Pix, e não constam da lista de variáveis da proposta aprovada.</w:t>
      </w:r>
    </w:p>
    <w:p>
      <w:pPr>
        <w:pStyle w:val="BodyText"/>
      </w:pPr>
      <w:r>
        <w:rPr>
          <w:b/>
          <w:bCs/>
        </w:rPr>
        <w:t xml:space="preserve">A divisão é temporal, não aleatória</w:t>
      </w:r>
      <w:r>
        <w:t xml:space="preserve">: as transações mais antigas formam o treino, as mais recentes o teste. Em detecção de fraude, só se tem o passado para prever o futuro; um sorteio aleatório permitiria ao modelo aprender padrões de datas posteriores às que ele tenta prever.</w:t>
      </w:r>
    </w:p>
    <w:p>
      <w:pPr>
        <w:pStyle w:val="BodyText"/>
      </w:pPr>
      <w:r>
        <w:t xml:space="preserve">A preocupação natural é que, sem estratificar, os conjuntos fiquem desbalanceados entre si. Verificamos no dataset completo que isso não ocorre: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Conjunto</w:t>
            </w:r>
          </w:p>
        </w:tc>
        <w:tc>
          <w:tcPr/>
          <w:p>
            <w:pPr>
              <w:pStyle w:val="Compact"/>
            </w:pPr>
            <w:r>
              <w:t xml:space="preserve">Transações</w:t>
            </w:r>
          </w:p>
        </w:tc>
        <w:tc>
          <w:tcPr/>
          <w:p>
            <w:pPr>
              <w:pStyle w:val="Compact"/>
            </w:pPr>
            <w:r>
              <w:t xml:space="preserve">Fraudes</w:t>
            </w:r>
          </w:p>
        </w:tc>
        <w:tc>
          <w:tcPr/>
          <w:p>
            <w:pPr>
              <w:pStyle w:val="Compact"/>
            </w:pPr>
            <w:r>
              <w:t xml:space="preserve">Taxa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Treino</w:t>
            </w:r>
          </w:p>
        </w:tc>
        <w:tc>
          <w:tcPr/>
          <w:p>
            <w:pPr>
              <w:pStyle w:val="Compact"/>
            </w:pPr>
            <w:r>
              <w:t xml:space="preserve">413.378</w:t>
            </w:r>
          </w:p>
        </w:tc>
        <w:tc>
          <w:tcPr/>
          <w:p>
            <w:pPr>
              <w:pStyle w:val="Compact"/>
            </w:pPr>
            <w:r>
              <w:t xml:space="preserve">14.538</w:t>
            </w:r>
          </w:p>
        </w:tc>
        <w:tc>
          <w:tcPr/>
          <w:p>
            <w:pPr>
              <w:pStyle w:val="Compact"/>
            </w:pPr>
            <w:r>
              <w:t xml:space="preserve">3,517%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Validação</w:t>
            </w:r>
          </w:p>
        </w:tc>
        <w:tc>
          <w:tcPr/>
          <w:p>
            <w:pPr>
              <w:pStyle w:val="Compact"/>
            </w:pPr>
            <w:r>
              <w:t xml:space="preserve">88.581</w:t>
            </w:r>
          </w:p>
        </w:tc>
        <w:tc>
          <w:tcPr/>
          <w:p>
            <w:pPr>
              <w:pStyle w:val="Compact"/>
            </w:pPr>
            <w:r>
              <w:t xml:space="preserve">3.042</w:t>
            </w:r>
          </w:p>
        </w:tc>
        <w:tc>
          <w:tcPr/>
          <w:p>
            <w:pPr>
              <w:pStyle w:val="Compact"/>
            </w:pPr>
            <w:r>
              <w:t xml:space="preserve">3,434%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</w:t>
            </w:r>
          </w:p>
        </w:tc>
        <w:tc>
          <w:tcPr/>
          <w:p>
            <w:pPr>
              <w:pStyle w:val="Compact"/>
            </w:pPr>
            <w:r>
              <w:t xml:space="preserve">88.581</w:t>
            </w:r>
          </w:p>
        </w:tc>
        <w:tc>
          <w:tcPr/>
          <w:p>
            <w:pPr>
              <w:pStyle w:val="Compact"/>
            </w:pPr>
            <w:r>
              <w:t xml:space="preserve">3.083</w:t>
            </w:r>
          </w:p>
        </w:tc>
        <w:tc>
          <w:tcPr/>
          <w:p>
            <w:pPr>
              <w:pStyle w:val="Compact"/>
            </w:pPr>
            <w:r>
              <w:t xml:space="preserve">3,480%</w:t>
            </w:r>
          </w:p>
        </w:tc>
      </w:tr>
    </w:tbl>
    <w:p>
      <w:pPr>
        <w:pStyle w:val="BodyText"/>
      </w:pPr>
      <w:r>
        <w:t xml:space="preserve">As três taxas ficam dentro de 0,08 ponto percentual. O realismo temporal foi obtido</w:t>
      </w:r>
      <w:r>
        <w:t xml:space="preserve"> </w:t>
      </w:r>
      <w:r>
        <w:rPr>
          <w:b/>
          <w:bCs/>
        </w:rPr>
        <w:t xml:space="preserve">sem custo de equilíbrio de classe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resultados-do-baseline"/>
    <w:p>
      <w:pPr>
        <w:pStyle w:val="Heading2"/>
      </w:pPr>
      <w:r>
        <w:t xml:space="preserve">5. Resultados do baseline</w:t>
      </w:r>
    </w:p>
    <w:p>
      <w:pPr>
        <w:pStyle w:val="FirstParagraph"/>
      </w:pPr>
      <w:r>
        <w:t xml:space="preserve">Regressão Logística, limiar de decisão 0,5, dataset completo. Duas estratégias de desbalanceamento comparadas em pipelines separados:</w:t>
      </w:r>
    </w:p>
    <w:p>
      <w:pPr>
        <w:pStyle w:val="BodyText"/>
      </w:pPr>
      <w:r>
        <w:rPr>
          <w:b/>
          <w:bCs/>
        </w:rPr>
        <w:t xml:space="preserve">Validação</w:t>
      </w:r>
      <w:r>
        <w:t xml:space="preserve"> </w:t>
      </w:r>
      <w:r>
        <w:t xml:space="preserve">— 3.042 fraudes, taxa base 3,434%: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Ponderação de classe</w:t>
            </w:r>
          </w:p>
        </w:tc>
        <w:tc>
          <w:tcPr/>
          <w:p>
            <w:pPr>
              <w:pStyle w:val="Compact"/>
            </w:pPr>
            <w:r>
              <w:t xml:space="preserve">SMOTE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AUC-ROC</w:t>
            </w:r>
          </w:p>
        </w:tc>
        <w:tc>
          <w:tcPr/>
          <w:p>
            <w:pPr>
              <w:pStyle w:val="Compact"/>
            </w:pPr>
            <w:r>
              <w:t xml:space="preserve">0,8414</w:t>
            </w:r>
          </w:p>
        </w:tc>
        <w:tc>
          <w:tcPr/>
          <w:p>
            <w:pPr>
              <w:pStyle w:val="Compact"/>
            </w:pPr>
            <w:r>
              <w:t xml:space="preserve">0,8392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AUC-PR</w:t>
            </w:r>
          </w:p>
        </w:tc>
        <w:tc>
          <w:tcPr/>
          <w:p>
            <w:pPr>
              <w:pStyle w:val="Compact"/>
            </w:pPr>
            <w:r>
              <w:t xml:space="preserve">0,3934</w:t>
            </w:r>
          </w:p>
        </w:tc>
        <w:tc>
          <w:tcPr/>
          <w:p>
            <w:pPr>
              <w:pStyle w:val="Compact"/>
            </w:pPr>
            <w:r>
              <w:t xml:space="preserve">0,3967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0,6785</w:t>
            </w:r>
          </w:p>
        </w:tc>
        <w:tc>
          <w:tcPr/>
          <w:p>
            <w:pPr>
              <w:pStyle w:val="Compact"/>
            </w:pPr>
            <w:r>
              <w:t xml:space="preserve">0,6831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Precisão</w:t>
            </w:r>
          </w:p>
        </w:tc>
        <w:tc>
          <w:tcPr/>
          <w:p>
            <w:pPr>
              <w:pStyle w:val="Compact"/>
            </w:pPr>
            <w:r>
              <w:t xml:space="preserve">0,1347</w:t>
            </w:r>
          </w:p>
        </w:tc>
        <w:tc>
          <w:tcPr/>
          <w:p>
            <w:pPr>
              <w:pStyle w:val="Compact"/>
            </w:pPr>
            <w:r>
              <w:t xml:space="preserve">0,1316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0,2248</w:t>
            </w:r>
          </w:p>
        </w:tc>
        <w:tc>
          <w:tcPr/>
          <w:p>
            <w:pPr>
              <w:pStyle w:val="Compact"/>
            </w:pPr>
            <w:r>
              <w:t xml:space="preserve">0,2206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de treino</w:t>
            </w:r>
          </w:p>
        </w:tc>
        <w:tc>
          <w:tcPr/>
          <w:p>
            <w:pPr>
              <w:pStyle w:val="Compact"/>
            </w:pPr>
            <w:r>
              <w:t xml:space="preserve">5min43s</w:t>
            </w:r>
          </w:p>
        </w:tc>
        <w:tc>
          <w:tcPr/>
          <w:p>
            <w:pPr>
              <w:pStyle w:val="Compact"/>
            </w:pPr>
            <w:r>
              <w:t xml:space="preserve">42min</w:t>
            </w:r>
          </w:p>
        </w:tc>
      </w:tr>
    </w:tbl>
    <w:p>
      <w:pPr>
        <w:pStyle w:val="BodyText"/>
      </w:pPr>
      <w:r>
        <w:t xml:space="preserve">Como a AUC-PR de um classificador aleatório é igual à taxa base,</w:t>
      </w:r>
      <w:r>
        <w:t xml:space="preserve"> </w:t>
      </w:r>
      <w:r>
        <w:rPr>
          <w:b/>
          <w:bCs/>
        </w:rPr>
        <w:t xml:space="preserve">os dois modelos estão cerca de 11,5× acima do acaso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As duas estratégias empataram.</w:t>
      </w:r>
      <w:r>
        <w:t xml:space="preserve"> </w:t>
      </w:r>
      <w:r>
        <w:t xml:space="preserve">A diferença de 0,0033 é menor que a incerteza esperada para 3.042 fraudes — e o sinal se inverte conforme o recorte: em uma amostra de 50.000 linhas, a ponderação de classe vencia pela mesma margem. A escolha entre elas será feita por critérios secundários (não fabricar dados sintéticos, não interpolar variáveis categóricas, custo computacional), com o critério declarado antes da avaliação final.</w:t>
      </w:r>
    </w:p>
    <w:p>
      <w:pPr>
        <w:pStyle w:val="BodyText"/>
      </w:pPr>
      <w:r>
        <w:rPr>
          <w:b/>
          <w:bCs/>
        </w:rPr>
        <w:t xml:space="preserve">Teste</w:t>
      </w:r>
      <w:r>
        <w:t xml:space="preserve"> </w:t>
      </w:r>
      <w:r>
        <w:t xml:space="preserve">— 3.083 fraudes, taxa base 3,480%. Reportamos as duas estratégias, já que empataram na validação: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Estratégia</w:t>
            </w:r>
          </w:p>
        </w:tc>
        <w:tc>
          <w:tcPr/>
          <w:p>
            <w:pPr>
              <w:pStyle w:val="Compact"/>
            </w:pPr>
            <w:r>
              <w:t xml:space="preserve">AUC-ROC</w:t>
            </w:r>
          </w:p>
        </w:tc>
        <w:tc>
          <w:tcPr/>
          <w:p>
            <w:pPr>
              <w:pStyle w:val="Compact"/>
            </w:pPr>
            <w:r>
              <w:t xml:space="preserve">AUC-PR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Precisão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Ponderação de classe</w:t>
            </w:r>
          </w:p>
        </w:tc>
        <w:tc>
          <w:tcPr/>
          <w:p>
            <w:pPr>
              <w:pStyle w:val="Compact"/>
            </w:pPr>
            <w:r>
              <w:t xml:space="preserve">0,8289</w:t>
            </w:r>
          </w:p>
        </w:tc>
        <w:tc>
          <w:tcPr/>
          <w:p>
            <w:pPr>
              <w:pStyle w:val="Compact"/>
            </w:pPr>
            <w:r>
              <w:t xml:space="preserve">0,1858</w:t>
            </w:r>
          </w:p>
        </w:tc>
        <w:tc>
          <w:tcPr/>
          <w:p>
            <w:pPr>
              <w:pStyle w:val="Compact"/>
            </w:pPr>
            <w:r>
              <w:t xml:space="preserve">0,7032</w:t>
            </w:r>
          </w:p>
        </w:tc>
        <w:tc>
          <w:tcPr/>
          <w:p>
            <w:pPr>
              <w:pStyle w:val="Compact"/>
            </w:pPr>
            <w:r>
              <w:t xml:space="preserve">0,1236</w:t>
            </w:r>
          </w:p>
        </w:tc>
        <w:tc>
          <w:tcPr/>
          <w:p>
            <w:pPr>
              <w:pStyle w:val="Compact"/>
            </w:pPr>
            <w:r>
              <w:t xml:space="preserve">0,2102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SMOTE</w:t>
            </w:r>
          </w:p>
        </w:tc>
        <w:tc>
          <w:tcPr/>
          <w:p>
            <w:pPr>
              <w:pStyle w:val="Compact"/>
            </w:pPr>
            <w:r>
              <w:t xml:space="preserve">0,8234</w:t>
            </w:r>
          </w:p>
        </w:tc>
        <w:tc>
          <w:tcPr/>
          <w:p>
            <w:pPr>
              <w:pStyle w:val="Compact"/>
            </w:pPr>
            <w:r>
              <w:t xml:space="preserve">0,1840</w:t>
            </w:r>
          </w:p>
        </w:tc>
        <w:tc>
          <w:tcPr/>
          <w:p>
            <w:pPr>
              <w:pStyle w:val="Compact"/>
            </w:pPr>
            <w:r>
              <w:t xml:space="preserve">0,7071</w:t>
            </w:r>
          </w:p>
        </w:tc>
        <w:tc>
          <w:tcPr/>
          <w:p>
            <w:pPr>
              <w:pStyle w:val="Compact"/>
            </w:pPr>
            <w:r>
              <w:t xml:space="preserve">0,1213</w:t>
            </w:r>
          </w:p>
        </w:tc>
        <w:tc>
          <w:tcPr/>
          <w:p>
            <w:pPr>
              <w:pStyle w:val="Compact"/>
            </w:pPr>
            <w:r>
              <w:t xml:space="preserve">0,2071</w:t>
            </w:r>
          </w:p>
        </w:tc>
      </w:tr>
    </w:tbl>
    <w:p>
      <w:pPr>
        <w:pStyle w:val="BodyText"/>
      </w:pPr>
      <w:r>
        <w:t xml:space="preserve">O empate se confirma também no teste: 0,0018 de diferença em AUC-PR. A escolha da estratégia será feita pelos critérios secundários já descritos, e não por desempenho.</w:t>
      </w:r>
    </w:p>
    <w:p>
      <w:pPr>
        <w:pStyle w:val="BodyText"/>
      </w:pPr>
      <w:r>
        <w:t xml:space="preserve">Em termos operacionais: das 3.083 fraudes do período de teste, o modelo recupera cerca de 2.180, marcando aproximadamente 18.000 das 88.581 transações como suspeitas — 20% do total, com 8 de cada 10 acusações sendo alarme falso. É o comportamento esperado de um baseline linear, e é o piso que os modelos de julho precisam superar.</w:t>
      </w:r>
    </w:p>
    <w:p>
      <w:r>
        <w:pict>
          <v:rect style="width:0;height:1.5pt" o:hralign="center" o:hrstd="t" o:hr="t"/>
        </w:pict>
      </w:r>
    </w:p>
    <w:bookmarkEnd w:id="14"/>
    <w:bookmarkStart w:id="15" w:name="achado-principal-degradação-temporal"/>
    <w:p>
      <w:pPr>
        <w:pStyle w:val="Heading2"/>
      </w:pPr>
      <w:r>
        <w:t xml:space="preserve">6. Achado principal: degradação temporal</w:t>
      </w:r>
    </w:p>
    <w:p>
      <w:pPr>
        <w:pStyle w:val="FirstParagraph"/>
      </w:pPr>
      <w:r>
        <w:rPr>
          <w:b/>
          <w:bCs/>
        </w:rPr>
        <w:t xml:space="preserve">A AUC-PR cai de 0,3967 na validação para 0,1840 no teste — menos da metade.</w:t>
      </w:r>
      <w:r>
        <w:t xml:space="preserve"> </w:t>
      </w:r>
      <w:r>
        <w:t xml:space="preserve">A queda não se explica por desbalanceamento:</w:t>
      </w:r>
    </w:p>
    <w:p>
      <w:pPr>
        <w:pStyle w:val="Compact"/>
        <w:numPr>
          <w:ilvl w:val="0"/>
          <w:numId w:val="1001"/>
        </w:numPr>
      </w:pPr>
      <w:r>
        <w:t xml:space="preserve">as taxas base dos dois conjuntos são praticamente iguais (3,434% e 3,480%);</w:t>
      </w:r>
    </w:p>
    <w:p>
      <w:pPr>
        <w:pStyle w:val="Compact"/>
        <w:numPr>
          <w:ilvl w:val="0"/>
          <w:numId w:val="1001"/>
        </w:numPr>
      </w:pPr>
      <w:r>
        <w:t xml:space="preserve">a AUC-ROC quase não se move (0,8392 → 0,8234), ou seja, o modelo continua ordenando;</w:t>
      </w:r>
    </w:p>
    <w:p>
      <w:pPr>
        <w:pStyle w:val="Compact"/>
        <w:numPr>
          <w:ilvl w:val="0"/>
          <w:numId w:val="1001"/>
        </w:numPr>
      </w:pPr>
      <w:r>
        <w:t xml:space="preserve">o recall inclusive sobe (0,6831 → 0,7071).</w:t>
      </w:r>
    </w:p>
    <w:p>
      <w:pPr>
        <w:pStyle w:val="FirstParagraph"/>
      </w:pPr>
      <w:r>
        <w:t xml:space="preserve">O que se degrada é a</w:t>
      </w:r>
      <w:r>
        <w:t xml:space="preserve"> </w:t>
      </w:r>
      <w:r>
        <w:rPr>
          <w:b/>
          <w:bCs/>
        </w:rPr>
        <w:t xml:space="preserve">pureza das previsões de maior confiança</w:t>
      </w:r>
      <w:r>
        <w:t xml:space="preserve"> </w:t>
      </w:r>
      <w:r>
        <w:t xml:space="preserve">no período mais recente. Os padrões aprendidos no passado envelhecem.</w:t>
      </w:r>
    </w:p>
    <w:p>
      <w:pPr>
        <w:pStyle w:val="BodyText"/>
      </w:pPr>
      <w:r>
        <w:t xml:space="preserve">Esse resultado</w:t>
      </w:r>
      <w:r>
        <w:t xml:space="preserve"> </w:t>
      </w:r>
      <w:r>
        <w:rPr>
          <w:b/>
          <w:bCs/>
        </w:rPr>
        <w:t xml:space="preserve">só é observável por causa da divisão temporal</w:t>
      </w:r>
      <w:r>
        <w:t xml:space="preserve">, e isso foi verificado experimentalmente. Rodamos um controle complementar com o mesmo modelo e os mesmos dados, mudando apenas a forma de dividir: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Corte temporal</w:t>
            </w:r>
          </w:p>
        </w:tc>
        <w:tc>
          <w:tcPr/>
          <w:p>
            <w:pPr>
              <w:pStyle w:val="Compact"/>
            </w:pPr>
            <w:r>
              <w:t xml:space="preserve">Divisão aleatória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AUC-PR validação</w:t>
            </w:r>
          </w:p>
        </w:tc>
        <w:tc>
          <w:tcPr/>
          <w:p>
            <w:pPr>
              <w:pStyle w:val="Compact"/>
            </w:pPr>
            <w:r>
              <w:t xml:space="preserve">0,3936</w:t>
            </w:r>
          </w:p>
        </w:tc>
        <w:tc>
          <w:tcPr/>
          <w:p>
            <w:pPr>
              <w:pStyle w:val="Compact"/>
            </w:pPr>
            <w:r>
              <w:t xml:space="preserve">0,4220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AUC-PR teste</w:t>
            </w:r>
          </w:p>
        </w:tc>
        <w:tc>
          <w:tcPr/>
          <w:p>
            <w:pPr>
              <w:pStyle w:val="Compact"/>
            </w:pPr>
            <w:r>
              <w:t xml:space="preserve">0,1858</w:t>
            </w:r>
          </w:p>
        </w:tc>
        <w:tc>
          <w:tcPr/>
          <w:p>
            <w:pPr>
              <w:pStyle w:val="Compact"/>
            </w:pPr>
            <w:r>
              <w:t xml:space="preserve">0,4250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Variação</w:t>
            </w:r>
          </w:p>
        </w:tc>
        <w:tc>
          <w:tcPr/>
          <w:p>
            <w:pPr>
              <w:pStyle w:val="Compact"/>
            </w:pPr>
            <w:r>
              <w:t xml:space="preserve">−52,8%</w:t>
            </w:r>
          </w:p>
        </w:tc>
        <w:tc>
          <w:tcPr/>
          <w:p>
            <w:pPr>
              <w:pStyle w:val="Compact"/>
            </w:pPr>
            <w:r>
              <w:t xml:space="preserve">+0,7%</w:t>
            </w:r>
          </w:p>
        </w:tc>
      </w:tr>
    </w:tbl>
    <w:p>
      <w:pPr>
        <w:pStyle w:val="BodyText"/>
      </w:pPr>
      <w:r>
        <w:t xml:space="preserve">A divisão aleatória reporta</w:t>
      </w:r>
      <w:r>
        <w:t xml:space="preserve"> </w:t>
      </w:r>
      <w:r>
        <w:rPr>
          <w:b/>
          <w:bCs/>
        </w:rPr>
        <w:t xml:space="preserve">2,3 vezes</w:t>
      </w:r>
      <w:r>
        <w:t xml:space="preserve"> </w:t>
      </w:r>
      <w:r>
        <w:t xml:space="preserve">a AUC-PR do corte temporal no teste e</w:t>
      </w:r>
      <w:r>
        <w:t xml:space="preserve"> </w:t>
      </w:r>
      <w:r>
        <w:rPr>
          <w:b/>
          <w:bCs/>
        </w:rPr>
        <w:t xml:space="preserve">não mostra degradação alguma</w:t>
      </w:r>
      <w:r>
        <w:t xml:space="preserve">: descreveria um modelo estável e cerca de duas vezes melhor do que ele de fato é no período mais recente.</w:t>
      </w:r>
    </w:p>
    <w:p>
      <w:pPr>
        <w:pStyle w:val="BodyText"/>
      </w:pPr>
      <w:r>
        <w:t xml:space="preserve">Cabe uma ressalva: a divisão aleatória também coloca transações do mesmo identificador de cartão nos dois lados, além de misturar os períodos. A diferença observada combina os dois efeitos e não pode ser atribuída inteiramente ao tempo; isolá-los exigiria um terceiro experimento, com divisão por grupo, que não foi executado.</w:t>
      </w:r>
    </w:p>
    <w:p>
      <w:pPr>
        <w:pStyle w:val="BodyText"/>
      </w:pPr>
      <w:r>
        <w:t xml:space="preserve">O achado indica que um sistema como este exigiria retreino periódico em operação.</w:t>
      </w:r>
    </w:p>
    <w:p>
      <w:r>
        <w:pict>
          <v:rect style="width:0;height:1.5pt" o:hralign="center" o:hrstd="t" o:hr="t"/>
        </w:pict>
      </w:r>
    </w:p>
    <w:bookmarkEnd w:id="15"/>
    <w:bookmarkStart w:id="16" w:name="limitações-assumidas-nesta-etapa"/>
    <w:p>
      <w:pPr>
        <w:pStyle w:val="Heading2"/>
      </w:pPr>
      <w:r>
        <w:t xml:space="preserve">7. Limitações assumidas nesta etapa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 limiar de decisão permanece em 0,5</w:t>
      </w:r>
      <w:r>
        <w:t xml:space="preserve">, valor padrão e não escolhido. Ajustá-lo na validação é a próxima melhoria de menor custo.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 SMOTE interpola colunas já codificadas em one-hot</w:t>
      </w:r>
      <w:r>
        <w:t xml:space="preserve">, gerando linhas com categorias fracionárias que não existem no domínio. O</w:t>
      </w:r>
      <w:r>
        <w:t xml:space="preserve"> </w:t>
      </w:r>
      <w:r>
        <w:rPr>
          <w:rStyle w:val="VerbatimChar"/>
        </w:rPr>
        <w:t xml:space="preserve">SMOTENC</w:t>
      </w:r>
      <w:r>
        <w:t xml:space="preserve"> </w:t>
      </w:r>
      <w:r>
        <w:t xml:space="preserve">trataria dado misto, mas exigiria reordenar as etapas do pipeline.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execução não é reprodutível bit a bit.</w:t>
      </w:r>
      <w:r>
        <w:t xml:space="preserve"> </w:t>
      </w:r>
      <w:r>
        <w:t xml:space="preserve">Para caber na memória disponível, o caminho de modelagem usa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; combinado com operações matriciais paralelas, isso faz os resultados variarem a partir da terceira casa decimal entre execuções. As conclusões não dependem dessa casa, mas números citados devem vir de uma execução identificada.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Três variáveis da proposta não têm equivalente no dataset</w:t>
      </w:r>
      <w:r>
        <w:t xml:space="preserve">: tipo de chave Pix, perfil do destinatário e idade da conta.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 dataset é de cartão, não de Pix.</w:t>
      </w:r>
      <w:r>
        <w:t xml:space="preserve"> </w:t>
      </w:r>
      <w:r>
        <w:t xml:space="preserve">Nenhum resultado aqui pode ser lido como desempenho no Pix real.</w:t>
      </w:r>
    </w:p>
    <w:p>
      <w:r>
        <w:pict>
          <v:rect style="width:0;height:1.5pt" o:hralign="center" o:hrstd="t" o:hr="t"/>
        </w:pict>
      </w:r>
    </w:p>
    <w:bookmarkEnd w:id="16"/>
    <w:bookmarkStart w:id="17" w:name="observação-sobre-a-base-regulatória"/>
    <w:p>
      <w:pPr>
        <w:pStyle w:val="Heading2"/>
      </w:pPr>
      <w:r>
        <w:t xml:space="preserve">8. Observação sobre a base regulatória</w:t>
      </w:r>
    </w:p>
    <w:p>
      <w:pPr>
        <w:pStyle w:val="FirstParagraph"/>
      </w:pPr>
      <w:r>
        <w:t xml:space="preserve">A proposta aprovada cita a</w:t>
      </w:r>
      <w:r>
        <w:t xml:space="preserve"> </w:t>
      </w:r>
      <w:r>
        <w:rPr>
          <w:b/>
          <w:bCs/>
        </w:rPr>
        <w:t xml:space="preserve">Resolução BCB nº 403/2023</w:t>
      </w:r>
      <w:r>
        <w:t xml:space="preserve"> </w:t>
      </w:r>
      <w:r>
        <w:t xml:space="preserve">como base regulatória de prevenção a fraudes no Pix. Ao levantar as fontes para a base documental do RAG, identificamos que o</w:t>
      </w:r>
      <w:r>
        <w:t xml:space="preserve"> </w:t>
      </w:r>
      <w:r>
        <w:rPr>
          <w:b/>
          <w:bCs/>
        </w:rPr>
        <w:t xml:space="preserve">Mecanismo Especial de Devolução (MED) foi criado pela Resolução BCB nº 103/2021</w:t>
      </w:r>
      <w:r>
        <w:t xml:space="preserve">; a Resolução nº 403 é de 22/07/2024 e trata de outro ajuste. A referência será corrigida na monografia.</w:t>
      </w:r>
    </w:p>
    <w:p>
      <w:r>
        <w:pict>
          <v:rect style="width:0;height:1.5pt" o:hralign="center" o:hrstd="t" o:hr="t"/>
        </w:pict>
      </w:r>
    </w:p>
    <w:bookmarkEnd w:id="17"/>
    <w:bookmarkStart w:id="18" w:name="próxima-etapa"/>
    <w:p>
      <w:pPr>
        <w:pStyle w:val="Heading2"/>
      </w:pPr>
      <w:r>
        <w:t xml:space="preserve">9. Próxima etapa</w:t>
      </w:r>
    </w:p>
    <w:p>
      <w:pPr>
        <w:pStyle w:val="FirstParagraph"/>
      </w:pPr>
      <w:r>
        <w:t xml:space="preserve">Conforme a proposta aprovada, julho prevê:</w:t>
      </w:r>
    </w:p>
    <w:p>
      <w:pPr>
        <w:pStyle w:val="Compact"/>
        <w:numPr>
          <w:ilvl w:val="0"/>
          <w:numId w:val="1003"/>
        </w:numPr>
      </w:pPr>
      <w:r>
        <w:t xml:space="preserve">treinar</w:t>
      </w:r>
      <w:r>
        <w:t xml:space="preserve"> </w:t>
      </w:r>
      <w:r>
        <w:rPr>
          <w:b/>
          <w:bCs/>
        </w:rPr>
        <w:t xml:space="preserve">XGBoost</w:t>
      </w:r>
      <w:r>
        <w:t xml:space="preserve"> </w:t>
      </w:r>
      <w:r>
        <w:t xml:space="preserve">(modelo principal) e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(comparativo);</w:t>
      </w:r>
    </w:p>
    <w:p>
      <w:pPr>
        <w:pStyle w:val="Compact"/>
        <w:numPr>
          <w:ilvl w:val="0"/>
          <w:numId w:val="1003"/>
        </w:numPr>
      </w:pPr>
      <w:r>
        <w:t xml:space="preserve">implementar o módulo de avaliação com todas as métricas, matriz de confusão e curva de precisão-recall;</w:t>
      </w:r>
    </w:p>
    <w:p>
      <w:pPr>
        <w:pStyle w:val="Compact"/>
        <w:numPr>
          <w:ilvl w:val="0"/>
          <w:numId w:val="1003"/>
        </w:numPr>
      </w:pPr>
      <w:r>
        <w:t xml:space="preserve">aplicar</w:t>
      </w:r>
      <w:r>
        <w:t xml:space="preserve"> </w:t>
      </w:r>
      <w:r>
        <w:rPr>
          <w:b/>
          <w:bCs/>
        </w:rPr>
        <w:t xml:space="preserve">SHAP</w:t>
      </w:r>
      <w:r>
        <w:t xml:space="preserve"> </w:t>
      </w:r>
      <w:r>
        <w:t xml:space="preserve">sobre o modelo principal, para identificar as variáveis mais influentes por transação.</w:t>
      </w:r>
    </w:p>
    <w:p>
      <w:pPr>
        <w:pStyle w:val="FirstParagraph"/>
      </w:pPr>
      <w:r>
        <w:t xml:space="preserve">Os modelos serão avaliados no</w:t>
      </w:r>
      <w:r>
        <w:t xml:space="preserve"> </w:t>
      </w:r>
      <w:r>
        <w:rPr>
          <w:b/>
          <w:bCs/>
        </w:rPr>
        <w:t xml:space="preserve">mesmo corte temporal</w:t>
      </w:r>
      <w:r>
        <w:t xml:space="preserve">, para que a queda entre validação e teste seja comparável com a do baseline. O critério de sucesso é melhorar a</w:t>
      </w:r>
      <w:r>
        <w:t xml:space="preserve"> </w:t>
      </w:r>
      <w:r>
        <w:rPr>
          <w:b/>
          <w:bCs/>
        </w:rPr>
        <w:t xml:space="preserve">precisão sem perder recall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ponto-para-alinhamento"/>
    <w:p>
      <w:pPr>
        <w:pStyle w:val="Heading2"/>
      </w:pPr>
      <w:r>
        <w:t xml:space="preserve">10. Ponto para alinhamento</w:t>
      </w:r>
    </w:p>
    <w:p>
      <w:pPr>
        <w:pStyle w:val="FirstParagraph"/>
      </w:pPr>
      <w:r>
        <w:t xml:space="preserve">Esta entrega está sendo enviada em setembro, e não no prazo originalmente previsto. Gostaríamos de alinhar com o senhor o calendário das etapas seguintes antes de avançar, para que as próximas entregas tenham prazos realistas.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Artefatos de referência: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 </w:t>
      </w:r>
      <w:r>
        <w:t xml:space="preserve">(EDA),</w:t>
      </w:r>
      <w:r>
        <w:t xml:space="preserve"> </w:t>
      </w:r>
      <w:r>
        <w:rPr>
          <w:rStyle w:val="VerbatimChar"/>
        </w:rPr>
        <w:t xml:space="preserve">notebooks/02_preprocessing.ipynb</w:t>
      </w:r>
      <w:r>
        <w:t xml:space="preserve"> </w:t>
      </w:r>
      <w:r>
        <w:t xml:space="preserve">(pré-processamento e baseline, com resultados),</w:t>
      </w:r>
      <w:r>
        <w:t xml:space="preserve"> </w:t>
      </w:r>
      <w:r>
        <w:rPr>
          <w:rStyle w:val="VerbatimChar"/>
        </w:rPr>
        <w:t xml:space="preserve">src/features/pix_features.py</w:t>
      </w:r>
      <w:r>
        <w:t xml:space="preserve"> </w:t>
      </w:r>
      <w:r>
        <w:t xml:space="preserve">(features),</w:t>
      </w:r>
      <w:r>
        <w:t xml:space="preserve"> </w:t>
      </w:r>
      <w:r>
        <w:rPr>
          <w:rStyle w:val="VerbatimChar"/>
        </w:rPr>
        <w:t xml:space="preserve">src/features/preprocessor.py</w:t>
      </w:r>
      <w:r>
        <w:t xml:space="preserve"> </w:t>
      </w:r>
      <w:r>
        <w:t xml:space="preserve">(pré-processamento),</w:t>
      </w:r>
      <w:r>
        <w:t xml:space="preserve"> </w:t>
      </w:r>
      <w:r>
        <w:rPr>
          <w:rStyle w:val="VerbatimChar"/>
        </w:rPr>
        <w:t xml:space="preserve">reports/anotacoes_metodologia.md</w:t>
      </w:r>
      <w:r>
        <w:t xml:space="preserve"> </w:t>
      </w:r>
      <w:r>
        <w:t xml:space="preserve">(registro de decisões metodológicas).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2026-09-11T02:56:39Z</dcterms:created>
  <dcterms:modified xsi:type="dcterms:W3CDTF">2026-09-11T02:56:39Z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