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c4836c0931ab5a932fa967e2567c85bcbc00b8"/>
    <w:p>
      <w:pPr>
        <w:pStyle w:val="Heading1"/>
      </w:pPr>
      <w:r>
        <w:t xml:space="preserve">Entrega parcial 1 — EDA, features Pix simuladas e baseline</w:t>
      </w:r>
    </w:p>
    <w:p>
      <w:pPr>
        <w:pStyle w:val="FirstParagraph"/>
      </w:pPr>
      <w:r>
        <w:rPr>
          <w:b/>
          <w:bCs/>
        </w:rPr>
        <w:t xml:space="preserve">TCC:</w:t>
      </w:r>
      <w:r>
        <w:t xml:space="preserve"> </w:t>
      </w:r>
      <w:r>
        <w:t xml:space="preserve">Protótipo Híbrido para Detecção e Explicação de Fraudes em Transações Pix Simuladas Utilizando Machine Learning, SHAP e RAG</w:t>
      </w:r>
      <w:r>
        <w:t xml:space="preserve"> </w:t>
      </w:r>
      <w:r>
        <w:rPr>
          <w:b/>
          <w:bCs/>
        </w:rPr>
        <w:t xml:space="preserve">Autores:</w:t>
      </w:r>
      <w:r>
        <w:t xml:space="preserve"> </w:t>
      </w:r>
      <w:r>
        <w:t xml:space="preserve">Letícia Alves (ML e dados) · Lucas Nogueira (RAG e escrita)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11/09/2026</w:t>
      </w:r>
    </w:p>
    <w:p>
      <w:pPr>
        <w:pStyle w:val="BlockText"/>
      </w:pPr>
      <w:r>
        <w:rPr>
          <w:b/>
          <w:bCs/>
        </w:rPr>
        <w:t xml:space="preserve">Sobre os dados:</w:t>
      </w:r>
      <w:r>
        <w:t xml:space="preserve"> </w:t>
      </w:r>
      <w:r>
        <w:t xml:space="preserve">este trabalho</w:t>
      </w:r>
      <w:r>
        <w:t xml:space="preserve"> </w:t>
      </w:r>
      <w:r>
        <w:rPr>
          <w:b/>
          <w:bCs/>
        </w:rPr>
        <w:t xml:space="preserve">não utiliza dados reais do Pix</w:t>
      </w:r>
      <w:r>
        <w:t xml:space="preserve"> </w:t>
      </w:r>
      <w:r>
        <w:t xml:space="preserve">nem de instituições financeiras. Os experimentos usam o dataset público IEEE-CIS Fraud Detection (Kaggle), de transações com cartão. As variáveis inspiradas no Pix são proxies analíticos documentados, conforme a seção 4.1 da proposta aprovada.</w:t>
      </w:r>
    </w:p>
    <w:bookmarkStart w:id="9" w:name="o-que-foi-concluído"/>
    <w:p>
      <w:pPr>
        <w:pStyle w:val="Heading2"/>
      </w:pPr>
      <w:r>
        <w:t xml:space="preserve">1. O que foi concluído</w:t>
      </w:r>
    </w:p>
    <w:p>
      <w:pPr>
        <w:pStyle w:val="FirstParagraph"/>
      </w:pPr>
      <w:r>
        <w:t xml:space="preserve">Análise exploratória, as quatro features Pix simuladas, o pré-processamento completo, a divisão treino/validação/teste e o baseline treinado e avaliado sobre as 590.540 transações do dataset.</w:t>
      </w:r>
    </w:p>
    <w:p>
      <w:pPr>
        <w:pStyle w:val="BodyText"/>
      </w:pPr>
      <w:r>
        <w:t xml:space="preserve">O escopo previsto era EDA e features; o baseline foi incluído porque já está concluído e produziu o resultado da seção 3.</w:t>
      </w:r>
    </w:p>
    <w:p>
      <w:pPr>
        <w:pStyle w:val="BodyText"/>
      </w:pPr>
      <w:r>
        <w:rPr>
          <w:b/>
          <w:bCs/>
        </w:rPr>
        <w:t xml:space="preserve">Decisões metodológicas principais:</w:t>
      </w:r>
      <w:r>
        <w:t xml:space="preserve"> </w:t>
      </w:r>
      <w:r>
        <w:t xml:space="preserve">divisão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(transações antigas no treino, recentes no teste), em vez de aleatória; exclusão de</w:t>
      </w:r>
      <w:r>
        <w:t xml:space="preserve"> </w:t>
      </w:r>
      <w:r>
        <w:rPr>
          <w:rStyle w:val="VerbatimChar"/>
        </w:rPr>
        <w:t xml:space="preserve">card4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card6</w:t>
      </w:r>
      <w:r>
        <w:t xml:space="preserve"> </w:t>
      </w:r>
      <w:r>
        <w:t xml:space="preserve">por serem conceitos exclusivos de cartão, sem equivalente no Pix; e acurácia não reportada em momento algum, por ser inútil num problema com 3,5% de fraude. O registro completo das decisões está em</w:t>
      </w:r>
      <w:r>
        <w:t xml:space="preserve"> </w:t>
      </w:r>
      <w:r>
        <w:rPr>
          <w:rStyle w:val="VerbatimChar"/>
        </w:rPr>
        <w:t xml:space="preserve">reports/anotacoes_metodologia.md</w:t>
      </w:r>
      <w:r>
        <w:t xml:space="preserve">.</w:t>
      </w:r>
    </w:p>
    <w:bookmarkEnd w:id="9"/>
    <w:bookmarkStart w:id="10" w:name="resultados-do-baseline"/>
    <w:p>
      <w:pPr>
        <w:pStyle w:val="Heading2"/>
      </w:pPr>
      <w:r>
        <w:t xml:space="preserve">2. Resultados do baseline</w:t>
      </w:r>
    </w:p>
    <w:p>
      <w:pPr>
        <w:pStyle w:val="FirstParagraph"/>
      </w:pPr>
      <w:r>
        <w:t xml:space="preserve">Regressão logística, limiar 0,5. Duas estratégias de desbalanceamento comparadas em pipelines separados. A taxa de fraude é de 3,43% na validação e 3,48% no teste — como a AUC-PR de um classificador aleatório equivale à taxa base, ela é a régua de leitura.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Ponderação</w:t>
            </w:r>
          </w:p>
        </w:tc>
        <w:tc>
          <w:tcPr/>
          <w:p>
            <w:pPr>
              <w:pStyle w:val="Compact"/>
            </w:pPr>
            <w:r>
              <w:t xml:space="preserve">SMOTE</w:t>
            </w:r>
          </w:p>
        </w:tc>
        <w:tc>
          <w:tcPr/>
          <w:p>
            <w:pPr>
              <w:pStyle w:val="Compact"/>
            </w:pPr>
            <w:r>
              <w:t xml:space="preserve">Ponderação</w:t>
            </w:r>
          </w:p>
        </w:tc>
        <w:tc>
          <w:tcPr/>
          <w:p>
            <w:pPr>
              <w:pStyle w:val="Compact"/>
            </w:pPr>
            <w:r>
              <w:t xml:space="preserve">SMOTE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AUC-PR</w:t>
            </w:r>
          </w:p>
        </w:tc>
        <w:tc>
          <w:tcPr/>
          <w:p>
            <w:pPr>
              <w:pStyle w:val="Compact"/>
            </w:pPr>
            <w:r>
              <w:t xml:space="preserve">0,3934</w:t>
            </w:r>
          </w:p>
        </w:tc>
        <w:tc>
          <w:tcPr/>
          <w:p>
            <w:pPr>
              <w:pStyle w:val="Compact"/>
            </w:pPr>
            <w:r>
              <w:t xml:space="preserve">0,3967</w:t>
            </w:r>
          </w:p>
        </w:tc>
        <w:tc>
          <w:tcPr/>
          <w:p>
            <w:pPr>
              <w:pStyle w:val="Compact"/>
            </w:pPr>
            <w:r>
              <w:t xml:space="preserve">0,1858</w:t>
            </w:r>
          </w:p>
        </w:tc>
        <w:tc>
          <w:tcPr/>
          <w:p>
            <w:pPr>
              <w:pStyle w:val="Compact"/>
            </w:pPr>
            <w:r>
              <w:t xml:space="preserve">0,1840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AUC-ROC</w:t>
            </w:r>
          </w:p>
        </w:tc>
        <w:tc>
          <w:tcPr/>
          <w:p>
            <w:pPr>
              <w:pStyle w:val="Compact"/>
            </w:pPr>
            <w:r>
              <w:t xml:space="preserve">0,8414</w:t>
            </w:r>
          </w:p>
        </w:tc>
        <w:tc>
          <w:tcPr/>
          <w:p>
            <w:pPr>
              <w:pStyle w:val="Compact"/>
            </w:pPr>
            <w:r>
              <w:t xml:space="preserve">0,8392</w:t>
            </w:r>
          </w:p>
        </w:tc>
        <w:tc>
          <w:tcPr/>
          <w:p>
            <w:pPr>
              <w:pStyle w:val="Compact"/>
            </w:pPr>
            <w:r>
              <w:t xml:space="preserve">0,8289</w:t>
            </w:r>
          </w:p>
        </w:tc>
        <w:tc>
          <w:tcPr/>
          <w:p>
            <w:pPr>
              <w:pStyle w:val="Compact"/>
            </w:pPr>
            <w:r>
              <w:t xml:space="preserve">0,8234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0,6785</w:t>
            </w:r>
          </w:p>
        </w:tc>
        <w:tc>
          <w:tcPr/>
          <w:p>
            <w:pPr>
              <w:pStyle w:val="Compact"/>
            </w:pPr>
            <w:r>
              <w:t xml:space="preserve">0,6831</w:t>
            </w:r>
          </w:p>
        </w:tc>
        <w:tc>
          <w:tcPr/>
          <w:p>
            <w:pPr>
              <w:pStyle w:val="Compact"/>
            </w:pPr>
            <w:r>
              <w:t xml:space="preserve">0,7032</w:t>
            </w:r>
          </w:p>
        </w:tc>
        <w:tc>
          <w:tcPr/>
          <w:p>
            <w:pPr>
              <w:pStyle w:val="Compact"/>
            </w:pPr>
            <w:r>
              <w:t xml:space="preserve">0,7071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0,1347</w:t>
            </w:r>
          </w:p>
        </w:tc>
        <w:tc>
          <w:tcPr/>
          <w:p>
            <w:pPr>
              <w:pStyle w:val="Compact"/>
            </w:pPr>
            <w:r>
              <w:t xml:space="preserve">0,1316</w:t>
            </w:r>
          </w:p>
        </w:tc>
        <w:tc>
          <w:tcPr/>
          <w:p>
            <w:pPr>
              <w:pStyle w:val="Compact"/>
            </w:pPr>
            <w:r>
              <w:t xml:space="preserve">0,1236</w:t>
            </w:r>
          </w:p>
        </w:tc>
        <w:tc>
          <w:tcPr/>
          <w:p>
            <w:pPr>
              <w:pStyle w:val="Compact"/>
            </w:pPr>
            <w:r>
              <w:t xml:space="preserve">0,1213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duas estratégias empataram</w:t>
      </w:r>
      <w:r>
        <w:t xml:space="preserve">, na validação e no teste (diferenças de 0,003 e 0,002). O sinal da diferença inclusive se inverte conforme o recorte dos dados. A escolha entre elas será feita por critérios secundários — não fabricar dados sintéticos, não interpolar variáveis categóricas e custo computacional (o SMOTE levou 42 minutos contra 6) — e não por desempenho.</w:t>
      </w:r>
    </w:p>
    <w:p>
      <w:pPr>
        <w:pStyle w:val="BodyText"/>
      </w:pPr>
      <w:r>
        <w:t xml:space="preserve">Em termos operacionais no teste: das 3.083 fraudes o modelo recupera cerca de 2.180, marcando ~18.000 das 88.581 transações como suspeitas. São 20% do total, com 8 de cada 10 acusações sendo alarme falso — comportamento esperado de um baseline linear, e o piso que os modelos de julho precisam superar.</w:t>
      </w:r>
    </w:p>
    <w:bookmarkEnd w:id="10"/>
    <w:bookmarkStart w:id="11" w:name="achado-principal-degradação-temporal"/>
    <w:p>
      <w:pPr>
        <w:pStyle w:val="Heading2"/>
      </w:pPr>
      <w:r>
        <w:t xml:space="preserve">3. Achado principal: degradação temporal</w:t>
      </w:r>
    </w:p>
    <w:p>
      <w:pPr>
        <w:pStyle w:val="FirstParagraph"/>
      </w:pPr>
      <w:r>
        <w:rPr>
          <w:b/>
          <w:bCs/>
        </w:rPr>
        <w:t xml:space="preserve">A AUC-PR cai pela metade entre validação e teste — de 0,3934 para 0,1858.</w:t>
      </w:r>
      <w:r>
        <w:t xml:space="preserve"> </w:t>
      </w:r>
      <w:r>
        <w:t xml:space="preserve">A queda não se explica por desbalanceamento: as taxas base são equivalentes (3,43% e 3,48%), a AUC-ROC quase não se move e o recall até sobe. O que se degrada é a pureza das previsões de maior confiança no período mais recente: os padrões aprendidos envelhecem.</w:t>
      </w:r>
    </w:p>
    <w:p>
      <w:pPr>
        <w:pStyle w:val="BodyText"/>
      </w:pPr>
      <w:r>
        <w:t xml:space="preserve">Verificamos experimentalmente que isso só é visível por causa da divisão temporal. Um controle com o mesmo modelo e os mesmos dados, mudando apenas a forma de dividir: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Corte temporal</w:t>
            </w:r>
          </w:p>
        </w:tc>
        <w:tc>
          <w:tcPr/>
          <w:p>
            <w:pPr>
              <w:pStyle w:val="Compact"/>
            </w:pPr>
            <w:r>
              <w:t xml:space="preserve">Divisão aleatória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AUC-PR validação</w:t>
            </w:r>
          </w:p>
        </w:tc>
        <w:tc>
          <w:tcPr/>
          <w:p>
            <w:pPr>
              <w:pStyle w:val="Compact"/>
            </w:pPr>
            <w:r>
              <w:t xml:space="preserve">0,3936</w:t>
            </w:r>
          </w:p>
        </w:tc>
        <w:tc>
          <w:tcPr/>
          <w:p>
            <w:pPr>
              <w:pStyle w:val="Compact"/>
            </w:pPr>
            <w:r>
              <w:t xml:space="preserve">0,4220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AUC-PR teste</w:t>
            </w:r>
          </w:p>
        </w:tc>
        <w:tc>
          <w:tcPr/>
          <w:p>
            <w:pPr>
              <w:pStyle w:val="Compact"/>
            </w:pPr>
            <w:r>
              <w:t xml:space="preserve">0,1858</w:t>
            </w:r>
          </w:p>
        </w:tc>
        <w:tc>
          <w:tcPr/>
          <w:p>
            <w:pPr>
              <w:pStyle w:val="Compact"/>
            </w:pPr>
            <w:r>
              <w:t xml:space="preserve">0,4250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−52,8%</w:t>
            </w:r>
          </w:p>
        </w:tc>
        <w:tc>
          <w:tcPr/>
          <w:p>
            <w:pPr>
              <w:pStyle w:val="Compact"/>
            </w:pPr>
            <w:r>
              <w:t xml:space="preserve">+0,7%</w:t>
            </w:r>
          </w:p>
        </w:tc>
      </w:tr>
    </w:tbl>
    <w:p>
      <w:pPr>
        <w:pStyle w:val="BodyText"/>
      </w:pPr>
      <w:r>
        <w:t xml:space="preserve">A divisão aleatória reporta</w:t>
      </w:r>
      <w:r>
        <w:t xml:space="preserve"> </w:t>
      </w:r>
      <w:r>
        <w:rPr>
          <w:b/>
          <w:bCs/>
        </w:rPr>
        <w:t xml:space="preserve">2,3 vezes</w:t>
      </w:r>
      <w:r>
        <w:t xml:space="preserve"> </w:t>
      </w:r>
      <w:r>
        <w:t xml:space="preserve">a AUC-PR no teste e não mostra degradação alguma: descreveria um modelo estável e duas vezes melhor do que ele é.</w:t>
      </w:r>
      <w:r>
        <w:t xml:space="preserve"> </w:t>
      </w:r>
      <w:r>
        <w:rPr>
          <w:i/>
          <w:iCs/>
        </w:rPr>
        <w:t xml:space="preserve">Ressalva:</w:t>
      </w:r>
      <w:r>
        <w:t xml:space="preserve"> </w:t>
      </w:r>
      <w:r>
        <w:t xml:space="preserve">ela também coloca transações do mesmo identificador de cartão nos dois lados, então a diferença combina período e identificador compartilhados, e não se atribui inteiramente ao tempo.</w:t>
      </w:r>
    </w:p>
    <w:p>
      <w:pPr>
        <w:pStyle w:val="BodyText"/>
      </w:pPr>
      <w:r>
        <w:t xml:space="preserve">O achado indica que um sistema assim exigiria retreino periódico em operação, e é evidência própria para a justificativa metodológica do Capítulo 3.</w:t>
      </w:r>
    </w:p>
    <w:bookmarkEnd w:id="11"/>
    <w:bookmarkStart w:id="12" w:name="limitações-assumidas"/>
    <w:p>
      <w:pPr>
        <w:pStyle w:val="Heading2"/>
      </w:pPr>
      <w:r>
        <w:t xml:space="preserve">4. Limitações assumidas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dataset é de cartão, não de Pix</w:t>
      </w:r>
      <w:r>
        <w:t xml:space="preserve"> </w:t>
      </w:r>
      <w:r>
        <w:t xml:space="preserve">— nenhum resultado aqui indica desempenho no Pix real.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Três variáveis da proposta não têm equivalente no IEEE-CIS</w:t>
      </w:r>
      <w:r>
        <w:t xml:space="preserve">: tipo de chave Pix, perfil do destinatário e idade da conta.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limiar de decisão permanece em 0,5</w:t>
      </w:r>
      <w:r>
        <w:t xml:space="preserve">, valor padrão, não escolhido. Ajustá-lo na validação é a próxima melhoria de menor custo.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SMOTE interpola variáveis categóricas já codificadas</w:t>
      </w:r>
      <w:r>
        <w:t xml:space="preserve">, gerando combinações inexistentes no domínio.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execução não é reprodutível bit a bit</w:t>
      </w:r>
      <w:r>
        <w:t xml:space="preserve">: o uso de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 necessário para caber na memória disponível, faz os resultados variarem a partir da terceira casa decimal entre execuções.</w:t>
      </w:r>
    </w:p>
    <w:bookmarkEnd w:id="12"/>
    <w:bookmarkStart w:id="13" w:name="observação-sobre-a-base-regulatória"/>
    <w:p>
      <w:pPr>
        <w:pStyle w:val="Heading2"/>
      </w:pPr>
      <w:r>
        <w:t xml:space="preserve">5. Observação sobre a base regulatória</w:t>
      </w:r>
    </w:p>
    <w:p>
      <w:pPr>
        <w:pStyle w:val="FirstParagraph"/>
      </w:pPr>
      <w:r>
        <w:t xml:space="preserve">A proposta aprovada cita a</w:t>
      </w:r>
      <w:r>
        <w:t xml:space="preserve"> </w:t>
      </w:r>
      <w:r>
        <w:rPr>
          <w:b/>
          <w:bCs/>
        </w:rPr>
        <w:t xml:space="preserve">Resolução BCB nº 403/2023</w:t>
      </w:r>
      <w:r>
        <w:t xml:space="preserve"> </w:t>
      </w:r>
      <w:r>
        <w:t xml:space="preserve">como base de prevenção a fraudes no Pix. Ao levantar as fontes para a base documental do RAG, identificamos que o Mecanismo Especial de Devolução foi criado pela</w:t>
      </w:r>
      <w:r>
        <w:t xml:space="preserve"> </w:t>
      </w:r>
      <w:r>
        <w:rPr>
          <w:b/>
          <w:bCs/>
        </w:rPr>
        <w:t xml:space="preserve">Resolução BCB nº 103/2021</w:t>
      </w:r>
      <w:r>
        <w:t xml:space="preserve">; a nº 403 é de 22/07/2024 e trata de outro ajuste. A referência será corrigida na monografia.</w:t>
      </w:r>
    </w:p>
    <w:bookmarkEnd w:id="13"/>
    <w:bookmarkStart w:id="14" w:name="próxima-etapa-e-alinhamento"/>
    <w:p>
      <w:pPr>
        <w:pStyle w:val="Heading2"/>
      </w:pPr>
      <w:r>
        <w:t xml:space="preserve">6. Próxima etapa e alinhamento</w:t>
      </w:r>
    </w:p>
    <w:p>
      <w:pPr>
        <w:pStyle w:val="FirstParagraph"/>
      </w:pPr>
      <w:r>
        <w:t xml:space="preserve">Julho prevê XGBoost (principal) e Random Forest (comparativo), o módulo de avaliação com matriz de confusão e curva de precisão-recall, e a aplicação do SHAP. Os modelos serão avaliados no mesmo corte temporal, para que a queda entre validação e teste seja comparável. O critério de sucesso é</w:t>
      </w:r>
      <w:r>
        <w:t xml:space="preserve"> </w:t>
      </w:r>
      <w:r>
        <w:rPr>
          <w:b/>
          <w:bCs/>
        </w:rPr>
        <w:t xml:space="preserve">melhorar a precisão sem perder recall</w:t>
      </w:r>
      <w:r>
        <w:t xml:space="preserve">.</w:t>
      </w:r>
    </w:p>
    <w:p>
      <w:pPr>
        <w:pStyle w:val="BodyText"/>
      </w:pPr>
      <w:r>
        <w:t xml:space="preserve">Esta entrega está sendo enviada em setembro, fora do prazo originalmente previsto. Gostaríamos de alinhar o calendário das etapas seguintes antes de avançar, para que as próximas entregas tenham prazos realistas.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Evidências:</w:t>
      </w:r>
      <w:r>
        <w:t xml:space="preserve"> </w:t>
      </w:r>
      <w:r>
        <w:rPr>
          <w:rStyle w:val="VerbatimChar"/>
        </w:rPr>
        <w:t xml:space="preserve">notebooks/02_preprocessing.ipynb</w:t>
      </w:r>
      <w:r>
        <w:t xml:space="preserve"> </w:t>
      </w:r>
      <w:r>
        <w:t xml:space="preserve">(pré-processamento e baseline executados) ·</w:t>
      </w:r>
      <w:r>
        <w:t xml:space="preserve"> </w:t>
      </w:r>
      <w:r>
        <w:rPr>
          <w:rStyle w:val="VerbatimChar"/>
        </w:rPr>
        <w:t xml:space="preserve">reports/anotacoes_metodologia.md</w:t>
      </w:r>
      <w:r>
        <w:t xml:space="preserve"> </w:t>
      </w:r>
      <w:r>
        <w:t xml:space="preserve">(decisões e experimentos) ·</w:t>
      </w:r>
      <w:r>
        <w:t xml:space="preserve"> </w:t>
      </w:r>
      <w:r>
        <w:rPr>
          <w:rStyle w:val="VerbatimChar"/>
        </w:rPr>
        <w:t xml:space="preserve">reports/pessoa_2/junho/04_entrega_parcial_eda_features.md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reports/eda_summary.txt</w:t>
      </w:r>
      <w:r>
        <w:t xml:space="preserve"> </w:t>
      </w:r>
      <w:r>
        <w:t xml:space="preserve">(detalhamento da EDA e registro das features) ·</w:t>
      </w:r>
      <w:r>
        <w:t xml:space="preserve"> </w:t>
      </w:r>
      <w:r>
        <w:rPr>
          <w:rStyle w:val="VerbatimChar"/>
        </w:rPr>
        <w:t xml:space="preserve">src/features/</w:t>
      </w:r>
      <w:r>
        <w:t xml:space="preserve"> </w:t>
      </w:r>
      <w:r>
        <w:t xml:space="preserve">(código).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2026-09-11T03:14:32Z</dcterms:created>
  <dcterms:modified xsi:type="dcterms:W3CDTF">2026-09-11T03:14:32Z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