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Arial" w:hAnsi="Arial"/>
          <w:b/>
          <w:color w:val="7A1113"/>
          <w:sz w:val="22"/>
        </w:rPr>
        <w:t>UNIVERSITY OF NUEVA CACERES</w:t>
      </w:r>
    </w:p>
    <w:p>
      <w:pPr>
        <w:spacing w:before="0" w:after="20"/>
        <w:jc w:val="center"/>
      </w:pPr>
      <w:r>
        <w:rPr>
          <w:rFonts w:ascii="Arial" w:hAnsi="Arial"/>
          <w:color w:val="222222"/>
          <w:sz w:val="18"/>
        </w:rPr>
        <w:t>School of Computer and Information Sciences</w:t>
      </w:r>
    </w:p>
    <w:p>
      <w:pPr>
        <w:spacing w:before="0" w:after="80"/>
        <w:jc w:val="center"/>
      </w:pPr>
      <w:r>
        <w:rPr>
          <w:rFonts w:ascii="Arial" w:hAnsi="Arial"/>
          <w:color w:val="555555"/>
          <w:sz w:val="16"/>
        </w:rPr>
        <w:t>Bachelor of Science in Information Technology • Naga City, Camarines Sur</w:t>
      </w:r>
    </w:p>
    <w:p>
      <w:pPr>
        <w:pStyle w:val="Heading1"/>
        <w:spacing w:before="40" w:after="40"/>
        <w:jc w:val="center"/>
      </w:pPr>
      <w:r>
        <w:rPr>
          <w:rFonts w:ascii="Arial" w:hAnsi="Arial"/>
          <w:b/>
          <w:color w:val="7A1113"/>
          <w:sz w:val="24"/>
        </w:rPr>
        <w:t>STEP 1: EXPERT VALIDATION SHEET FOR RESEARCH INSTRUMENTS</w:t>
      </w:r>
    </w:p>
    <w:p>
      <w:pPr>
        <w:spacing w:before="0" w:after="120"/>
        <w:jc w:val="center"/>
      </w:pPr>
      <w:r>
        <w:rPr>
          <w:rFonts w:ascii="Arial" w:hAnsi="Arial"/>
          <w:i/>
          <w:color w:val="555555"/>
          <w:sz w:val="17"/>
        </w:rPr>
        <w:t>Step 1: Content Validity, Construct Adequacy, and Methodological Rigor Evaluation Protocol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CED4DA"/>
              <w:bottom w:val="single" w:sz="6" w:space="0" w:color="CED4DA"/>
              <w:left w:val="single" w:sz="6" w:space="0" w:color="CED4DA"/>
              <w:right w:val="single" w:sz="6" w:space="0" w:color="CED4DA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7A1113"/>
                <w:sz w:val="17"/>
              </w:rPr>
              <w:t>RESEARCH TIMELINE STAGE: STEP 1 (PRE-DEPLOYMENT VALIDATION)</w:t>
            </w:r>
          </w:p>
          <w:p>
            <w:pPr>
              <w:spacing w:before="0" w:after="30"/>
            </w:pPr>
            <w:r>
              <w:rPr>
                <w:rFonts w:ascii="Arial" w:hAnsi="Arial"/>
                <w:color w:val="222222"/>
                <w:sz w:val="16"/>
              </w:rPr>
              <w:t>When to Use: Submit this form to expert validators before field deployment to formally evaluate and certify the research tools.</w:t>
            </w:r>
          </w:p>
          <w:p>
            <w:pPr>
              <w:spacing w:before="0" w:after="30"/>
            </w:pPr>
            <w:r>
              <w:rPr>
                <w:rFonts w:ascii="Arial" w:hAnsi="Arial"/>
                <w:color w:val="222222"/>
                <w:sz w:val="16"/>
              </w:rPr>
              <w:t>Study Title: Needs Assessment for a Real Property Assessment Tracking and Inter-Office Synchronization System: Resolving Disconnected Records and Workflow Delays in Municipal Assessor and Treasurer Offices in Pasacao</w:t>
            </w:r>
          </w:p>
          <w:p>
            <w:pPr>
              <w:spacing w:before="0" w:after="30"/>
            </w:pPr>
            <w:r>
              <w:rPr>
                <w:rFonts w:ascii="Arial" w:hAnsi="Arial"/>
                <w:color w:val="222222"/>
                <w:sz w:val="16"/>
              </w:rPr>
              <w:t>Student Researchers: Rizalina A. Ortega | John Kenneth P. Calubad | Christian Louise O. Asido</w:t>
            </w:r>
          </w:p>
          <w:p>
            <w:pPr>
              <w:spacing w:before="0" w:after="30"/>
            </w:pPr>
            <w:r>
              <w:rPr>
                <w:rFonts w:ascii="Arial" w:hAnsi="Arial"/>
                <w:color w:val="222222"/>
                <w:sz w:val="16"/>
              </w:rPr>
              <w:t>Instruments Evaluated: Step 2 Consent Form, Step 3 Interview Guide, Step 4 Time-Motion Log, Step 5 ISO 25010 Survey.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left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222222"/>
                <w:sz w:val="16"/>
              </w:rPr>
              <w:t>Validator Name: ___________________________</w:t>
            </w:r>
          </w:p>
        </w:tc>
        <w:tc>
          <w:tcPr>
            <w:tcW w:type="dxa" w:w="5400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222222"/>
                <w:sz w:val="16"/>
              </w:rPr>
              <w:t>Date of Evaluation: ___________________________</w:t>
            </w:r>
          </w:p>
        </w:tc>
      </w:tr>
      <w:tr>
        <w:tc>
          <w:tcPr>
            <w:tcW w:type="dxa" w:w="5400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Position / Designation: ___________________________</w:t>
            </w:r>
          </w:p>
        </w:tc>
        <w:tc>
          <w:tcPr>
            <w:tcW w:type="dxa" w:w="5400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Institutional Affiliation: ___________________________</w:t>
            </w:r>
          </w:p>
        </w:tc>
      </w:tr>
      <w:tr>
        <w:tc>
          <w:tcPr>
            <w:tcW w:type="dxa" w:w="5400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Area of Expertise:</w:t>
              <w:br/>
              <w:t>[  ] Information Technology / Software Engineering</w:t>
              <w:br/>
              <w:t>[  ] Public Administration / LGU</w:t>
              <w:br/>
              <w:t>[  ] Academic Research / Statistics</w:t>
              <w:br/>
              <w:t>[  ] Other: ___________________________</w:t>
            </w:r>
          </w:p>
        </w:tc>
        <w:tc>
          <w:tcPr>
            <w:tcW w:type="dxa" w:w="5400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Highest Degree:</w:t>
              <w:br/>
              <w:t>[  ] Master's Degree (MS / MIT / MPA)</w:t>
              <w:br/>
              <w:t>[  ] Doctorate Degree (PhD / DIT / DPA)</w:t>
              <w:br/>
              <w:t>[  ] Professional License (REA / REB / CPA)</w:t>
              <w:br/>
              <w:t>Years in Field: ______ years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CED4DA"/>
              <w:bottom w:val="single" w:sz="6" w:space="0" w:color="CED4DA"/>
              <w:left w:val="single" w:sz="6" w:space="0" w:color="CED4DA"/>
              <w:right w:val="single" w:sz="6" w:space="0" w:color="CED4DA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7A1113"/>
                <w:sz w:val="17"/>
              </w:rPr>
              <w:t>RATING SCALE &amp; BENCHMARK</w:t>
            </w:r>
          </w:p>
          <w:p>
            <w:pPr>
              <w:spacing w:before="0" w:after="30"/>
            </w:pPr>
            <w:r>
              <w:rPr>
                <w:rFonts w:ascii="Arial" w:hAnsi="Arial"/>
                <w:color w:val="222222"/>
                <w:sz w:val="16"/>
              </w:rPr>
              <w:t>5 = Strongly Agree (Exceptionally satisfied)  |  4 = Agree (Adequately satisfied)  |  3 = Neutral (Revisions suggested)</w:t>
            </w:r>
          </w:p>
          <w:p>
            <w:pPr>
              <w:spacing w:before="0" w:after="30"/>
            </w:pPr>
            <w:r>
              <w:rPr>
                <w:rFonts w:ascii="Arial" w:hAnsi="Arial"/>
                <w:color w:val="222222"/>
                <w:sz w:val="16"/>
              </w:rPr>
              <w:t>2 = Disagree (Substantial restructuring needed)  |  1 = Strongly Disagree (Invalid/Inadequate)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7A1113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INSTRUMENT VALIDATION MATRIX (CRITERIA ACROSS TOOLS)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left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#</w:t>
            </w:r>
          </w:p>
        </w:tc>
        <w:tc>
          <w:tcPr>
            <w:tcW w:type="dxa" w:w="1800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Validation Evaluation Criterion</w:t>
            </w:r>
          </w:p>
        </w:tc>
        <w:tc>
          <w:tcPr>
            <w:tcW w:type="dxa" w:w="1800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Step 02 (Consent)</w:t>
            </w:r>
          </w:p>
        </w:tc>
        <w:tc>
          <w:tcPr>
            <w:tcW w:type="dxa" w:w="1800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Step 03 (Interview)</w:t>
            </w:r>
          </w:p>
        </w:tc>
        <w:tc>
          <w:tcPr>
            <w:tcW w:type="dxa" w:w="1800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Step 04 (Time-Motion)</w:t>
            </w:r>
          </w:p>
        </w:tc>
        <w:tc>
          <w:tcPr>
            <w:tcW w:type="dxa" w:w="1800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Step 05 (ISO 25010)</w:t>
            </w:r>
          </w:p>
        </w:tc>
      </w:tr>
      <w:tr>
        <w:tc>
          <w:tcPr>
            <w:tcW w:type="dxa" w:w="18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1</w:t>
            </w:r>
          </w:p>
        </w:tc>
        <w:tc>
          <w:tcPr>
            <w:tcW w:type="dxa" w:w="1800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Construct &amp; Objective Alignment: Items directly measure the operational variables and objectives specified in Chapter 1.</w:t>
            </w:r>
          </w:p>
        </w:tc>
        <w:tc>
          <w:tcPr>
            <w:tcW w:type="dxa" w:w="18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8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8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8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</w:tr>
      <w:tr>
        <w:tc>
          <w:tcPr>
            <w:tcW w:type="dxa" w:w="18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</w:t>
            </w:r>
          </w:p>
        </w:tc>
        <w:tc>
          <w:tcPr>
            <w:tcW w:type="dxa" w:w="1800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Clarity and Unambiguity: Questions, rating indicators, and instructions are phrased clearly and free of confusing wording.</w:t>
            </w:r>
          </w:p>
        </w:tc>
        <w:tc>
          <w:tcPr>
            <w:tcW w:type="dxa" w:w="18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8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8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8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</w:tr>
      <w:tr>
        <w:tc>
          <w:tcPr>
            <w:tcW w:type="dxa" w:w="18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3</w:t>
            </w:r>
          </w:p>
        </w:tc>
        <w:tc>
          <w:tcPr>
            <w:tcW w:type="dxa" w:w="1800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Language Appropriateness: Vocabulary and phrasing match the professional profile of municipal and provincial personnel.</w:t>
            </w:r>
          </w:p>
        </w:tc>
        <w:tc>
          <w:tcPr>
            <w:tcW w:type="dxa" w:w="18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8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8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8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</w:tr>
      <w:tr>
        <w:tc>
          <w:tcPr>
            <w:tcW w:type="dxa" w:w="18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4</w:t>
            </w:r>
          </w:p>
        </w:tc>
        <w:tc>
          <w:tcPr>
            <w:tcW w:type="dxa" w:w="1800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Content Comprehensiveness: The tools comprehensively cover administrative workflows, timing metrics, and software quality.</w:t>
            </w:r>
          </w:p>
        </w:tc>
        <w:tc>
          <w:tcPr>
            <w:tcW w:type="dxa" w:w="18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8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8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8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</w:tr>
      <w:tr>
        <w:tc>
          <w:tcPr>
            <w:tcW w:type="dxa" w:w="18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5</w:t>
            </w:r>
          </w:p>
        </w:tc>
        <w:tc>
          <w:tcPr>
            <w:tcW w:type="dxa" w:w="1800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Objectivity and Non-Bias: Items are neutral, balanced, and free from leading questions or presupposed outcomes.</w:t>
            </w:r>
          </w:p>
        </w:tc>
        <w:tc>
          <w:tcPr>
            <w:tcW w:type="dxa" w:w="18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8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8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8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</w:tr>
      <w:tr>
        <w:tc>
          <w:tcPr>
            <w:tcW w:type="dxa" w:w="18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6</w:t>
            </w:r>
          </w:p>
        </w:tc>
        <w:tc>
          <w:tcPr>
            <w:tcW w:type="dxa" w:w="1800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Measurement Scale Suitability: Response options, timestamp entries, and Likert scales are operationally and statistically sound.</w:t>
            </w:r>
          </w:p>
        </w:tc>
        <w:tc>
          <w:tcPr>
            <w:tcW w:type="dxa" w:w="18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8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8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8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</w:tr>
      <w:tr>
        <w:tc>
          <w:tcPr>
            <w:tcW w:type="dxa" w:w="18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7</w:t>
            </w:r>
          </w:p>
        </w:tc>
        <w:tc>
          <w:tcPr>
            <w:tcW w:type="dxa" w:w="1800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Instrument Economy: Length and completion duration are realistic and respectful of municipal operating hours.</w:t>
            </w:r>
          </w:p>
        </w:tc>
        <w:tc>
          <w:tcPr>
            <w:tcW w:type="dxa" w:w="18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8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8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8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</w:tr>
      <w:tr>
        <w:tc>
          <w:tcPr>
            <w:tcW w:type="dxa" w:w="18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8</w:t>
            </w:r>
          </w:p>
        </w:tc>
        <w:tc>
          <w:tcPr>
            <w:tcW w:type="dxa" w:w="1800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Ethical and Statutory Soundness: Conforms strictly to the Data Privacy Act (RA 10173) and UNC ethics guidelines.</w:t>
            </w:r>
          </w:p>
        </w:tc>
        <w:tc>
          <w:tcPr>
            <w:tcW w:type="dxa" w:w="18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8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8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8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</w:tr>
      <w:tr>
        <w:tc>
          <w:tcPr>
            <w:tcW w:type="dxa" w:w="18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222222"/>
                <w:sz w:val="15"/>
              </w:rPr>
              <w:t>∑</w:t>
            </w:r>
          </w:p>
        </w:tc>
        <w:tc>
          <w:tcPr>
            <w:tcW w:type="dxa" w:w="1800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222222"/>
                <w:sz w:val="15"/>
              </w:rPr>
              <w:t>COMPOSITE MEAN RATING</w:t>
            </w:r>
          </w:p>
        </w:tc>
        <w:tc>
          <w:tcPr>
            <w:tcW w:type="dxa" w:w="18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222222"/>
                <w:sz w:val="15"/>
              </w:rPr>
              <w:t>______</w:t>
            </w:r>
          </w:p>
        </w:tc>
        <w:tc>
          <w:tcPr>
            <w:tcW w:type="dxa" w:w="18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222222"/>
                <w:sz w:val="15"/>
              </w:rPr>
              <w:t>______</w:t>
            </w:r>
          </w:p>
        </w:tc>
        <w:tc>
          <w:tcPr>
            <w:tcW w:type="dxa" w:w="18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222222"/>
                <w:sz w:val="15"/>
              </w:rPr>
              <w:t>______</w:t>
            </w:r>
          </w:p>
        </w:tc>
        <w:tc>
          <w:tcPr>
            <w:tcW w:type="dxa" w:w="18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222222"/>
                <w:sz w:val="15"/>
              </w:rPr>
              <w:t>______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CED4DA"/>
              <w:bottom w:val="single" w:sz="6" w:space="0" w:color="CED4DA"/>
              <w:left w:val="single" w:sz="6" w:space="0" w:color="CED4DA"/>
              <w:right w:val="single" w:sz="6" w:space="0" w:color="CED4DA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7A1113"/>
                <w:sz w:val="17"/>
              </w:rPr>
              <w:t>VALIDATION VERDICT &amp; SPECIFIC RECOMMENDATIONS</w:t>
            </w:r>
          </w:p>
          <w:p>
            <w:pPr>
              <w:spacing w:before="0" w:after="30"/>
            </w:pPr>
            <w:r>
              <w:rPr>
                <w:rFonts w:ascii="Arial" w:hAnsi="Arial"/>
                <w:color w:val="222222"/>
                <w:sz w:val="16"/>
              </w:rPr>
              <w:t>Step 02 (Consent Form): _____________________________________________________________________________</w:t>
            </w:r>
          </w:p>
          <w:p>
            <w:pPr>
              <w:spacing w:before="0" w:after="30"/>
            </w:pPr>
            <w:r>
              <w:rPr>
                <w:rFonts w:ascii="Arial" w:hAnsi="Arial"/>
                <w:color w:val="222222"/>
                <w:sz w:val="16"/>
              </w:rPr>
              <w:t>Step 03 (Interview Guide): __________________________________________________________________________</w:t>
            </w:r>
          </w:p>
          <w:p>
            <w:pPr>
              <w:spacing w:before="0" w:after="30"/>
            </w:pPr>
            <w:r>
              <w:rPr>
                <w:rFonts w:ascii="Arial" w:hAnsi="Arial"/>
                <w:color w:val="222222"/>
                <w:sz w:val="16"/>
              </w:rPr>
              <w:t>Step 04 (Time-Motion Log): __________________________________________________________________________</w:t>
            </w:r>
          </w:p>
          <w:p>
            <w:pPr>
              <w:spacing w:before="0" w:after="30"/>
            </w:pPr>
            <w:r>
              <w:rPr>
                <w:rFonts w:ascii="Arial" w:hAnsi="Arial"/>
                <w:color w:val="222222"/>
                <w:sz w:val="16"/>
              </w:rPr>
              <w:t>Step 05 (ISO 25010 Survey): _________________________________________________________________________</w:t>
            </w:r>
          </w:p>
          <w:p>
            <w:pPr>
              <w:spacing w:before="0" w:after="30"/>
            </w:pPr>
            <w:r>
              <w:rPr>
                <w:rFonts w:ascii="Arial" w:hAnsi="Arial"/>
                <w:color w:val="222222"/>
                <w:sz w:val="16"/>
              </w:rPr>
              <w:t>OVERALL VERDICT:  [  ] Approved for Field Use    [  ] Approved with Minor Revisions    [  ] Needs Major Revisions</w:t>
            </w:r>
          </w:p>
          <w:p>
            <w:pPr>
              <w:spacing w:before="0" w:after="30"/>
            </w:pPr>
            <w:r>
              <w:rPr>
                <w:rFonts w:ascii="Arial" w:hAnsi="Arial"/>
                <w:color w:val="222222"/>
                <w:sz w:val="16"/>
              </w:rPr>
              <w:t>Validator Signature: ____________________________________        Date: ________________________</w:t>
            </w:r>
          </w:p>
          <w:p>
            <w:pPr>
              <w:spacing w:before="0" w:after="30"/>
            </w:pPr>
            <w:r>
              <w:rPr>
                <w:rFonts w:ascii="Arial" w:hAnsi="Arial"/>
                <w:color w:val="222222"/>
                <w:sz w:val="16"/>
              </w:rPr>
              <w:t>Printed Name: __________________________________________        Official Stamp / Seal: ________________</w:t>
            </w:r>
          </w:p>
        </w:tc>
      </w:tr>
    </w:tbl>
    <w:p>
      <w:pPr>
        <w:spacing w:after="60"/>
      </w:pP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