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2: PARTICIPANT CONSENT AND DATA PRIVACY AGREEMENT FORM</w:t>
      </w:r>
    </w:p>
    <w:p>
      <w:pPr>
        <w:spacing w:before="0" w:after="120"/>
        <w:jc w:val="center"/>
      </w:pPr>
      <w:r>
        <w:rPr>
          <w:rFonts w:ascii="Arial" w:hAnsi="Arial"/>
          <w:i/>
          <w:color w:val="555555"/>
          <w:sz w:val="17"/>
        </w:rPr>
        <w:t>Step 2: Republic Act No. 10173 Compliance &amp; UNC Institutional Ethics Protocol</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2 (PARTICIPANT ETHICAL CLEARANCE)</w:t>
            </w:r>
          </w:p>
          <w:p>
            <w:pPr>
              <w:spacing w:before="0" w:after="30"/>
            </w:pPr>
            <w:r>
              <w:rPr>
                <w:rFonts w:ascii="Arial" w:hAnsi="Arial"/>
                <w:color w:val="222222"/>
                <w:sz w:val="16"/>
              </w:rPr>
              <w:t>When to Use: Must be signed by municipal personnel and evaluators before any interview, timing observation, or system testing.</w:t>
            </w:r>
          </w:p>
          <w:p>
            <w:pPr>
              <w:spacing w:before="0" w:after="30"/>
            </w:pPr>
            <w:r>
              <w:rPr>
                <w:rFonts w:ascii="Arial" w:hAnsi="Arial"/>
                <w:color w:val="222222"/>
                <w:sz w:val="16"/>
              </w:rPr>
              <w:t>Project Title: Needs Assessment for a Real Property Assessment Tracking and Inter-Office Synchronization System: Resolving Disconnected Records and Workflow Delays in Municipal Assessor and Treasurer Offices in Pasacao</w:t>
            </w:r>
          </w:p>
          <w:p>
            <w:pPr>
              <w:spacing w:before="0" w:after="30"/>
            </w:pPr>
            <w:r>
              <w:rPr>
                <w:rFonts w:ascii="Arial" w:hAnsi="Arial"/>
                <w:color w:val="222222"/>
                <w:sz w:val="16"/>
              </w:rPr>
              <w:t>Student Researchers: Rizalina A. Ortega | John Kenneth P. Calubad | Christian Louise O. Asido</w:t>
            </w:r>
          </w:p>
          <w:p>
            <w:pPr>
              <w:spacing w:before="0" w:after="30"/>
            </w:pPr>
            <w:r>
              <w:rPr>
                <w:rFonts w:ascii="Arial" w:hAnsi="Arial"/>
                <w:color w:val="222222"/>
                <w:sz w:val="16"/>
              </w:rPr>
              <w:t>Academic Department: School of Computer and Information Sciences, University of Nueva Caceres</w:t>
            </w:r>
          </w:p>
        </w:tc>
      </w:tr>
    </w:tbl>
    <w:p>
      <w:pPr>
        <w:spacing w:after="60"/>
      </w:pPr>
    </w:p>
    <w:p>
      <w:pPr>
        <w:spacing w:before="40" w:after="20"/>
      </w:pPr>
      <w:r>
        <w:rPr>
          <w:rFonts w:ascii="Arial" w:hAnsi="Arial"/>
          <w:b/>
          <w:color w:val="222222"/>
          <w:sz w:val="17"/>
        </w:rPr>
        <w:t>1. Purpose and Nature of the Research</w:t>
      </w:r>
    </w:p>
    <w:p>
      <w:pPr>
        <w:spacing w:before="0" w:after="60"/>
      </w:pPr>
      <w:r>
        <w:rPr>
          <w:rFonts w:ascii="Arial" w:hAnsi="Arial"/>
          <w:color w:val="222222"/>
          <w:sz w:val="16"/>
        </w:rPr>
        <w:t>The research team is conducting a study to analyze operational workflows, administrative disconnects, and document routing latency between the Municipal Assessor's Office, the Municipal Treasurer's Office, and the Provincial Assessor's Office in Pili. The ultimate objective is to design, develop, and evaluate a web-based Real Property Assessment Tracking and Inter-Office Synchronization System that eliminates manual cross-checking and streamlines document routing.</w:t>
      </w:r>
    </w:p>
    <w:p>
      <w:pPr>
        <w:spacing w:before="40" w:after="20"/>
      </w:pPr>
      <w:r>
        <w:rPr>
          <w:rFonts w:ascii="Arial" w:hAnsi="Arial"/>
          <w:b/>
          <w:color w:val="222222"/>
          <w:sz w:val="17"/>
        </w:rPr>
        <w:t>2. Participant Roles and Required Activities</w:t>
      </w:r>
    </w:p>
    <w:p>
      <w:pPr>
        <w:spacing w:before="0" w:after="60"/>
      </w:pPr>
      <w:r>
        <w:rPr>
          <w:rFonts w:ascii="Arial" w:hAnsi="Arial"/>
          <w:color w:val="222222"/>
          <w:sz w:val="16"/>
        </w:rPr>
        <w:t>As a designated municipal or provincial official, administrative staff member, or technical expert, you may be invited to participate in one or more of the following evaluation activities:</w:t>
        <w:br/>
        <w:t>• Stakeholder Needs Assessment Interview: Answering semi-structured questions regarding daily office workflows, document verification, legacy archives, and inter-office bottlenecks (approx. 20–30 minutes).</w:t>
        <w:br/>
        <w:t>• Time-Motion Workflow Observation: Allowing the research team to observe and record chronological processing durations for routine assessment and reconciliation tasks (approx. 15–30 minutes).</w:t>
        <w:br/>
        <w:t>• Software Pilot Testing &amp; ISO/IEC 25010 Evaluation: Testing the prototype web application and completing an evaluation survey assessing functional suitability, efficiency, usability, security, and reliability (approx. 20–30 minutes).</w:t>
      </w:r>
    </w:p>
    <w:p>
      <w:pPr>
        <w:spacing w:before="40" w:after="20"/>
      </w:pPr>
      <w:r>
        <w:rPr>
          <w:rFonts w:ascii="Arial" w:hAnsi="Arial"/>
          <w:b/>
          <w:color w:val="222222"/>
          <w:sz w:val="17"/>
        </w:rPr>
        <w:t>3. Voluntary Participation and Right of Withdrawal</w:t>
      </w:r>
    </w:p>
    <w:p>
      <w:pPr>
        <w:spacing w:before="0" w:after="60"/>
      </w:pPr>
      <w:r>
        <w:rPr>
          <w:rFonts w:ascii="Arial" w:hAnsi="Arial"/>
          <w:color w:val="222222"/>
          <w:sz w:val="16"/>
        </w:rPr>
        <w:t>Your participation in this research study is entirely voluntary. You reserve the absolute right to refuse to answer any individual question, decline to participate in specific procedures, or terminate your participation at any time without penalty, prejudice, or impact on your official employment status.</w:t>
      </w:r>
    </w:p>
    <w:p>
      <w:pPr>
        <w:spacing w:before="40" w:after="20"/>
      </w:pPr>
      <w:r>
        <w:rPr>
          <w:rFonts w:ascii="Arial" w:hAnsi="Arial"/>
          <w:b/>
          <w:color w:val="222222"/>
          <w:sz w:val="17"/>
        </w:rPr>
        <w:t>4. Strict Confidentiality and Data Privacy Protections (RA 10173)</w:t>
      </w:r>
    </w:p>
    <w:p>
      <w:pPr>
        <w:spacing w:before="0" w:after="60"/>
      </w:pPr>
      <w:r>
        <w:rPr>
          <w:rFonts w:ascii="Arial" w:hAnsi="Arial"/>
          <w:color w:val="222222"/>
          <w:sz w:val="16"/>
        </w:rPr>
        <w:t>In strict compliance with Republic Act No. 10173 (Data Privacy Act of 2012), the research team enforces rigorous data protection safeguards:</w:t>
        <w:br/>
        <w:t>• Strict Anonymity: Published findings, academic manuscripts, and statistical tables will strictly report aggregate metrics and anonymized designations. Personal names will never appear.</w:t>
        <w:br/>
        <w:t>• Zero Exposure of Citizen Records: During development, testing, and simulation trials, only masked or synthetic dummy property records will be utilized. No actual private taxpayer financial data or confidential titles will be recorded.</w:t>
        <w:br/>
        <w:t>• Data Security &amp; Retention: All qualitative notes, observation sheets, and survey data will be securely stored in encrypted academic repositories accessible solely to the research proponents and their academic adviser, and will be destroyed following final project completion.</w:t>
        <w:br/>
        <w:t>• Audio Recording Consent: Audio recording during interviews is strictly optional and requires explicit affirmative consent.</w:t>
      </w:r>
    </w:p>
    <w:p>
      <w:pPr>
        <w:spacing w:before="40" w:after="20"/>
      </w:pPr>
      <w:r>
        <w:rPr>
          <w:rFonts w:ascii="Arial" w:hAnsi="Arial"/>
          <w:b/>
          <w:color w:val="222222"/>
          <w:sz w:val="17"/>
        </w:rPr>
        <w:t>5. Assessment of Risks and Anticipated Benefits</w:t>
      </w:r>
    </w:p>
    <w:p>
      <w:pPr>
        <w:spacing w:before="0" w:after="60"/>
      </w:pPr>
      <w:r>
        <w:rPr>
          <w:rFonts w:ascii="Arial" w:hAnsi="Arial"/>
          <w:color w:val="222222"/>
          <w:sz w:val="16"/>
        </w:rPr>
        <w:t>There are no foreseeable physical, legal, or psychological risks associated with this study beyond routine professional office interactions. Your expert contributions will directly shape a software intervention designed to eliminate tedious manual paper handoffs, shorten transaction delays, and improve frontline public services for local taxpayers.</w:t>
      </w:r>
    </w:p>
    <w:p>
      <w:pPr>
        <w:spacing w:before="40" w:after="20"/>
      </w:pPr>
      <w:r>
        <w:rPr>
          <w:rFonts w:ascii="Arial" w:hAnsi="Arial"/>
          <w:b/>
          <w:color w:val="222222"/>
          <w:sz w:val="17"/>
        </w:rPr>
        <w:t>6. Research Inquiries and Institutional Contact</w:t>
      </w:r>
    </w:p>
    <w:p>
      <w:pPr>
        <w:spacing w:before="0" w:after="60"/>
      </w:pPr>
      <w:r>
        <w:rPr>
          <w:rFonts w:ascii="Arial" w:hAnsi="Arial"/>
          <w:color w:val="222222"/>
          <w:sz w:val="16"/>
        </w:rPr>
        <w:t>If you have inquiries, concerns, or require clarification regarding this study or your rights under the Data Privacy Act, you may contact the student researchers or the Capstone Committee via the School of Computer and Information Sciences, University of Nueva Caceres, Naga City.</w:t>
      </w: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AFFIRMATIVE PARTICIPANT CONSENT AND AUTHORIZATION</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10800"/>
            <w:gridSpan w:val="2"/>
          </w:tcPr>
          <w:p>
            <w:pPr>
              <w:spacing w:before="20" w:after="20"/>
              <w:jc w:val="left"/>
            </w:pPr>
            <w:r>
              <w:rPr>
                <w:rFonts w:ascii="Arial" w:hAnsi="Arial"/>
                <w:b w:val="0"/>
                <w:i w:val="0"/>
                <w:color w:val="222222"/>
                <w:sz w:val="16"/>
              </w:rPr>
              <w:t>I have read and understood the information provided in this Informed Consent and Data Privacy Agreement Form. I have been afforded sufficient opportunity to ask questions, which were answered to my satisfaction. I voluntarily agree to participate in this academic research study.</w:t>
              <w:br/>
              <w:br/>
              <w:t>Audio Recording Authorization:</w:t>
              <w:br/>
              <w:t>[  ] YES, I consent to audio recording for note-taking purposes only.</w:t>
              <w:br/>
              <w:t>[  ] NO, I do not consent to audio recording; written notes only.</w:t>
            </w:r>
          </w:p>
        </w:tc>
      </w:tr>
      <w:tr>
        <w:tc>
          <w:tcPr>
            <w:tcW w:type="dxa" w:w="5400"/>
          </w:tcPr>
          <w:p>
            <w:pPr>
              <w:spacing w:before="20" w:after="20"/>
              <w:jc w:val="left"/>
            </w:pPr>
            <w:r>
              <w:rPr>
                <w:rFonts w:ascii="Arial" w:hAnsi="Arial"/>
                <w:b w:val="0"/>
                <w:i w:val="0"/>
                <w:color w:val="222222"/>
                <w:sz w:val="16"/>
              </w:rPr>
              <w:t>Participant Printed Name: ___________________________</w:t>
            </w:r>
          </w:p>
        </w:tc>
        <w:tc>
          <w:tcPr>
            <w:tcW w:type="dxa" w:w="5400"/>
          </w:tcPr>
          <w:p>
            <w:pPr>
              <w:spacing w:before="20" w:after="20"/>
              <w:jc w:val="left"/>
            </w:pPr>
            <w:r>
              <w:rPr>
                <w:rFonts w:ascii="Arial" w:hAnsi="Arial"/>
                <w:b w:val="0"/>
                <w:i w:val="0"/>
                <w:color w:val="222222"/>
                <w:sz w:val="16"/>
              </w:rPr>
              <w:t>Official Position / Designation: ___________________________</w:t>
            </w:r>
          </w:p>
        </w:tc>
      </w:tr>
      <w:tr>
        <w:tc>
          <w:tcPr>
            <w:tcW w:type="dxa" w:w="5400"/>
          </w:tcPr>
          <w:p>
            <w:pPr>
              <w:spacing w:before="20" w:after="20"/>
              <w:jc w:val="left"/>
            </w:pPr>
            <w:r>
              <w:rPr>
                <w:rFonts w:ascii="Arial" w:hAnsi="Arial"/>
                <w:b w:val="0"/>
                <w:i w:val="0"/>
                <w:color w:val="222222"/>
                <w:sz w:val="16"/>
              </w:rPr>
              <w:t>Participant Signature: ___________________________</w:t>
              <w:br/>
              <w:t>Date: ___________________________</w:t>
            </w:r>
          </w:p>
        </w:tc>
        <w:tc>
          <w:tcPr>
            <w:tcW w:type="dxa" w:w="5400"/>
          </w:tcPr>
          <w:p>
            <w:pPr>
              <w:spacing w:before="20" w:after="20"/>
              <w:jc w:val="left"/>
            </w:pPr>
            <w:r>
              <w:rPr>
                <w:rFonts w:ascii="Arial" w:hAnsi="Arial"/>
                <w:b w:val="0"/>
                <w:i w:val="0"/>
                <w:color w:val="222222"/>
                <w:sz w:val="16"/>
              </w:rPr>
              <w:t>Researcher Signature: ___________________________</w:t>
              <w:br/>
              <w:t>Date: ___________________________</w:t>
            </w:r>
          </w:p>
        </w:tc>
      </w:tr>
    </w:tbl>
    <w:p>
      <w:pPr>
        <w:spacing w:after="6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