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Arial" w:hAnsi="Arial"/>
          <w:b/>
          <w:color w:val="7A1113"/>
          <w:sz w:val="22"/>
        </w:rPr>
        <w:t>UNIVERSITY OF NUEVA CACERES</w:t>
      </w:r>
    </w:p>
    <w:p>
      <w:pPr>
        <w:spacing w:before="0" w:after="20"/>
        <w:jc w:val="center"/>
      </w:pPr>
      <w:r>
        <w:rPr>
          <w:rFonts w:ascii="Arial" w:hAnsi="Arial"/>
          <w:color w:val="222222"/>
          <w:sz w:val="18"/>
        </w:rPr>
        <w:t>School of Computer and Information Sciences</w:t>
      </w:r>
    </w:p>
    <w:p>
      <w:pPr>
        <w:spacing w:before="0" w:after="80"/>
        <w:jc w:val="center"/>
      </w:pPr>
      <w:r>
        <w:rPr>
          <w:rFonts w:ascii="Arial" w:hAnsi="Arial"/>
          <w:color w:val="555555"/>
          <w:sz w:val="16"/>
        </w:rPr>
        <w:t>Bachelor of Science in Information Technology • Naga City, Camarines Sur</w:t>
      </w:r>
    </w:p>
    <w:p>
      <w:pPr>
        <w:pStyle w:val="Heading1"/>
        <w:spacing w:before="40" w:after="40"/>
        <w:jc w:val="center"/>
      </w:pPr>
      <w:r>
        <w:rPr>
          <w:rFonts w:ascii="Arial" w:hAnsi="Arial"/>
          <w:b/>
          <w:color w:val="7A1113"/>
          <w:sz w:val="24"/>
        </w:rPr>
        <w:t>STEP 3: STAKEHOLDER NEEDS ASSESSMENT INTERVIEW GUIDE</w:t>
      </w:r>
    </w:p>
    <w:p>
      <w:pPr>
        <w:spacing w:before="0" w:after="120"/>
        <w:jc w:val="center"/>
      </w:pPr>
      <w:r>
        <w:rPr>
          <w:rFonts w:ascii="Arial" w:hAnsi="Arial"/>
          <w:i/>
          <w:color w:val="555555"/>
          <w:sz w:val="17"/>
        </w:rPr>
        <w:t>Step 3: Semi-Structured Qualitative Protocol for Municipal &amp; Provincial Personnel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CED4DA"/>
              <w:bottom w:val="single" w:sz="6" w:space="0" w:color="CED4DA"/>
              <w:left w:val="single" w:sz="6" w:space="0" w:color="CED4DA"/>
              <w:right w:val="single" w:sz="6" w:space="0" w:color="CED4DA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7A1113"/>
                <w:sz w:val="17"/>
              </w:rPr>
              <w:t>RESEARCH TIMELINE STAGE: STEP 3 (NEEDS ASSESSMENT &amp; PROBLEM DISCOVERY)</w:t>
            </w:r>
          </w:p>
          <w:p>
            <w:pPr>
              <w:spacing w:before="0" w:after="30"/>
            </w:pPr>
            <w:r>
              <w:rPr>
                <w:rFonts w:ascii="Arial" w:hAnsi="Arial"/>
                <w:color w:val="222222"/>
                <w:sz w:val="16"/>
              </w:rPr>
              <w:t>When to Use: Conducted with municipal and provincial officers during requirements analysis to document workflow bottlenecks, disconnected records, and system requirements.</w:t>
            </w:r>
          </w:p>
          <w:p>
            <w:pPr>
              <w:spacing w:before="0" w:after="30"/>
            </w:pPr>
            <w:r>
              <w:rPr>
                <w:rFonts w:ascii="Arial" w:hAnsi="Arial"/>
                <w:color w:val="222222"/>
                <w:sz w:val="16"/>
              </w:rPr>
              <w:t>Target Offices: Municipal Assessor's Office, Municipal Treasurer's Office, Provincial Assessor's Office (Pili).</w:t>
            </w:r>
          </w:p>
          <w:p>
            <w:pPr>
              <w:spacing w:before="0" w:after="30"/>
            </w:pPr>
            <w:r>
              <w:rPr>
                <w:rFonts w:ascii="Arial" w:hAnsi="Arial"/>
                <w:color w:val="222222"/>
                <w:sz w:val="16"/>
              </w:rPr>
              <w:t>Student Researchers: Rizalina A. Ortega | John Kenneth P. Calubad | Christian Louise O. Asido</w:t>
            </w:r>
          </w:p>
          <w:p>
            <w:pPr>
              <w:spacing w:before="0" w:after="30"/>
            </w:pPr>
            <w:r>
              <w:rPr>
                <w:rFonts w:ascii="Arial" w:hAnsi="Arial"/>
                <w:color w:val="222222"/>
                <w:sz w:val="16"/>
              </w:rPr>
              <w:t>Data Privacy Notice (RA 10173): All responses are confidential and used solely for academic research.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left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222222"/>
                <w:sz w:val="16"/>
              </w:rPr>
              <w:t>Date of Interview: ____________________</w:t>
            </w:r>
          </w:p>
        </w:tc>
        <w:tc>
          <w:tcPr>
            <w:tcW w:type="dxa" w:w="540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/>
                <w:i w:val="0"/>
                <w:color w:val="222222"/>
                <w:sz w:val="16"/>
              </w:rPr>
              <w:t>Interviewer: ____________________</w:t>
            </w:r>
          </w:p>
        </w:tc>
      </w:tr>
      <w:tr>
        <w:tc>
          <w:tcPr>
            <w:tcW w:type="dxa" w:w="540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Target Office: [  ] Assessor's Office    [  ] Treasurer's Office    [  ] Provincial Assessor</w:t>
            </w:r>
          </w:p>
        </w:tc>
        <w:tc>
          <w:tcPr>
            <w:tcW w:type="dxa" w:w="540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Recorded: [  ] Yes (Consented)    [  ] Notes Only</w:t>
            </w:r>
          </w:p>
        </w:tc>
      </w:tr>
      <w:tr>
        <w:tc>
          <w:tcPr>
            <w:tcW w:type="dxa" w:w="540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Designation / Position: ____________________</w:t>
            </w:r>
          </w:p>
        </w:tc>
        <w:tc>
          <w:tcPr>
            <w:tcW w:type="dxa" w:w="5400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b w:val="0"/>
                <w:i w:val="0"/>
                <w:color w:val="222222"/>
                <w:sz w:val="16"/>
              </w:rPr>
              <w:t>Years of Service in Office: ______ years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7A1113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PART A: OFFICE SETUP AND PERSONNEL PROFILE (ALL PARTICIPATING OFFICES)</w:t>
            </w:r>
          </w:p>
        </w:tc>
      </w:tr>
    </w:tbl>
    <w:p>
      <w:pPr>
        <w:spacing w:after="40"/>
      </w:pPr>
    </w:p>
    <w:p>
      <w:pPr>
        <w:spacing w:before="30" w:after="50"/>
      </w:pPr>
      <w:r>
        <w:rPr>
          <w:rFonts w:ascii="Arial" w:hAnsi="Arial"/>
          <w:color w:val="222222"/>
          <w:sz w:val="16"/>
        </w:rPr>
        <w:t>1. How many staff members currently work in your office, and what are their primary functional roles?</w:t>
      </w:r>
    </w:p>
    <w:p>
      <w:pPr>
        <w:spacing w:before="30" w:after="50"/>
      </w:pPr>
      <w:r>
        <w:rPr>
          <w:rFonts w:ascii="Arial" w:hAnsi="Arial"/>
          <w:color w:val="222222"/>
          <w:sz w:val="16"/>
        </w:rPr>
        <w:t>2. On average, how many property tax transactions or client requests does your office handle on a typical day versus during peak deadline months?</w:t>
      </w:r>
    </w:p>
    <w:p>
      <w:pPr>
        <w:spacing w:before="30" w:after="50"/>
      </w:pPr>
      <w:r>
        <w:rPr>
          <w:rFonts w:ascii="Arial" w:hAnsi="Arial"/>
          <w:color w:val="222222"/>
          <w:sz w:val="16"/>
        </w:rPr>
        <w:t>3. Which specific months or days of the week experience the highest volume of client visits, and what drives this surge?</w:t>
      </w:r>
    </w:p>
    <w:p>
      <w:pPr>
        <w:spacing w:before="30" w:after="50"/>
      </w:pPr>
      <w:r>
        <w:rPr>
          <w:rFonts w:ascii="Arial" w:hAnsi="Arial"/>
          <w:color w:val="222222"/>
          <w:sz w:val="16"/>
        </w:rPr>
        <w:t>4. What are the most frequent counter requests, certifications, or official documents requested by property owners and other offices?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7A1113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PART B: MUNICIPAL ASSESSOR'S OFFICE WORKFLOWS AND VALUATION PROCEDURES</w:t>
            </w:r>
          </w:p>
        </w:tc>
      </w:tr>
    </w:tbl>
    <w:p>
      <w:pPr>
        <w:spacing w:after="40"/>
      </w:pPr>
    </w:p>
    <w:p>
      <w:pPr>
        <w:spacing w:before="30" w:after="50"/>
      </w:pPr>
      <w:r>
        <w:rPr>
          <w:rFonts w:ascii="Arial" w:hAnsi="Arial"/>
          <w:color w:val="222222"/>
          <w:sz w:val="16"/>
        </w:rPr>
        <w:t>5. Could you walk us through the step-by-step process of handling a Transfer of Assessment, from initial document submission at the counter to final release of the new Tax Declaration?</w:t>
      </w:r>
    </w:p>
    <w:p>
      <w:pPr>
        <w:spacing w:before="30" w:after="50"/>
      </w:pPr>
      <w:r>
        <w:rPr>
          <w:rFonts w:ascii="Arial" w:hAnsi="Arial"/>
          <w:color w:val="222222"/>
          <w:sz w:val="16"/>
        </w:rPr>
        <w:t>6. What specific documentary prerequisites must property owners submit for each major transaction?</w:t>
        <w:br/>
        <w:t xml:space="preserve">   a. New Tax Declaration (newly declared land, building/house, or machinery)</w:t>
        <w:br/>
        <w:t xml:space="preserve">   b. Transfer of Ownership (Deed of Sale, BIR CAR, transfer tax receipt, previous clearances)</w:t>
        <w:br/>
        <w:t xml:space="preserve">   c. Reassessment / Correction of Value (physical appraisal, reclassification)</w:t>
        <w:br/>
        <w:t xml:space="preserve">   d. Issuance of Clearances (Certificate of Land Holding, Certificate of No Property, Certificate of No Improvement)</w:t>
      </w:r>
    </w:p>
    <w:p>
      <w:pPr>
        <w:spacing w:before="30" w:after="50"/>
      </w:pPr>
      <w:r>
        <w:rPr>
          <w:rFonts w:ascii="Arial" w:hAnsi="Arial"/>
          <w:color w:val="222222"/>
          <w:sz w:val="16"/>
        </w:rPr>
        <w:t>7. Once documents are submitted, how do personnel verify authenticity, and who conducts intermediate review and final approval prior to document release?</w:t>
      </w:r>
    </w:p>
    <w:p>
      <w:pPr>
        <w:spacing w:before="30" w:after="50"/>
      </w:pPr>
      <w:r>
        <w:rPr>
          <w:rFonts w:ascii="Arial" w:hAnsi="Arial"/>
          <w:color w:val="222222"/>
          <w:sz w:val="16"/>
        </w:rPr>
        <w:t>8. How does your office compute assessed values and tax liabilities from start to finish? Is this done manually using physical appraisal tables, automated spreadsheets, or electronic software?</w:t>
      </w:r>
    </w:p>
    <w:p>
      <w:pPr>
        <w:spacing w:before="30" w:after="50"/>
      </w:pPr>
      <w:r>
        <w:rPr>
          <w:rFonts w:ascii="Arial" w:hAnsi="Arial"/>
          <w:color w:val="222222"/>
          <w:sz w:val="16"/>
        </w:rPr>
        <w:t>9. Where and in what physical/electronic format are property records and assessment rolls currently stored? How do personnel retrieve an existing parcel record when an owner inquires?</w:t>
      </w:r>
    </w:p>
    <w:p>
      <w:pPr>
        <w:spacing w:before="30" w:after="50"/>
      </w:pPr>
      <w:r>
        <w:rPr>
          <w:rFonts w:ascii="Arial" w:hAnsi="Arial"/>
          <w:color w:val="222222"/>
          <w:sz w:val="16"/>
        </w:rPr>
        <w:t>10. If your office currently utilizes a software system, what specific functions does it perform effectively, where does it fall short, and which procedural steps still strictly require paper handoffs?</w:t>
      </w:r>
    </w:p>
    <w:p>
      <w:pPr>
        <w:spacing w:before="30" w:after="50"/>
      </w:pPr>
      <w:r>
        <w:rPr>
          <w:rFonts w:ascii="Arial" w:hAnsi="Arial"/>
          <w:color w:val="222222"/>
          <w:sz w:val="16"/>
        </w:rPr>
        <w:t>11. How frequently do clients experience repeated visits (pabalik-balik) due to incomplete paperwork or clerical errors, and which transaction types cause this most frequently?</w:t>
      </w:r>
    </w:p>
    <w:p>
      <w:pPr>
        <w:spacing w:before="30" w:after="50"/>
      </w:pPr>
      <w:r>
        <w:rPr>
          <w:rFonts w:ascii="Arial" w:hAnsi="Arial"/>
          <w:color w:val="222222"/>
          <w:sz w:val="16"/>
        </w:rPr>
        <w:t>12. How does your office organize, protect, and retrieve decades-old legacy property archives (dating back to 1949 or earlier) against wear, deterioration, or loss?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7A1113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PART C: MUNICIPAL TREASURER'S OFFICE WORKFLOWS AND RECORD RECONCILIATION</w:t>
            </w:r>
          </w:p>
        </w:tc>
      </w:tr>
    </w:tbl>
    <w:p>
      <w:pPr>
        <w:spacing w:after="40"/>
      </w:pPr>
    </w:p>
    <w:p>
      <w:pPr>
        <w:spacing w:before="30" w:after="50"/>
      </w:pPr>
      <w:r>
        <w:rPr>
          <w:rFonts w:ascii="Arial" w:hAnsi="Arial"/>
          <w:color w:val="222222"/>
          <w:sz w:val="16"/>
        </w:rPr>
        <w:t>13. How does your office receive updated assessment rolls and tax declarations from the Assessor's Office? How frequently does this data exchange occur, and in what format?</w:t>
      </w:r>
    </w:p>
    <w:p>
      <w:pPr>
        <w:spacing w:before="30" w:after="50"/>
      </w:pPr>
      <w:r>
        <w:rPr>
          <w:rFonts w:ascii="Arial" w:hAnsi="Arial"/>
          <w:color w:val="222222"/>
          <w:sz w:val="16"/>
        </w:rPr>
        <w:t>14. What is your step-by-step process for verifying whether a property tax has been paid before issuing official receipts or clearances? How do you link payment receipts to property records?</w:t>
      </w:r>
    </w:p>
    <w:p>
      <w:pPr>
        <w:spacing w:before="30" w:after="50"/>
      </w:pPr>
      <w:r>
        <w:rPr>
          <w:rFonts w:ascii="Arial" w:hAnsi="Arial"/>
          <w:color w:val="222222"/>
          <w:sz w:val="16"/>
        </w:rPr>
        <w:t>15. On average, how many staff hours per week or month are spent manually cross-checking real property payment records against the municipal assessment roll?</w:t>
      </w:r>
    </w:p>
    <w:p>
      <w:pPr>
        <w:spacing w:before="30" w:after="50"/>
      </w:pPr>
      <w:r>
        <w:rPr>
          <w:rFonts w:ascii="Arial" w:hAnsi="Arial"/>
          <w:color w:val="222222"/>
          <w:sz w:val="16"/>
        </w:rPr>
        <w:t>16. How does your office identify, track, and follow up delinquent or uncollected real property accounts?</w:t>
      </w:r>
    </w:p>
    <w:p>
      <w:pPr>
        <w:spacing w:before="30" w:after="50"/>
      </w:pPr>
      <w:r>
        <w:rPr>
          <w:rFonts w:ascii="Arial" w:hAnsi="Arial"/>
          <w:color w:val="222222"/>
          <w:sz w:val="16"/>
        </w:rPr>
        <w:t>17. How are statutory prompt-payment discounts, interest penalties, and tax clearances computed and verified across multi-year assessment histories?</w:t>
      </w:r>
    </w:p>
    <w:p>
      <w:pPr>
        <w:spacing w:before="30" w:after="50"/>
      </w:pPr>
      <w:r>
        <w:rPr>
          <w:rFonts w:ascii="Arial" w:hAnsi="Arial"/>
          <w:color w:val="222222"/>
          <w:sz w:val="16"/>
        </w:rPr>
        <w:t>18. Does your office utilize an electronic collection database or spreadsheet? Is it digitally synchronized with the Assessor's property records, or does it operate independently?</w:t>
      </w:r>
    </w:p>
    <w:p>
      <w:pPr>
        <w:spacing w:before="30" w:after="50"/>
      </w:pPr>
      <w:r>
        <w:rPr>
          <w:rFonts w:ascii="Arial" w:hAnsi="Arial"/>
          <w:color w:val="222222"/>
          <w:sz w:val="16"/>
        </w:rPr>
        <w:t>19. What discrepancies or data mismatches happen most frequently between assessment records and payment rolls, and what protocol is followed to reconcile them?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7A1113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PART D: PROVINCIAL ASSESSOR'S OFFICE COORDINATION AND APPROVAL (PILI ENDORSEMENT)</w:t>
            </w:r>
          </w:p>
        </w:tc>
      </w:tr>
    </w:tbl>
    <w:p>
      <w:pPr>
        <w:spacing w:after="40"/>
      </w:pPr>
    </w:p>
    <w:p>
      <w:pPr>
        <w:spacing w:before="30" w:after="50"/>
      </w:pPr>
      <w:r>
        <w:rPr>
          <w:rFonts w:ascii="Arial" w:hAnsi="Arial"/>
          <w:color w:val="222222"/>
          <w:sz w:val="16"/>
        </w:rPr>
        <w:t>20. Which specific assessment transactions strictly require review, endorsement, and final statutory approval from the Provincial Assessor's Office?</w:t>
      </w:r>
    </w:p>
    <w:p>
      <w:pPr>
        <w:spacing w:before="30" w:after="50"/>
      </w:pPr>
      <w:r>
        <w:rPr>
          <w:rFonts w:ascii="Arial" w:hAnsi="Arial"/>
          <w:color w:val="222222"/>
          <w:sz w:val="16"/>
        </w:rPr>
        <w:t>21. How are assessment packets physically transported from the municipality to the Provincial Capitol in Pili (physical courier, personnel delivery, mail), and what transit schedule is maintained?</w:t>
      </w:r>
    </w:p>
    <w:p>
      <w:pPr>
        <w:spacing w:before="30" w:after="50"/>
      </w:pPr>
      <w:r>
        <w:rPr>
          <w:rFonts w:ascii="Arial" w:hAnsi="Arial"/>
          <w:color w:val="222222"/>
          <w:sz w:val="16"/>
        </w:rPr>
        <w:t>22. On average, how long does the provincial review and approval cycle take from the date of submission to physical return to the municipality, and what factors cause delays?</w:t>
      </w:r>
    </w:p>
    <w:p>
      <w:pPr>
        <w:spacing w:before="30" w:after="50"/>
      </w:pPr>
      <w:r>
        <w:rPr>
          <w:rFonts w:ascii="Arial" w:hAnsi="Arial"/>
          <w:color w:val="222222"/>
          <w:sz w:val="16"/>
        </w:rPr>
        <w:t>23. What are the most common deficiencies or clerical errors that result in submitted packets being rejected or returned to the municipality for corrections?</w:t>
      </w:r>
    </w:p>
    <w:p>
      <w:pPr>
        <w:spacing w:before="30" w:after="50"/>
      </w:pPr>
      <w:r>
        <w:rPr>
          <w:rFonts w:ascii="Arial" w:hAnsi="Arial"/>
          <w:color w:val="222222"/>
          <w:sz w:val="16"/>
        </w:rPr>
        <w:t>24. Is digital review or electronic endorsement of assessment documents permissible or viable under existing administrative standards? What technical and security safeguards would be required?</w:t>
      </w:r>
    </w:p>
    <w:p>
      <w:pPr>
        <w:spacing w:before="30" w:after="50"/>
      </w:pPr>
      <w:r>
        <w:rPr>
          <w:rFonts w:ascii="Arial" w:hAnsi="Arial"/>
          <w:color w:val="222222"/>
          <w:sz w:val="16"/>
        </w:rPr>
        <w:t>25. How does your office currently communicate document processing status, endorsements, or required revisions back to municipal personnel?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7A1113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PART E: INTER-OFFICE COORDINATION AND INFORMATION FLOW (ASSESSOR, TREASURER, PROVINCIAL)</w:t>
            </w:r>
          </w:p>
        </w:tc>
      </w:tr>
    </w:tbl>
    <w:p>
      <w:pPr>
        <w:spacing w:after="40"/>
      </w:pPr>
    </w:p>
    <w:p>
      <w:pPr>
        <w:spacing w:before="30" w:after="50"/>
      </w:pPr>
      <w:r>
        <w:rPr>
          <w:rFonts w:ascii="Arial" w:hAnsi="Arial"/>
          <w:color w:val="222222"/>
          <w:sz w:val="16"/>
        </w:rPr>
        <w:t>26. Which assessment and collection transactions demand close inter-office coordination, and through what communication channels is this handled (phone calls, personal office visits, paper memos, chat)?</w:t>
      </w:r>
    </w:p>
    <w:p>
      <w:pPr>
        <w:spacing w:before="30" w:after="50"/>
      </w:pPr>
      <w:r>
        <w:rPr>
          <w:rFonts w:ascii="Arial" w:hAnsi="Arial"/>
          <w:color w:val="222222"/>
          <w:sz w:val="16"/>
        </w:rPr>
        <w:t>27. Do frontline staff currently possess visibility into where a document is queued across departments? How do personnel respond when a taxpayer requests a real-time status update?</w:t>
      </w:r>
    </w:p>
    <w:p>
      <w:pPr>
        <w:spacing w:before="30" w:after="50"/>
      </w:pPr>
      <w:r>
        <w:rPr>
          <w:rFonts w:ascii="Arial" w:hAnsi="Arial"/>
          <w:color w:val="222222"/>
          <w:sz w:val="16"/>
        </w:rPr>
        <w:t>28. What procedural phase represents the single largest bottleneck or source of processing latency in the end-to-end workflow?</w:t>
      </w:r>
    </w:p>
    <w:p>
      <w:pPr>
        <w:spacing w:before="30" w:after="50"/>
      </w:pPr>
      <w:r>
        <w:rPr>
          <w:rFonts w:ascii="Arial" w:hAnsi="Arial"/>
          <w:color w:val="222222"/>
          <w:sz w:val="16"/>
        </w:rPr>
        <w:t>29. What core capabilities should an integrated inter-office web portal provide to eliminate manual friction between the Assessor, Treasurer, and Provincial offices?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7A1113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PART F: TIME-MOTION ESTIMATES (SELF-REPORTED PERCEPTIONS)</w:t>
            </w:r>
          </w:p>
        </w:tc>
      </w:tr>
    </w:tbl>
    <w:p>
      <w:pPr>
        <w:spacing w:after="40"/>
      </w:pPr>
    </w:p>
    <w:p>
      <w:pPr>
        <w:spacing w:before="30" w:after="50"/>
      </w:pPr>
      <w:r>
        <w:rPr>
          <w:rFonts w:ascii="Arial" w:hAnsi="Arial"/>
          <w:color w:val="222222"/>
          <w:sz w:val="16"/>
        </w:rPr>
        <w:t>30. For one typical Transfer of Assessment, estimate the average duration spent on each phase:</w:t>
        <w:br/>
        <w:t xml:space="preserve">   a. Counter requirement verification: ______ minutes</w:t>
        <w:br/>
        <w:t xml:space="preserve">   b. Archival record search and retrieval: ______ minutes</w:t>
        <w:br/>
        <w:t xml:space="preserve">   c. Valuation computation and encoding: ______ minutes</w:t>
        <w:br/>
        <w:t xml:space="preserve">   d. Supervisory review and municipal approval: ______ minutes</w:t>
        <w:br/>
        <w:t xml:space="preserve">   e. Inter-office transit and provincial approval queue: ______ days / hours</w:t>
        <w:br/>
        <w:t xml:space="preserve">   f. Total turnaround time from filing to release: ______ days</w:t>
      </w:r>
    </w:p>
    <w:p>
      <w:pPr>
        <w:spacing w:before="30" w:after="50"/>
      </w:pPr>
      <w:r>
        <w:rPr>
          <w:rFonts w:ascii="Arial" w:hAnsi="Arial"/>
          <w:color w:val="222222"/>
          <w:sz w:val="16"/>
        </w:rPr>
        <w:t>31. For cross-checking tax payment rolls against property assessment ledgers, estimate the time spent per property record: ______ minutes.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7A1113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PART G: STAKEHOLDER FEEDBACK ON THE PROPOSED TECHNICAL INTERVENTION</w:t>
            </w:r>
          </w:p>
        </w:tc>
      </w:tr>
    </w:tbl>
    <w:p>
      <w:pPr>
        <w:spacing w:after="40"/>
      </w:pPr>
    </w:p>
    <w:p>
      <w:pPr>
        <w:spacing w:before="30" w:after="50"/>
      </w:pPr>
      <w:r>
        <w:rPr>
          <w:rFonts w:ascii="Arial" w:hAnsi="Arial"/>
          <w:color w:val="222222"/>
          <w:sz w:val="16"/>
        </w:rPr>
        <w:t>32. The proposed system provides a web-based platform that automates document routing, monitors transaction status in real-time, and synchronizes assessment and tax payment data. Which of your routine tasks would this simplify?</w:t>
      </w:r>
    </w:p>
    <w:p>
      <w:pPr>
        <w:spacing w:before="30" w:after="50"/>
      </w:pPr>
      <w:r>
        <w:rPr>
          <w:rFonts w:ascii="Arial" w:hAnsi="Arial"/>
          <w:color w:val="222222"/>
          <w:sz w:val="16"/>
        </w:rPr>
        <w:t>33. What operational or technical concerns do you foresee regarding implementation (internet stability, staff digital literacy, data privacy, workflow adaptation)?</w:t>
      </w:r>
    </w:p>
    <w:p>
      <w:pPr>
        <w:spacing w:before="30" w:after="50"/>
      </w:pPr>
      <w:r>
        <w:rPr>
          <w:rFonts w:ascii="Arial" w:hAnsi="Arial"/>
          <w:color w:val="222222"/>
          <w:sz w:val="16"/>
        </w:rPr>
        <w:t>34. What specific features or safeguards are indispensable for your office to adopt the proposed system?</w:t>
      </w:r>
    </w:p>
    <w:p>
      <w:pPr>
        <w:spacing w:before="30" w:after="50"/>
      </w:pPr>
      <w:r>
        <w:rPr>
          <w:rFonts w:ascii="Arial" w:hAnsi="Arial"/>
          <w:color w:val="222222"/>
          <w:sz w:val="16"/>
        </w:rPr>
        <w:t>35. Would your office be open to participating in a simulated trial or parallel run alongside current office procedures using masked dummy data?</w:t>
      </w:r>
    </w:p>
    <w:p>
      <w:pPr>
        <w:spacing w:before="30" w:after="50"/>
      </w:pPr>
      <w:r>
        <w:rPr>
          <w:rFonts w:ascii="Arial" w:hAnsi="Arial"/>
          <w:color w:val="222222"/>
          <w:sz w:val="16"/>
        </w:rPr>
        <w:t>36. Are there specific local ordinances, tax codes, or institutional procedures that the software engineering team must adhere to in designing the business logic?</w:t>
      </w:r>
    </w:p>
    <w:p>
      <w:pPr>
        <w:spacing w:before="30" w:after="50"/>
      </w:pPr>
      <w:r>
        <w:rPr>
          <w:rFonts w:ascii="Arial" w:hAnsi="Arial"/>
          <w:color w:val="222222"/>
          <w:sz w:val="16"/>
        </w:rPr>
        <w:t>37. Do you have any additional recommendations or insights to guide the development of the system?</w:t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CED4DA"/>
              <w:bottom w:val="single" w:sz="6" w:space="0" w:color="CED4DA"/>
              <w:left w:val="single" w:sz="6" w:space="0" w:color="CED4DA"/>
              <w:right w:val="single" w:sz="6" w:space="0" w:color="CED4DA"/>
            </w:tcBorders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7A1113"/>
                <w:sz w:val="17"/>
              </w:rPr>
              <w:t>ACKNOWLEDGMENT &amp; PARTICIPANT SIGN-OFF</w:t>
            </w:r>
          </w:p>
          <w:p>
            <w:pPr>
              <w:spacing w:before="0" w:after="30"/>
            </w:pPr>
            <w:r>
              <w:rPr>
                <w:rFonts w:ascii="Arial" w:hAnsi="Arial"/>
                <w:color w:val="222222"/>
                <w:sz w:val="16"/>
              </w:rPr>
              <w:t>I hereby confirm that I have participated in this stakeholder interview and provided feedback for academic research purposes under RA 10173.</w:t>
            </w:r>
          </w:p>
          <w:p>
            <w:pPr>
              <w:spacing w:before="0" w:after="30"/>
            </w:pPr>
            <w:r>
              <w:rPr>
                <w:rFonts w:ascii="Arial" w:hAnsi="Arial"/>
                <w:color w:val="222222"/>
                <w:sz w:val="16"/>
              </w:rPr>
              <w:t>Participant Signature: ____________________________________        Date: ________________________</w:t>
            </w:r>
          </w:p>
          <w:p>
            <w:pPr>
              <w:spacing w:before="0" w:after="30"/>
            </w:pPr>
            <w:r>
              <w:rPr>
                <w:rFonts w:ascii="Arial" w:hAnsi="Arial"/>
                <w:color w:val="222222"/>
                <w:sz w:val="16"/>
              </w:rPr>
              <w:t>Printed Name (Optional): __________________________________        Designation: ____________________</w:t>
            </w:r>
          </w:p>
        </w:tc>
      </w:tr>
    </w:tbl>
    <w:p>
      <w:pPr>
        <w:spacing w:after="60"/>
      </w:pP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