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7A1113"/>
          <w:sz w:val="22"/>
        </w:rPr>
        <w:t>UNIVERSITY OF NUEVA CACERES</w:t>
      </w:r>
    </w:p>
    <w:p>
      <w:pPr>
        <w:spacing w:before="0" w:after="20"/>
        <w:jc w:val="center"/>
      </w:pPr>
      <w:r>
        <w:rPr>
          <w:rFonts w:ascii="Arial" w:hAnsi="Arial"/>
          <w:color w:val="222222"/>
          <w:sz w:val="18"/>
        </w:rPr>
        <w:t>School of Computer and Information Sciences</w:t>
      </w:r>
    </w:p>
    <w:p>
      <w:pPr>
        <w:spacing w:before="0" w:after="80"/>
        <w:jc w:val="center"/>
      </w:pPr>
      <w:r>
        <w:rPr>
          <w:rFonts w:ascii="Arial" w:hAnsi="Arial"/>
          <w:color w:val="555555"/>
          <w:sz w:val="16"/>
        </w:rPr>
        <w:t>Bachelor of Science in Information Technology • Naga City, Camarines Sur</w:t>
      </w:r>
    </w:p>
    <w:p>
      <w:pPr>
        <w:pStyle w:val="Heading1"/>
        <w:spacing w:before="40" w:after="40"/>
        <w:jc w:val="center"/>
      </w:pPr>
      <w:r>
        <w:rPr>
          <w:rFonts w:ascii="Arial" w:hAnsi="Arial"/>
          <w:b/>
          <w:color w:val="7A1113"/>
          <w:sz w:val="24"/>
        </w:rPr>
        <w:t>STEP 5: SOFTWARE QUALITY EVALUATION SURVEY (ISO/IEC 25010)</w:t>
      </w:r>
    </w:p>
    <w:p>
      <w:pPr>
        <w:spacing w:before="0" w:after="120"/>
        <w:jc w:val="center"/>
      </w:pPr>
      <w:r>
        <w:rPr>
          <w:rFonts w:ascii="Arial" w:hAnsi="Arial"/>
          <w:i/>
          <w:color w:val="555555"/>
          <w:sz w:val="17"/>
        </w:rPr>
        <w:t>Step 5: Post-Implementation System Quality Rating Instrument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ED4DA"/>
              <w:bottom w:val="single" w:sz="6" w:space="0" w:color="CED4DA"/>
              <w:left w:val="single" w:sz="6" w:space="0" w:color="CED4DA"/>
              <w:right w:val="single" w:sz="6" w:space="0" w:color="CED4DA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7A1113"/>
                <w:sz w:val="17"/>
              </w:rPr>
              <w:t>RESEARCH TIMELINE STAGE: STEP 5 (POST-DEVELOPMENT SYSTEM EVALUATION)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When to Use: Administered after municipal staff and IT experts test the developed web portal and document routing engine.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Target Respondent Groups: Municipal Assessor staff, Municipal Treasurer staff, Provincial Assessor officers, and IT Experts.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Standard 5-Point Likert Scale: [ 5 ] Excellent  |  [ 4 ] Very Good  |  [ 3 ] Good  |  [ 2 ] Fair  |  [ 1 ] Poor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Directions: Following hands-on interaction with the system, please mark the rating (1 to 5) corresponding to each evaluation statement.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222222"/>
                <w:sz w:val="16"/>
              </w:rPr>
              <w:t>Respondent Name (Optional): ___________________________</w:t>
            </w:r>
          </w:p>
        </w:tc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222222"/>
                <w:sz w:val="16"/>
              </w:rPr>
              <w:t>Date of Evaluation: ___________________________</w:t>
            </w:r>
          </w:p>
        </w:tc>
      </w:tr>
      <w:tr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Institutional Department / Group:</w:t>
              <w:br/>
              <w:t>[  ] Municipal Assessor's Office</w:t>
              <w:br/>
              <w:t>[  ] Municipal Treasurer's Office</w:t>
              <w:br/>
              <w:t>[  ] Provincial Assessor's Office (Pili)</w:t>
              <w:br/>
              <w:t>[  ] IT Expert / Systems Evaluator</w:t>
            </w:r>
          </w:p>
        </w:tc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Designation / Role: ___________________________</w:t>
              <w:br/>
              <w:br/>
              <w:t>Years of Service: [  ] &lt; 1 yr  [  ] 1-5 yrs  [  ] 6-10 yrs  [  ] &gt; 10 yrs</w:t>
              <w:br/>
              <w:br/>
              <w:t>Computer Literacy: [  ] Basic  [  ] Intermediate  [  ] Advanced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7A1113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A. FUNCTIONAL SUITABILITY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Evaluation Criterion Statement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5 (Exc)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4 (V.Gd)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3 (Good)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2 (Fair)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1 (Poor)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1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The system allows personnel to generate, update, and manage property assessment records according to statutory valuation rules.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The automated document routing engine dispatches assessment packets accurately across Assessor, Treasurer, and Provincial queues.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3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The payment synchronization module matches municipal treasury payment entries with corresponding property assessment records reliably.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4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The platform detects and flags discrepancies or duplicate entries between assessment rolls and collection ledgers.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5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Automated computations for assessed values, basic tax liabilities, and Special Education Fund (SEF) dues are precise and error-free.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6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The functional scope covers the core requirements necessary to eliminate manual paper transfers and physical reconciliation.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7A1113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B. PERFORMANCE EFFICIENCY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Evaluation Criterion Statement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5 (Exc)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4 (V.Gd)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3 (Good)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2 (Fair)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1 (Poor)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7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System interfaces, data tables, and interactive dashboards load promptly without noticeable latency.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8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Document routing status transitions update in real time across departmental monitors upon completion of procedural actions.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9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Property index search queries (PIN, owner name, ARP number) return matching parcel records within three seconds.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10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End-to-end transaction duration (e.g., Transfer of Assessment) is noticeably shorter compared to legacy manual workflows.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11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System responsiveness remains consistent and stable when multiple municipal staff access the platform concurrently.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7A1113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C. USABILITY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Evaluation Criterion Statement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5 (Exc)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4 (V.Gd)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3 (Good)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2 (Fair)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1 (Poor)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12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User interface layouts and visual hierarchies are clear, structured, and straightforward to navigate.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13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Frontline staff can comprehend and master primary transactional workflows with minimal technical training.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14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Routine operational tasks (record intake, validation, clearance issuance) can be accomplished within a few user actions.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15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The real-time document tracking dashboard transparently displays current document location, queue status, and assigned personnel.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16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System feedback, input validations, and error notifications provide actionable and understandable instructions to the user.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17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The software substantially simplifies inter-office coordination and eliminates tedious manual verification handoffs.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7A1113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D. SECURITY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Evaluation Criterion Statement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5 (Exc)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4 (V.Gd)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3 (Good)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2 (Fair)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1 (Poor)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18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The system enforces secure user authentication protocols and prevents unauthorized system entry.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19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Role-Based Access Control (RBAC) restricts data views and transactional privileges strictly to authorized municipal roles.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20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Automated session timeouts terminate inactive user sessions to prevent unauthorized terminal access.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21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An unalterable audit trail accurately logs all document modifications, status updates, and supervisory approvals with timestamps.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22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Citizen property records and assessment rolls are effectively protected in accordance with the Data Privacy Act (RA 10173).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7A1113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E. RELIABILITY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Evaluation Criterion Statement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5 (Exc)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4 (V.Gd)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3 (Good)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2 (Fair)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1 (Poor)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23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The web application functions stably without sudden runtime crashes, deadlocks, or unhandled system exceptions.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24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Recorded property assessments, payment logs, and file attachments remain intact and uncorrupted following logout and re-authentication.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25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Atomic database transactions guarantee that interrupted or failed actions do not result in corrupted, partial, or orphaned records.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26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The system maintains continuous availability during standard municipal operating hours.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27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The platform recovers gracefully from intermittent network disconnections without causing transactional data loss.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7A1113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F. COMPATIBILITY (PLATFORM INTEROPERABILITY)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Evaluation Criterion Statement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5 (Exc)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4 (V.Gd)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3 (Good)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2 (Fair)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1 (Poor)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28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The web application functions identically and consistently across major modern web browsers (Chrome, Edge, Firefox).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29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The system operates smoothly on standard municipal office desktop computers without requiring proprietary hardware upgrades.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ED4DA"/>
              <w:bottom w:val="single" w:sz="6" w:space="0" w:color="CED4DA"/>
              <w:left w:val="single" w:sz="6" w:space="0" w:color="CED4DA"/>
              <w:right w:val="single" w:sz="6" w:space="0" w:color="CED4DA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7A1113"/>
                <w:sz w:val="17"/>
              </w:rPr>
              <w:t>QUALITATIVE FEEDBACK &amp; USER ACCEPTANCE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1. Which feature or capability provided the greatest operational benefit to your workflow?</w:t>
              <w:br/>
              <w:t>____________________________________________________________________________________________________________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2. What operational difficulties or technical bugs did you encounter during testing?</w:t>
              <w:br/>
              <w:t>____________________________________________________________________________________________________________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3. What modifications or additional features would you recommend for future versions?</w:t>
              <w:br/>
              <w:t>____________________________________________________________________________________________________________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4. Would you endorse adopting the proposed system in your office?   [  ] Yes    [  ] No    [  ] Conditional</w:t>
              <w:br/>
              <w:t>Reason: ___________________________________________________________________________________________________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ED4DA"/>
              <w:bottom w:val="single" w:sz="6" w:space="0" w:color="CED4DA"/>
              <w:left w:val="single" w:sz="6" w:space="0" w:color="CED4DA"/>
              <w:right w:val="single" w:sz="6" w:space="0" w:color="CED4DA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7A1113"/>
                <w:sz w:val="17"/>
              </w:rPr>
              <w:t>EVALUATOR VERIFICATION &amp; SUBMISSION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I hereby certify that I have thoroughly evaluated the software features and that the ratings provided above reflect my genuine operational and technical evaluation of the platform.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Evaluator Signature: ____________________________________        Submission Date: ________________________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Printed Name: __________________________________________        Official Designation: ____________________</w:t>
            </w:r>
          </w:p>
        </w:tc>
      </w:tr>
    </w:tbl>
    <w:p>
      <w:pPr>
        <w:spacing w:after="60"/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