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pPr>
      <w:r>
        <w:rPr>
          <w:rFonts w:ascii="Cambria" w:cs="Cambria" w:eastAsia="Cambria" w:hAnsi="Cambria"/>
          <w:b/>
          <w:bCs/>
          <w:color w:val="0091A8"/>
          <w:spacing w:val="120"/>
          <w:sz w:val="30"/>
          <w:szCs w:val="30"/>
        </w:rPr>
        <w:t xml:space="preserve">OKIRU</w:t>
      </w:r>
    </w:p>
    <w:p>
      <w:pPr>
        <w:pBdr>
          <w:bottom w:val="single" w:color="0091A8" w:sz="12" w:space="10"/>
        </w:pBdr>
        <w:spacing w:after="500"/>
      </w:pPr>
    </w:p>
    <w:p>
      <w:pPr>
        <w:spacing w:after="120"/>
      </w:pPr>
      <w:r>
        <w:rPr>
          <w:rFonts w:ascii="Calibri" w:cs="Calibri" w:eastAsia="Calibri" w:hAnsi="Calibri"/>
          <w:b/>
          <w:bCs/>
          <w:color w:val="5F6B6E"/>
          <w:spacing w:val="30"/>
          <w:sz w:val="24"/>
          <w:szCs w:val="24"/>
        </w:rPr>
        <w:t xml:space="preserve">ESG Intelligence Toolkit</w:t>
      </w:r>
    </w:p>
    <w:p>
      <w:pPr>
        <w:spacing w:after="160"/>
      </w:pPr>
      <w:r>
        <w:rPr>
          <w:rFonts w:ascii="Cambria" w:cs="Cambria" w:eastAsia="Cambria" w:hAnsi="Cambria"/>
          <w:b/>
          <w:bCs/>
          <w:color w:val="00647A"/>
          <w:sz w:val="56"/>
          <w:szCs w:val="56"/>
        </w:rPr>
        <w:t xml:space="preserve">Report Template Specification</w:t>
      </w:r>
    </w:p>
    <w:p>
      <w:pPr>
        <w:spacing w:after="700"/>
      </w:pPr>
      <w:r>
        <w:rPr>
          <w:rFonts w:ascii="Calibri" w:cs="Calibri" w:eastAsia="Calibri" w:hAnsi="Calibri"/>
          <w:color w:val="5F6B6E"/>
          <w:sz w:val="24"/>
          <w:szCs w:val="24"/>
        </w:rPr>
        <w:t xml:space="preserve">Structure, data model and generation logic for automated ESG disclosure and strategy packs</w:t>
      </w:r>
    </w:p>
    <w:tbl>
      <w:tblPr>
        <w:tblW w:type="dxa" w:w="9360"/>
        <w:tblBorders>
          <w:top w:val="none"/>
          <w:left w:val="none"/>
          <w:bottom w:val="none"/>
          <w:right w:val="none"/>
          <w:insideH w:val="single" w:color="D5DEE0" w:sz="2"/>
          <w:insideV w:val="none"/>
        </w:tblBorders>
      </w:tblPr>
      <w:tblGrid>
        <w:gridCol w:w="2621"/>
        <w:gridCol w:w="6739"/>
      </w:tblGrid>
      <w:tr>
        <w:trPr>
          <w:cantSplit/>
        </w:trPr>
        <w:tc>
          <w:tcPr>
            <w:tcW w:type="dxa" w:w="2621"/>
            <w:tcMar>
              <w:top w:type="dxa" w:w="110"/>
              <w:left w:type="dxa" w:w="0"/>
              <w:bottom w:type="dxa" w:w="110"/>
              <w:right w:type="dxa" w:w="130"/>
            </w:tcMar>
          </w:tcPr>
          <w:p>
            <w:r>
              <w:rPr>
                <w:rFonts w:ascii="Calibri" w:cs="Calibri" w:eastAsia="Calibri" w:hAnsi="Calibri"/>
                <w:b/>
                <w:bCs/>
                <w:color w:val="5F6B6E"/>
                <w:sz w:val="20"/>
                <w:szCs w:val="20"/>
              </w:rPr>
              <w:t xml:space="preserve">Prepared for</w:t>
            </w:r>
          </w:p>
        </w:tc>
        <w:tc>
          <w:tcPr>
            <w:tcW w:type="dxa" w:w="6739"/>
            <w:tcMar>
              <w:top w:type="dxa" w:w="110"/>
              <w:left w:type="dxa" w:w="0"/>
              <w:bottom w:type="dxa" w:w="110"/>
              <w:right w:type="dxa" w:w="130"/>
            </w:tcMar>
          </w:tcPr>
          <w:p>
            <w:r>
              <w:rPr>
                <w:rFonts w:ascii="Calibri" w:cs="Calibri" w:eastAsia="Calibri" w:hAnsi="Calibri"/>
                <w:b w:val="false"/>
                <w:bCs w:val="false"/>
                <w:color w:val="101820"/>
                <w:sz w:val="20"/>
                <w:szCs w:val="20"/>
              </w:rPr>
              <w:t xml:space="preserve">Okiru — internal</w:t>
            </w:r>
          </w:p>
        </w:tc>
      </w:tr>
      <w:tr>
        <w:trPr>
          <w:cantSplit/>
        </w:trPr>
        <w:tc>
          <w:tcPr>
            <w:tcW w:type="dxa" w:w="2621"/>
            <w:tcMar>
              <w:top w:type="dxa" w:w="110"/>
              <w:left w:type="dxa" w:w="0"/>
              <w:bottom w:type="dxa" w:w="110"/>
              <w:right w:type="dxa" w:w="130"/>
            </w:tcMar>
          </w:tcPr>
          <w:p>
            <w:r>
              <w:rPr>
                <w:rFonts w:ascii="Calibri" w:cs="Calibri" w:eastAsia="Calibri" w:hAnsi="Calibri"/>
                <w:b/>
                <w:bCs/>
                <w:color w:val="5F6B6E"/>
                <w:sz w:val="20"/>
                <w:szCs w:val="20"/>
              </w:rPr>
              <w:t xml:space="preserve">Prepared by</w:t>
            </w:r>
          </w:p>
        </w:tc>
        <w:tc>
          <w:tcPr>
            <w:tcW w:type="dxa" w:w="6739"/>
            <w:tcMar>
              <w:top w:type="dxa" w:w="110"/>
              <w:left w:type="dxa" w:w="0"/>
              <w:bottom w:type="dxa" w:w="110"/>
              <w:right w:type="dxa" w:w="130"/>
            </w:tcMar>
          </w:tcPr>
          <w:p>
            <w:r>
              <w:rPr>
                <w:rFonts w:ascii="Calibri" w:cs="Calibri" w:eastAsia="Calibri" w:hAnsi="Calibri"/>
                <w:b w:val="false"/>
                <w:bCs w:val="false"/>
                <w:color w:val="101820"/>
                <w:sz w:val="20"/>
                <w:szCs w:val="20"/>
              </w:rPr>
              <w:t xml:space="preserve">[Prepared By]</w:t>
            </w:r>
          </w:p>
        </w:tc>
      </w:tr>
      <w:tr>
        <w:trPr>
          <w:cantSplit/>
        </w:trPr>
        <w:tc>
          <w:tcPr>
            <w:tcW w:type="dxa" w:w="2621"/>
            <w:tcMar>
              <w:top w:type="dxa" w:w="110"/>
              <w:left w:type="dxa" w:w="0"/>
              <w:bottom w:type="dxa" w:w="110"/>
              <w:right w:type="dxa" w:w="130"/>
            </w:tcMar>
          </w:tcPr>
          <w:p>
            <w:r>
              <w:rPr>
                <w:rFonts w:ascii="Calibri" w:cs="Calibri" w:eastAsia="Calibri" w:hAnsi="Calibri"/>
                <w:b/>
                <w:bCs/>
                <w:color w:val="5F6B6E"/>
                <w:sz w:val="20"/>
                <w:szCs w:val="20"/>
              </w:rPr>
              <w:t xml:space="preserve">Report period</w:t>
            </w:r>
          </w:p>
        </w:tc>
        <w:tc>
          <w:tcPr>
            <w:tcW w:type="dxa" w:w="6739"/>
            <w:tcMar>
              <w:top w:type="dxa" w:w="110"/>
              <w:left w:type="dxa" w:w="0"/>
              <w:bottom w:type="dxa" w:w="110"/>
              <w:right w:type="dxa" w:w="130"/>
            </w:tcMar>
          </w:tcPr>
          <w:p>
            <w:r>
              <w:rPr>
                <w:rFonts w:ascii="Calibri" w:cs="Calibri" w:eastAsia="Calibri" w:hAnsi="Calibri"/>
                <w:b w:val="false"/>
                <w:bCs w:val="false"/>
                <w:color w:val="101820"/>
                <w:sz w:val="20"/>
                <w:szCs w:val="20"/>
              </w:rPr>
              <w:t xml:space="preserve">[Report Period]</w:t>
            </w:r>
          </w:p>
        </w:tc>
      </w:tr>
      <w:tr>
        <w:trPr>
          <w:cantSplit/>
        </w:trPr>
        <w:tc>
          <w:tcPr>
            <w:tcW w:type="dxa" w:w="2621"/>
            <w:tcMar>
              <w:top w:type="dxa" w:w="110"/>
              <w:left w:type="dxa" w:w="0"/>
              <w:bottom w:type="dxa" w:w="110"/>
              <w:right w:type="dxa" w:w="130"/>
            </w:tcMar>
          </w:tcPr>
          <w:p>
            <w:r>
              <w:rPr>
                <w:rFonts w:ascii="Calibri" w:cs="Calibri" w:eastAsia="Calibri" w:hAnsi="Calibri"/>
                <w:b/>
                <w:bCs/>
                <w:color w:val="5F6B6E"/>
                <w:sz w:val="20"/>
                <w:szCs w:val="20"/>
              </w:rPr>
              <w:t xml:space="preserve">Date</w:t>
            </w:r>
          </w:p>
        </w:tc>
        <w:tc>
          <w:tcPr>
            <w:tcW w:type="dxa" w:w="6739"/>
            <w:tcMar>
              <w:top w:type="dxa" w:w="110"/>
              <w:left w:type="dxa" w:w="0"/>
              <w:bottom w:type="dxa" w:w="110"/>
              <w:right w:type="dxa" w:w="130"/>
            </w:tcMar>
          </w:tcPr>
          <w:p>
            <w:r>
              <w:rPr>
                <w:rFonts w:ascii="Calibri" w:cs="Calibri" w:eastAsia="Calibri" w:hAnsi="Calibri"/>
                <w:b w:val="false"/>
                <w:bCs w:val="false"/>
                <w:color w:val="101820"/>
                <w:sz w:val="20"/>
                <w:szCs w:val="20"/>
              </w:rPr>
              <w:t xml:space="preserve">[Date]</w:t>
            </w:r>
          </w:p>
        </w:tc>
      </w:tr>
      <w:tr>
        <w:trPr>
          <w:cantSplit/>
        </w:trPr>
        <w:tc>
          <w:tcPr>
            <w:tcW w:type="dxa" w:w="2621"/>
            <w:tcMar>
              <w:top w:type="dxa" w:w="110"/>
              <w:left w:type="dxa" w:w="0"/>
              <w:bottom w:type="dxa" w:w="110"/>
              <w:right w:type="dxa" w:w="130"/>
            </w:tcMar>
          </w:tcPr>
          <w:p>
            <w:r>
              <w:rPr>
                <w:rFonts w:ascii="Calibri" w:cs="Calibri" w:eastAsia="Calibri" w:hAnsi="Calibri"/>
                <w:b/>
                <w:bCs/>
                <w:color w:val="5F6B6E"/>
                <w:sz w:val="20"/>
                <w:szCs w:val="20"/>
              </w:rPr>
              <w:t xml:space="preserve">Version</w:t>
            </w:r>
          </w:p>
        </w:tc>
        <w:tc>
          <w:tcPr>
            <w:tcW w:type="dxa" w:w="6739"/>
            <w:tcMar>
              <w:top w:type="dxa" w:w="110"/>
              <w:left w:type="dxa" w:w="0"/>
              <w:bottom w:type="dxa" w:w="110"/>
              <w:right w:type="dxa" w:w="130"/>
            </w:tcMar>
          </w:tcPr>
          <w:p>
            <w:r>
              <w:rPr>
                <w:rFonts w:ascii="Calibri" w:cs="Calibri" w:eastAsia="Calibri" w:hAnsi="Calibri"/>
                <w:b w:val="false"/>
                <w:bCs w:val="false"/>
                <w:color w:val="101820"/>
                <w:sz w:val="20"/>
                <w:szCs w:val="20"/>
              </w:rPr>
              <w:t xml:space="preserve">1.0</w:t>
            </w:r>
          </w:p>
        </w:tc>
      </w:tr>
      <w:tr>
        <w:trPr>
          <w:cantSplit/>
        </w:trPr>
        <w:tc>
          <w:tcPr>
            <w:tcW w:type="dxa" w:w="2621"/>
            <w:tcMar>
              <w:top w:type="dxa" w:w="110"/>
              <w:left w:type="dxa" w:w="0"/>
              <w:bottom w:type="dxa" w:w="110"/>
              <w:right w:type="dxa" w:w="130"/>
            </w:tcMar>
          </w:tcPr>
          <w:p>
            <w:r>
              <w:rPr>
                <w:rFonts w:ascii="Calibri" w:cs="Calibri" w:eastAsia="Calibri" w:hAnsi="Calibri"/>
                <w:b/>
                <w:bCs/>
                <w:color w:val="5F6B6E"/>
                <w:sz w:val="20"/>
                <w:szCs w:val="20"/>
              </w:rPr>
              <w:t xml:space="preserve">Status</w:t>
            </w:r>
          </w:p>
        </w:tc>
        <w:tc>
          <w:tcPr>
            <w:tcW w:type="dxa" w:w="6739"/>
            <w:tcMar>
              <w:top w:type="dxa" w:w="110"/>
              <w:left w:type="dxa" w:w="0"/>
              <w:bottom w:type="dxa" w:w="110"/>
              <w:right w:type="dxa" w:w="130"/>
            </w:tcMar>
          </w:tcPr>
          <w:p>
            <w:r>
              <w:rPr>
                <w:rFonts w:ascii="Calibri" w:cs="Calibri" w:eastAsia="Calibri" w:hAnsi="Calibri"/>
                <w:b w:val="false"/>
                <w:bCs w:val="false"/>
                <w:color w:val="101820"/>
                <w:sz w:val="20"/>
                <w:szCs w:val="20"/>
              </w:rPr>
              <w:t xml:space="preserve">For review</w:t>
            </w:r>
          </w:p>
        </w:tc>
      </w:tr>
    </w:tbl>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Document control</w:t>
      </w:r>
    </w:p>
    <w:p>
      <w:pPr>
        <w:pStyle w:val="Heading2"/>
        <w:keepNext/>
        <w:spacing w:after="120" w:before="300"/>
      </w:pPr>
      <w:r>
        <w:rPr>
          <w:rFonts w:ascii="Cambria" w:cs="Cambria" w:eastAsia="Cambria" w:hAnsi="Cambria"/>
          <w:b/>
          <w:bCs/>
          <w:color w:val="00647A"/>
          <w:sz w:val="25"/>
          <w:szCs w:val="25"/>
        </w:rPr>
        <w:t xml:space="preserve">Version history</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1123"/>
        <w:gridCol w:w="1498"/>
        <w:gridCol w:w="2059"/>
        <w:gridCol w:w="4680"/>
      </w:tblGrid>
      <w:tr>
        <w:trPr>
          <w:cantSplit/>
          <w:tblHeader/>
        </w:trPr>
        <w:tc>
          <w:tcPr>
            <w:tcW w:type="dxa" w:w="1123"/>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Version</w:t>
            </w:r>
          </w:p>
        </w:tc>
        <w:tc>
          <w:tcPr>
            <w:tcW w:type="dxa" w:w="149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Date</w:t>
            </w:r>
          </w:p>
        </w:tc>
        <w:tc>
          <w:tcPr>
            <w:tcW w:type="dxa" w:w="2059"/>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Author</w:t>
            </w:r>
          </w:p>
        </w:tc>
        <w:tc>
          <w:tcPr>
            <w:tcW w:type="dxa" w:w="4680"/>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Summary of change</w:t>
            </w:r>
          </w:p>
        </w:tc>
      </w:tr>
      <w:tr>
        <w:trPr>
          <w:cantSplit/>
        </w:trPr>
        <w:tc>
          <w:tcPr>
            <w:tcW w:type="dxa" w:w="1123"/>
            <w:shd w:fill="FFFFFF" w:val="clear"/>
            <w:tcMar>
              <w:top w:type="dxa" w:w="90"/>
              <w:left w:type="dxa" w:w="130"/>
              <w:bottom w:type="dxa" w:w="90"/>
              <w:right w:type="dxa" w:w="130"/>
            </w:tcMar>
          </w:tcPr>
          <w:p>
            <w:r>
              <w:rPr>
                <w:rFonts w:ascii="Calibri" w:cs="Calibri" w:eastAsia="Calibri" w:hAnsi="Calibri"/>
                <w:color w:val="23282A"/>
                <w:sz w:val="19"/>
                <w:szCs w:val="19"/>
              </w:rPr>
              <w:t xml:space="preserve">0.1</w:t>
            </w:r>
          </w:p>
        </w:tc>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[Date]</w:t>
            </w:r>
          </w:p>
        </w:tc>
        <w:tc>
          <w:tcPr>
            <w:tcW w:type="dxa" w:w="2059"/>
            <w:shd w:fill="FFFFFF" w:val="clear"/>
            <w:tcMar>
              <w:top w:type="dxa" w:w="90"/>
              <w:left w:type="dxa" w:w="130"/>
              <w:bottom w:type="dxa" w:w="90"/>
              <w:right w:type="dxa" w:w="130"/>
            </w:tcMar>
          </w:tcPr>
          <w:p>
            <w:r>
              <w:rPr>
                <w:rFonts w:ascii="Calibri" w:cs="Calibri" w:eastAsia="Calibri" w:hAnsi="Calibri"/>
                <w:color w:val="23282A"/>
                <w:sz w:val="19"/>
                <w:szCs w:val="19"/>
              </w:rPr>
              <w:t xml:space="preserve">[Prepared By]</w:t>
            </w:r>
          </w:p>
        </w:tc>
        <w:tc>
          <w:tcPr>
            <w:tcW w:type="dxa" w:w="4680"/>
            <w:shd w:fill="FFFFFF" w:val="clear"/>
            <w:tcMar>
              <w:top w:type="dxa" w:w="90"/>
              <w:left w:type="dxa" w:w="130"/>
              <w:bottom w:type="dxa" w:w="90"/>
              <w:right w:type="dxa" w:w="130"/>
            </w:tcMar>
          </w:tcPr>
          <w:p>
            <w:r>
              <w:rPr>
                <w:rFonts w:ascii="Calibri" w:cs="Calibri" w:eastAsia="Calibri" w:hAnsi="Calibri"/>
                <w:color w:val="23282A"/>
                <w:sz w:val="19"/>
                <w:szCs w:val="19"/>
              </w:rPr>
              <w:t xml:space="preserve">Initial structure and metric schema</w:t>
            </w:r>
          </w:p>
        </w:tc>
      </w:tr>
      <w:tr>
        <w:trPr>
          <w:cantSplit/>
        </w:trPr>
        <w:tc>
          <w:tcPr>
            <w:tcW w:type="dxa" w:w="1123"/>
            <w:shd w:fill="F4F8F9" w:val="clear"/>
            <w:tcMar>
              <w:top w:type="dxa" w:w="90"/>
              <w:left w:type="dxa" w:w="130"/>
              <w:bottom w:type="dxa" w:w="90"/>
              <w:right w:type="dxa" w:w="130"/>
            </w:tcMar>
          </w:tcPr>
          <w:p>
            <w:r>
              <w:rPr>
                <w:rFonts w:ascii="Calibri" w:cs="Calibri" w:eastAsia="Calibri" w:hAnsi="Calibri"/>
                <w:color w:val="23282A"/>
                <w:sz w:val="19"/>
                <w:szCs w:val="19"/>
              </w:rPr>
              <w:t xml:space="preserve">1.0</w:t>
            </w:r>
          </w:p>
        </w:tc>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[Date]</w:t>
            </w:r>
          </w:p>
        </w:tc>
        <w:tc>
          <w:tcPr>
            <w:tcW w:type="dxa" w:w="2059"/>
            <w:shd w:fill="F4F8F9" w:val="clear"/>
            <w:tcMar>
              <w:top w:type="dxa" w:w="90"/>
              <w:left w:type="dxa" w:w="130"/>
              <w:bottom w:type="dxa" w:w="90"/>
              <w:right w:type="dxa" w:w="130"/>
            </w:tcMar>
          </w:tcPr>
          <w:p>
            <w:r>
              <w:rPr>
                <w:rFonts w:ascii="Calibri" w:cs="Calibri" w:eastAsia="Calibri" w:hAnsi="Calibri"/>
                <w:color w:val="23282A"/>
                <w:sz w:val="19"/>
                <w:szCs w:val="19"/>
              </w:rPr>
              <w:t xml:space="preserve">[Prepared By]</w:t>
            </w:r>
          </w:p>
        </w:tc>
        <w:tc>
          <w:tcPr>
            <w:tcW w:type="dxa" w:w="4680"/>
            <w:shd w:fill="F4F8F9" w:val="clear"/>
            <w:tcMar>
              <w:top w:type="dxa" w:w="90"/>
              <w:left w:type="dxa" w:w="130"/>
              <w:bottom w:type="dxa" w:w="90"/>
              <w:right w:type="dxa" w:w="130"/>
            </w:tcMar>
          </w:tcPr>
          <w:p>
            <w:r>
              <w:rPr>
                <w:rFonts w:ascii="Calibri" w:cs="Calibri" w:eastAsia="Calibri" w:hAnsi="Calibri"/>
                <w:color w:val="23282A"/>
                <w:sz w:val="19"/>
                <w:szCs w:val="19"/>
              </w:rPr>
              <w:t xml:space="preserve">Added qualitative and quantitative reporting controls, commercial structure and execution plan</w:t>
            </w:r>
          </w:p>
        </w:tc>
      </w:tr>
    </w:tbl>
    <w:p>
      <w:pPr>
        <w:spacing w:after="160"/>
      </w:pPr>
    </w:p>
    <w:p>
      <w:pPr>
        <w:pStyle w:val="Heading2"/>
        <w:keepNext/>
        <w:spacing w:after="120" w:before="300"/>
      </w:pPr>
      <w:r>
        <w:rPr>
          <w:rFonts w:ascii="Cambria" w:cs="Cambria" w:eastAsia="Cambria" w:hAnsi="Cambria"/>
          <w:b/>
          <w:bCs/>
          <w:color w:val="00647A"/>
          <w:sz w:val="25"/>
          <w:szCs w:val="25"/>
        </w:rPr>
        <w:t xml:space="preserve">Distribution</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2808"/>
        <w:gridCol w:w="2808"/>
        <w:gridCol w:w="3744"/>
      </w:tblGrid>
      <w:tr>
        <w:trPr>
          <w:cantSplit/>
          <w:tblHeader/>
        </w:trPr>
        <w:tc>
          <w:tcPr>
            <w:tcW w:type="dxa" w:w="280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Name</w:t>
            </w:r>
          </w:p>
        </w:tc>
        <w:tc>
          <w:tcPr>
            <w:tcW w:type="dxa" w:w="280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Role</w:t>
            </w:r>
          </w:p>
        </w:tc>
        <w:tc>
          <w:tcPr>
            <w:tcW w:type="dxa" w:w="3744"/>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Purpose</w:t>
            </w:r>
          </w:p>
        </w:tc>
      </w:tr>
      <w:tr>
        <w:trPr>
          <w:cantSplit/>
        </w:trPr>
        <w:tc>
          <w:tcPr>
            <w:tcW w:type="dxa" w:w="2808"/>
            <w:shd w:fill="FFFFFF" w:val="clear"/>
            <w:tcMar>
              <w:top w:type="dxa" w:w="90"/>
              <w:left w:type="dxa" w:w="130"/>
              <w:bottom w:type="dxa" w:w="90"/>
              <w:right w:type="dxa" w:w="130"/>
            </w:tcMar>
          </w:tcPr>
          <w:p>
            <w:r>
              <w:rPr>
                <w:rFonts w:ascii="Calibri" w:cs="Calibri" w:eastAsia="Calibri" w:hAnsi="Calibri"/>
                <w:color w:val="23282A"/>
                <w:sz w:val="19"/>
                <w:szCs w:val="19"/>
              </w:rPr>
              <w:t xml:space="preserve">[Name]</w:t>
            </w:r>
          </w:p>
        </w:tc>
        <w:tc>
          <w:tcPr>
            <w:tcW w:type="dxa" w:w="2808"/>
            <w:shd w:fill="FFFFFF" w:val="clear"/>
            <w:tcMar>
              <w:top w:type="dxa" w:w="90"/>
              <w:left w:type="dxa" w:w="130"/>
              <w:bottom w:type="dxa" w:w="90"/>
              <w:right w:type="dxa" w:w="130"/>
            </w:tcMar>
          </w:tcPr>
          <w:p>
            <w:r>
              <w:rPr>
                <w:rFonts w:ascii="Calibri" w:cs="Calibri" w:eastAsia="Calibri" w:hAnsi="Calibri"/>
                <w:color w:val="23282A"/>
                <w:sz w:val="19"/>
                <w:szCs w:val="19"/>
              </w:rPr>
              <w:t xml:space="preserve">Managing Director</w:t>
            </w:r>
          </w:p>
        </w:tc>
        <w:tc>
          <w:tcPr>
            <w:tcW w:type="dxa" w:w="3744"/>
            <w:shd w:fill="FFFFFF" w:val="clear"/>
            <w:tcMar>
              <w:top w:type="dxa" w:w="90"/>
              <w:left w:type="dxa" w:w="130"/>
              <w:bottom w:type="dxa" w:w="90"/>
              <w:right w:type="dxa" w:w="130"/>
            </w:tcMar>
          </w:tcPr>
          <w:p>
            <w:r>
              <w:rPr>
                <w:rFonts w:ascii="Calibri" w:cs="Calibri" w:eastAsia="Calibri" w:hAnsi="Calibri"/>
                <w:color w:val="23282A"/>
                <w:sz w:val="19"/>
                <w:szCs w:val="19"/>
              </w:rPr>
              <w:t xml:space="preserve">Approval</w:t>
            </w:r>
          </w:p>
        </w:tc>
      </w:tr>
      <w:tr>
        <w:trPr>
          <w:cantSplit/>
        </w:trPr>
        <w:tc>
          <w:tcPr>
            <w:tcW w:type="dxa" w:w="2808"/>
            <w:shd w:fill="F4F8F9" w:val="clear"/>
            <w:tcMar>
              <w:top w:type="dxa" w:w="90"/>
              <w:left w:type="dxa" w:w="130"/>
              <w:bottom w:type="dxa" w:w="90"/>
              <w:right w:type="dxa" w:w="130"/>
            </w:tcMar>
          </w:tcPr>
          <w:p>
            <w:r>
              <w:rPr>
                <w:rFonts w:ascii="Calibri" w:cs="Calibri" w:eastAsia="Calibri" w:hAnsi="Calibri"/>
                <w:color w:val="23282A"/>
                <w:sz w:val="19"/>
                <w:szCs w:val="19"/>
              </w:rPr>
              <w:t xml:space="preserve">[Name]</w:t>
            </w:r>
          </w:p>
        </w:tc>
        <w:tc>
          <w:tcPr>
            <w:tcW w:type="dxa" w:w="2808"/>
            <w:shd w:fill="F4F8F9" w:val="clear"/>
            <w:tcMar>
              <w:top w:type="dxa" w:w="90"/>
              <w:left w:type="dxa" w:w="130"/>
              <w:bottom w:type="dxa" w:w="90"/>
              <w:right w:type="dxa" w:w="130"/>
            </w:tcMar>
          </w:tcPr>
          <w:p>
            <w:r>
              <w:rPr>
                <w:rFonts w:ascii="Calibri" w:cs="Calibri" w:eastAsia="Calibri" w:hAnsi="Calibri"/>
                <w:color w:val="23282A"/>
                <w:sz w:val="19"/>
                <w:szCs w:val="19"/>
              </w:rPr>
              <w:t xml:space="preserve">Development lead</w:t>
            </w:r>
          </w:p>
        </w:tc>
        <w:tc>
          <w:tcPr>
            <w:tcW w:type="dxa" w:w="3744"/>
            <w:shd w:fill="F4F8F9" w:val="clear"/>
            <w:tcMar>
              <w:top w:type="dxa" w:w="90"/>
              <w:left w:type="dxa" w:w="130"/>
              <w:bottom w:type="dxa" w:w="90"/>
              <w:right w:type="dxa" w:w="130"/>
            </w:tcMar>
          </w:tcPr>
          <w:p>
            <w:r>
              <w:rPr>
                <w:rFonts w:ascii="Calibri" w:cs="Calibri" w:eastAsia="Calibri" w:hAnsi="Calibri"/>
                <w:color w:val="23282A"/>
                <w:sz w:val="19"/>
                <w:szCs w:val="19"/>
              </w:rPr>
              <w:t xml:space="preserve">Build</w:t>
            </w:r>
          </w:p>
        </w:tc>
      </w:tr>
      <w:tr>
        <w:trPr>
          <w:cantSplit/>
        </w:trPr>
        <w:tc>
          <w:tcPr>
            <w:tcW w:type="dxa" w:w="2808"/>
            <w:shd w:fill="FFFFFF" w:val="clear"/>
            <w:tcMar>
              <w:top w:type="dxa" w:w="90"/>
              <w:left w:type="dxa" w:w="130"/>
              <w:bottom w:type="dxa" w:w="90"/>
              <w:right w:type="dxa" w:w="130"/>
            </w:tcMar>
          </w:tcPr>
          <w:p>
            <w:r>
              <w:rPr>
                <w:rFonts w:ascii="Calibri" w:cs="Calibri" w:eastAsia="Calibri" w:hAnsi="Calibri"/>
                <w:color w:val="23282A"/>
                <w:sz w:val="19"/>
                <w:szCs w:val="19"/>
              </w:rPr>
              <w:t xml:space="preserve">[Name]</w:t>
            </w:r>
          </w:p>
        </w:tc>
        <w:tc>
          <w:tcPr>
            <w:tcW w:type="dxa" w:w="2808"/>
            <w:shd w:fill="FFFFFF" w:val="clear"/>
            <w:tcMar>
              <w:top w:type="dxa" w:w="90"/>
              <w:left w:type="dxa" w:w="130"/>
              <w:bottom w:type="dxa" w:w="90"/>
              <w:right w:type="dxa" w:w="130"/>
            </w:tcMar>
          </w:tcPr>
          <w:p>
            <w:r>
              <w:rPr>
                <w:rFonts w:ascii="Calibri" w:cs="Calibri" w:eastAsia="Calibri" w:hAnsi="Calibri"/>
                <w:color w:val="23282A"/>
                <w:sz w:val="19"/>
                <w:szCs w:val="19"/>
              </w:rPr>
              <w:t xml:space="preserve">ESG analyst</w:t>
            </w:r>
          </w:p>
        </w:tc>
        <w:tc>
          <w:tcPr>
            <w:tcW w:type="dxa" w:w="3744"/>
            <w:shd w:fill="FFFFFF" w:val="clear"/>
            <w:tcMar>
              <w:top w:type="dxa" w:w="90"/>
              <w:left w:type="dxa" w:w="130"/>
              <w:bottom w:type="dxa" w:w="90"/>
              <w:right w:type="dxa" w:w="130"/>
            </w:tcMar>
          </w:tcPr>
          <w:p>
            <w:r>
              <w:rPr>
                <w:rFonts w:ascii="Calibri" w:cs="Calibri" w:eastAsia="Calibri" w:hAnsi="Calibri"/>
                <w:color w:val="23282A"/>
                <w:sz w:val="19"/>
                <w:szCs w:val="19"/>
              </w:rPr>
              <w:t xml:space="preserve">Delivery</w:t>
            </w:r>
          </w:p>
        </w:tc>
      </w:tr>
      <w:tr>
        <w:trPr>
          <w:cantSplit/>
        </w:trPr>
        <w:tc>
          <w:tcPr>
            <w:tcW w:type="dxa" w:w="2808"/>
            <w:shd w:fill="F4F8F9" w:val="clear"/>
            <w:tcMar>
              <w:top w:type="dxa" w:w="90"/>
              <w:left w:type="dxa" w:w="130"/>
              <w:bottom w:type="dxa" w:w="90"/>
              <w:right w:type="dxa" w:w="130"/>
            </w:tcMar>
          </w:tcPr>
          <w:p>
            <w:r>
              <w:rPr>
                <w:rFonts w:ascii="Calibri" w:cs="Calibri" w:eastAsia="Calibri" w:hAnsi="Calibri"/>
                <w:color w:val="23282A"/>
                <w:sz w:val="19"/>
                <w:szCs w:val="19"/>
              </w:rPr>
              <w:t xml:space="preserve">[Name]</w:t>
            </w:r>
          </w:p>
        </w:tc>
        <w:tc>
          <w:tcPr>
            <w:tcW w:type="dxa" w:w="2808"/>
            <w:shd w:fill="F4F8F9" w:val="clear"/>
            <w:tcMar>
              <w:top w:type="dxa" w:w="90"/>
              <w:left w:type="dxa" w:w="130"/>
              <w:bottom w:type="dxa" w:w="90"/>
              <w:right w:type="dxa" w:w="130"/>
            </w:tcMar>
          </w:tcPr>
          <w:p>
            <w:r>
              <w:rPr>
                <w:rFonts w:ascii="Calibri" w:cs="Calibri" w:eastAsia="Calibri" w:hAnsi="Calibri"/>
                <w:color w:val="23282A"/>
                <w:sz w:val="19"/>
                <w:szCs w:val="19"/>
              </w:rPr>
              <w:t xml:space="preserve">Legal reviewer</w:t>
            </w:r>
          </w:p>
        </w:tc>
        <w:tc>
          <w:tcPr>
            <w:tcW w:type="dxa" w:w="3744"/>
            <w:shd w:fill="F4F8F9" w:val="clear"/>
            <w:tcMar>
              <w:top w:type="dxa" w:w="90"/>
              <w:left w:type="dxa" w:w="130"/>
              <w:bottom w:type="dxa" w:w="90"/>
              <w:right w:type="dxa" w:w="130"/>
            </w:tcMar>
          </w:tcPr>
          <w:p>
            <w:r>
              <w:rPr>
                <w:rFonts w:ascii="Calibri" w:cs="Calibri" w:eastAsia="Calibri" w:hAnsi="Calibri"/>
                <w:color w:val="23282A"/>
                <w:sz w:val="19"/>
                <w:szCs w:val="19"/>
              </w:rPr>
              <w:t xml:space="preserve">Claims and liability review</w:t>
            </w:r>
          </w:p>
        </w:tc>
      </w:tr>
    </w:tbl>
    <w:p>
      <w:pPr>
        <w:spacing w:after="160"/>
      </w:pPr>
    </w:p>
    <w:p>
      <w:pPr>
        <w:pStyle w:val="Heading2"/>
        <w:keepNext/>
        <w:spacing w:after="120" w:before="300"/>
      </w:pPr>
      <w:r>
        <w:rPr>
          <w:rFonts w:ascii="Cambria" w:cs="Cambria" w:eastAsia="Cambria" w:hAnsi="Cambria"/>
          <w:b/>
          <w:bCs/>
          <w:color w:val="00647A"/>
          <w:sz w:val="25"/>
          <w:szCs w:val="25"/>
        </w:rPr>
        <w:t xml:space="preserve">Purpose of this document</w:t>
      </w:r>
    </w:p>
    <w:p>
      <w:pPr>
        <w:spacing w:after="140"/>
      </w:pPr>
      <w:r>
        <w:rPr>
          <w:rFonts w:ascii="Calibri" w:cs="Calibri" w:eastAsia="Calibri" w:hAnsi="Calibri"/>
          <w:color w:val="23282A"/>
          <w:sz w:val="21"/>
          <w:szCs w:val="21"/>
        </w:rPr>
        <w:t xml:space="preserve">This document specifies how the Okiru ESG Intelligence Toolkit generates client-facing ESG disclosure and strategy packs. It sets the structure of the output, the data model behind it, the rules that govern what may and may not render, and the commercial model that sits around it.</w:t>
      </w:r>
    </w:p>
    <w:p>
      <w:pPr>
        <w:spacing w:after="140"/>
      </w:pPr>
      <w:r>
        <w:rPr>
          <w:rFonts w:ascii="Calibri" w:cs="Calibri" w:eastAsia="Calibri" w:hAnsi="Calibri"/>
          <w:color w:val="23282A"/>
          <w:sz w:val="21"/>
          <w:szCs w:val="21"/>
        </w:rPr>
        <w:t xml:space="preserve">It is a build specification, not a client deliverable. The development team builds from it, the analyst team delivers against it, and legal reviews the fixed-language and claims sections before any client output ships.</w:t>
      </w:r>
    </w:p>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1. Executive summary</w:t>
      </w:r>
    </w:p>
    <w:p>
      <w:pPr>
        <w:spacing w:after="140"/>
      </w:pPr>
      <w:r>
        <w:rPr>
          <w:rFonts w:ascii="Calibri" w:cs="Calibri" w:eastAsia="Calibri" w:hAnsi="Calibri"/>
          <w:color w:val="23282A"/>
          <w:sz w:val="21"/>
          <w:szCs w:val="21"/>
        </w:rPr>
        <w:t xml:space="preserve">Okiru is building a template that lets the ESG Intelligence Toolkit generate a client's sustainability disclosure automatically. The brief set the benchmark as the published sustainability reports of large listed issuers. This document recommends a different benchmark, for commercial reasons.</w:t>
      </w:r>
    </w:p>
    <w:p>
      <w:pPr>
        <w:pStyle w:val="Heading2"/>
        <w:keepNext/>
        <w:spacing w:after="120" w:before="300"/>
      </w:pPr>
      <w:r>
        <w:rPr>
          <w:rFonts w:ascii="Cambria" w:cs="Cambria" w:eastAsia="Cambria" w:hAnsi="Cambria"/>
          <w:b/>
          <w:bCs/>
          <w:color w:val="00647A"/>
          <w:sz w:val="25"/>
          <w:szCs w:val="25"/>
        </w:rPr>
        <w:t xml:space="preserve">1.1 What we found</w:t>
      </w:r>
    </w:p>
    <w:p>
      <w:pPr>
        <w:spacing w:after="140"/>
      </w:pPr>
      <w:r>
        <w:rPr>
          <w:rFonts w:ascii="Calibri" w:cs="Calibri" w:eastAsia="Calibri" w:hAnsi="Calibri"/>
          <w:color w:val="23282A"/>
          <w:sz w:val="21"/>
          <w:szCs w:val="21"/>
        </w:rPr>
        <w:t xml:space="preserve">The four reference documents supplied are four different genres. Only one — the JSE Sustainability Disclosure Matrix — is structurally useful, and it is a cross-reference index rather than a report. The others are an assured issuer disclosure, an asset manager's stewardship narrative and a regulator's programme update. Copying their form gives Okiru a document that invites comparison against work produced by fifteen-person teams over several months, with external assurance attached.</w:t>
      </w:r>
    </w:p>
    <w:p>
      <w:pPr>
        <w:pStyle w:val="Heading2"/>
        <w:keepNext/>
        <w:spacing w:after="120" w:before="300"/>
      </w:pPr>
      <w:r>
        <w:rPr>
          <w:rFonts w:ascii="Cambria" w:cs="Cambria" w:eastAsia="Cambria" w:hAnsi="Cambria"/>
          <w:b/>
          <w:bCs/>
          <w:color w:val="00647A"/>
          <w:sz w:val="25"/>
          <w:szCs w:val="25"/>
        </w:rPr>
        <w:t xml:space="preserve">1.2 What we recommend</w:t>
      </w:r>
    </w:p>
    <w:p>
      <w:pPr>
        <w:spacing w:after="140"/>
      </w:pPr>
      <w:r>
        <w:rPr>
          <w:rFonts w:ascii="Calibri" w:cs="Calibri" w:eastAsia="Calibri" w:hAnsi="Calibri"/>
          <w:color w:val="23282A"/>
          <w:sz w:val="21"/>
          <w:szCs w:val="21"/>
        </w:rPr>
        <w:t xml:space="preserve">Target traceability rather than volume. A 45-page pack in which every figure carries a source system, a boundary, a calculation method, a data quality rating and an assurance status is more defensible than a 120-page narrative, and it is the version Okiru can automate. Weight comes from what sits behind each number, not from page count.</w:t>
      </w:r>
    </w:p>
    <w:p>
      <w:pPr>
        <w:spacing w:after="140"/>
      </w:pPr>
      <w:r>
        <w:rPr>
          <w:rFonts w:ascii="Calibri" w:cs="Calibri" w:eastAsia="Calibri" w:hAnsi="Calibri"/>
          <w:color w:val="23282A"/>
          <w:sz w:val="21"/>
          <w:szCs w:val="21"/>
        </w:rPr>
        <w:t xml:space="preserve">Three design choices follow from that position:</w:t>
      </w:r>
    </w:p>
    <w:p>
      <w:pPr>
        <w:pStyle w:val="ListParagraph"/>
        <w:numPr>
          <w:ilvl w:val="0"/>
          <w:numId w:val="2"/>
        </w:numPr>
        <w:spacing w:after="90"/>
      </w:pPr>
      <w:r>
        <w:rPr>
          <w:rFonts w:ascii="Calibri" w:cs="Calibri" w:eastAsia="Calibri" w:hAnsi="Calibri"/>
          <w:color w:val="23282A"/>
          <w:sz w:val="21"/>
          <w:szCs w:val="21"/>
        </w:rPr>
        <w:t xml:space="preserve">Build one data spine and render it four ways. A disclosure pack, a board strategy pack, a stakeholder one-pager and a data book, all filtered from the same metric register, evidence register and narrative library.</w:t>
      </w:r>
    </w:p>
    <w:p>
      <w:pPr>
        <w:pStyle w:val="ListParagraph"/>
        <w:numPr>
          <w:ilvl w:val="0"/>
          <w:numId w:val="2"/>
        </w:numPr>
        <w:spacing w:after="90"/>
      </w:pPr>
      <w:r>
        <w:rPr>
          <w:rFonts w:ascii="Calibri" w:cs="Calibri" w:eastAsia="Calibri" w:hAnsi="Calibri"/>
          <w:color w:val="23282A"/>
          <w:sz w:val="21"/>
          <w:szCs w:val="21"/>
        </w:rPr>
        <w:t xml:space="preserve">Control the qualitative half as tightly as the quantitative half. Every claim is classified before it renders, and every claim binds to evidence. This is the control that protects both the client and Okiru as the FSCA develops its guidance on sustainability-related claims.</w:t>
      </w:r>
    </w:p>
    <w:p>
      <w:pPr>
        <w:pStyle w:val="ListParagraph"/>
        <w:numPr>
          <w:ilvl w:val="0"/>
          <w:numId w:val="2"/>
        </w:numPr>
        <w:spacing w:after="90"/>
      </w:pPr>
      <w:r>
        <w:rPr>
          <w:rFonts w:ascii="Calibri" w:cs="Calibri" w:eastAsia="Calibri" w:hAnsi="Calibri"/>
          <w:color w:val="23282A"/>
          <w:sz w:val="21"/>
          <w:szCs w:val="21"/>
        </w:rPr>
        <w:t xml:space="preserve">Treat the gap register as the product. Every metric the toolkit cannot populate becomes a costed remediation item, which is the scope of work for the next engagement.</w:t>
      </w:r>
    </w:p>
    <w:p>
      <w:pPr>
        <w:pStyle w:val="Heading2"/>
        <w:keepNext/>
        <w:spacing w:after="120" w:before="300"/>
      </w:pPr>
      <w:r>
        <w:rPr>
          <w:rFonts w:ascii="Cambria" w:cs="Cambria" w:eastAsia="Cambria" w:hAnsi="Cambria"/>
          <w:b/>
          <w:bCs/>
          <w:color w:val="00647A"/>
          <w:sz w:val="25"/>
          <w:szCs w:val="25"/>
        </w:rPr>
        <w:t xml:space="preserve">1.3 Where Okiru wins</w:t>
      </w:r>
    </w:p>
    <w:p>
      <w:pPr>
        <w:spacing w:after="140"/>
      </w:pPr>
      <w:r>
        <w:rPr>
          <w:rFonts w:ascii="Calibri" w:cs="Calibri" w:eastAsia="Calibri" w:hAnsi="Calibri"/>
          <w:color w:val="23282A"/>
          <w:sz w:val="21"/>
          <w:szCs w:val="21"/>
        </w:rPr>
        <w:t xml:space="preserve">Two sections in this template are ones a global reporting house will not write for a South African client: the regulatory horizon covering the Climate Change Act, carbon tax, ISSB adoption, the JSE guidance and the Green Finance Taxonomy; and the transformation overlay covering B-BBEE, employment equity, skills development and enterprise and supplier development. Okiru's existing compliance and transformation practice already produces both.</w:t>
      </w:r>
    </w:p>
    <w:p>
      <w:pPr>
        <w:pStyle w:val="Heading2"/>
        <w:keepNext/>
        <w:spacing w:after="120" w:before="300"/>
      </w:pPr>
      <w:r>
        <w:rPr>
          <w:rFonts w:ascii="Cambria" w:cs="Cambria" w:eastAsia="Cambria" w:hAnsi="Cambria"/>
          <w:b/>
          <w:bCs/>
          <w:color w:val="00647A"/>
          <w:sz w:val="25"/>
          <w:szCs w:val="25"/>
        </w:rPr>
        <w:t xml:space="preserve">1.4 What we are asking for</w:t>
      </w:r>
    </w:p>
    <w:p>
      <w:pPr>
        <w:spacing w:after="140"/>
      </w:pPr>
      <w:r>
        <w:rPr>
          <w:rFonts w:ascii="Calibri" w:cs="Calibri" w:eastAsia="Calibri" w:hAnsi="Calibri"/>
          <w:color w:val="23282A"/>
          <w:sz w:val="21"/>
          <w:szCs w:val="21"/>
        </w:rPr>
        <w:t xml:space="preserve">Two decisions before any build begins, set out in full at section 12: approval of a hard client sign-off gate, and agreement on where the analyst sits in the production line. Both are described with the reasoning at the end of this document.</w:t>
      </w:r>
    </w:p>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2. Context and scope</w:t>
      </w:r>
    </w:p>
    <w:p>
      <w:pPr>
        <w:pStyle w:val="Heading2"/>
        <w:keepNext/>
        <w:spacing w:after="120" w:before="300"/>
      </w:pPr>
      <w:r>
        <w:rPr>
          <w:rFonts w:ascii="Cambria" w:cs="Cambria" w:eastAsia="Cambria" w:hAnsi="Cambria"/>
          <w:b/>
          <w:bCs/>
          <w:color w:val="00647A"/>
          <w:sz w:val="25"/>
          <w:szCs w:val="25"/>
        </w:rPr>
        <w:t xml:space="preserve">2.1 The reference set</w:t>
      </w:r>
    </w:p>
    <w:p>
      <w:pPr>
        <w:spacing w:after="140"/>
      </w:pPr>
      <w:r>
        <w:rPr>
          <w:rFonts w:ascii="Calibri" w:cs="Calibri" w:eastAsia="Calibri" w:hAnsi="Calibri"/>
          <w:color w:val="23282A"/>
          <w:sz w:val="21"/>
          <w:szCs w:val="21"/>
        </w:rPr>
        <w:t xml:space="preserve">Four documents were supplied as benchmarks. They serve different purposes and only parts of each transfer.</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2246"/>
        <w:gridCol w:w="3744"/>
        <w:gridCol w:w="3370"/>
      </w:tblGrid>
      <w:tr>
        <w:trPr>
          <w:cantSplit/>
          <w:tblHeader/>
        </w:trPr>
        <w:tc>
          <w:tcPr>
            <w:tcW w:type="dxa" w:w="2246"/>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Document</w:t>
            </w:r>
          </w:p>
        </w:tc>
        <w:tc>
          <w:tcPr>
            <w:tcW w:type="dxa" w:w="3744"/>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What it is</w:t>
            </w:r>
          </w:p>
        </w:tc>
        <w:tc>
          <w:tcPr>
            <w:tcW w:type="dxa" w:w="3370"/>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What transfers</w:t>
            </w:r>
          </w:p>
        </w:tc>
      </w:tr>
      <w:tr>
        <w:trPr>
          <w:cantSplit/>
        </w:trPr>
        <w:tc>
          <w:tcPr>
            <w:tcW w:type="dxa" w:w="2246"/>
            <w:shd w:fill="FFFFFF" w:val="clear"/>
            <w:tcMar>
              <w:top w:type="dxa" w:w="90"/>
              <w:left w:type="dxa" w:w="130"/>
              <w:bottom w:type="dxa" w:w="90"/>
              <w:right w:type="dxa" w:w="130"/>
            </w:tcMar>
          </w:tcPr>
          <w:p>
            <w:r>
              <w:rPr>
                <w:rFonts w:ascii="Calibri" w:cs="Calibri" w:eastAsia="Calibri" w:hAnsi="Calibri"/>
                <w:color w:val="23282A"/>
                <w:sz w:val="19"/>
                <w:szCs w:val="19"/>
              </w:rPr>
              <w:t xml:space="preserve">JSE Sustainability Disclosure Matrix</w:t>
            </w:r>
          </w:p>
        </w:tc>
        <w:tc>
          <w:tcPr>
            <w:tcW w:type="dxa" w:w="3744"/>
            <w:shd w:fill="FFFFFF" w:val="clear"/>
            <w:tcMar>
              <w:top w:type="dxa" w:w="90"/>
              <w:left w:type="dxa" w:w="130"/>
              <w:bottom w:type="dxa" w:w="90"/>
              <w:right w:type="dxa" w:w="130"/>
            </w:tcMar>
          </w:tcPr>
          <w:p>
            <w:r>
              <w:rPr>
                <w:rFonts w:ascii="Calibri" w:cs="Calibri" w:eastAsia="Calibri" w:hAnsi="Calibri"/>
                <w:color w:val="23282A"/>
                <w:sz w:val="19"/>
                <w:szCs w:val="19"/>
              </w:rPr>
              <w:t xml:space="preserve">A cross-reference index mapping each required disclosure to where it sits across the reporting suite</w:t>
            </w:r>
          </w:p>
        </w:tc>
        <w:tc>
          <w:tcPr>
            <w:tcW w:type="dxa" w:w="3370"/>
            <w:shd w:fill="FFFFFF" w:val="clear"/>
            <w:tcMar>
              <w:top w:type="dxa" w:w="90"/>
              <w:left w:type="dxa" w:w="130"/>
              <w:bottom w:type="dxa" w:w="90"/>
              <w:right w:type="dxa" w:w="130"/>
            </w:tcMar>
          </w:tcPr>
          <w:p>
            <w:r>
              <w:rPr>
                <w:rFonts w:ascii="Calibri" w:cs="Calibri" w:eastAsia="Calibri" w:hAnsi="Calibri"/>
                <w:color w:val="23282A"/>
                <w:sz w:val="19"/>
                <w:szCs w:val="19"/>
              </w:rPr>
              <w:t xml:space="preserve">The disclosure index and the reasoned-omission pattern. The highest-value item in the set.</w:t>
            </w:r>
          </w:p>
        </w:tc>
      </w:tr>
      <w:tr>
        <w:trPr>
          <w:cantSplit/>
        </w:trPr>
        <w:tc>
          <w:tcPr>
            <w:tcW w:type="dxa" w:w="2246"/>
            <w:shd w:fill="F4F8F9" w:val="clear"/>
            <w:tcMar>
              <w:top w:type="dxa" w:w="90"/>
              <w:left w:type="dxa" w:w="130"/>
              <w:bottom w:type="dxa" w:w="90"/>
              <w:right w:type="dxa" w:w="130"/>
            </w:tcMar>
          </w:tcPr>
          <w:p>
            <w:r>
              <w:rPr>
                <w:rFonts w:ascii="Calibri" w:cs="Calibri" w:eastAsia="Calibri" w:hAnsi="Calibri"/>
                <w:color w:val="23282A"/>
                <w:sz w:val="19"/>
                <w:szCs w:val="19"/>
              </w:rPr>
              <w:t xml:space="preserve">Standard Bank Sustainability Disclosures Report</w:t>
            </w:r>
          </w:p>
        </w:tc>
        <w:tc>
          <w:tcPr>
            <w:tcW w:type="dxa" w:w="3744"/>
            <w:shd w:fill="F4F8F9" w:val="clear"/>
            <w:tcMar>
              <w:top w:type="dxa" w:w="90"/>
              <w:left w:type="dxa" w:w="130"/>
              <w:bottom w:type="dxa" w:w="90"/>
              <w:right w:type="dxa" w:w="130"/>
            </w:tcMar>
          </w:tcPr>
          <w:p>
            <w:r>
              <w:rPr>
                <w:rFonts w:ascii="Calibri" w:cs="Calibri" w:eastAsia="Calibri" w:hAnsi="Calibri"/>
                <w:color w:val="23282A"/>
                <w:sz w:val="19"/>
                <w:szCs w:val="19"/>
              </w:rPr>
              <w:t xml:space="preserve">Issuer self-disclosure for capital markets, produced by a large team over months and externally assured</w:t>
            </w:r>
          </w:p>
        </w:tc>
        <w:tc>
          <w:tcPr>
            <w:tcW w:type="dxa" w:w="3370"/>
            <w:shd w:fill="F4F8F9" w:val="clear"/>
            <w:tcMar>
              <w:top w:type="dxa" w:w="90"/>
              <w:left w:type="dxa" w:w="130"/>
              <w:bottom w:type="dxa" w:w="90"/>
              <w:right w:type="dxa" w:w="130"/>
            </w:tcMar>
          </w:tcPr>
          <w:p>
            <w:r>
              <w:rPr>
                <w:rFonts w:ascii="Calibri" w:cs="Calibri" w:eastAsia="Calibri" w:hAnsi="Calibri"/>
                <w:color w:val="23282A"/>
                <w:sz w:val="19"/>
                <w:szCs w:val="19"/>
              </w:rPr>
              <w:t xml:space="preserve">Section structure. Not the scale or the ambition.</w:t>
            </w:r>
          </w:p>
        </w:tc>
      </w:tr>
      <w:tr>
        <w:trPr>
          <w:cantSplit/>
        </w:trPr>
        <w:tc>
          <w:tcPr>
            <w:tcW w:type="dxa" w:w="2246"/>
            <w:shd w:fill="FFFFFF" w:val="clear"/>
            <w:tcMar>
              <w:top w:type="dxa" w:w="90"/>
              <w:left w:type="dxa" w:w="130"/>
              <w:bottom w:type="dxa" w:w="90"/>
              <w:right w:type="dxa" w:w="130"/>
            </w:tcMar>
          </w:tcPr>
          <w:p>
            <w:r>
              <w:rPr>
                <w:rFonts w:ascii="Calibri" w:cs="Calibri" w:eastAsia="Calibri" w:hAnsi="Calibri"/>
                <w:color w:val="23282A"/>
                <w:sz w:val="19"/>
                <w:szCs w:val="19"/>
              </w:rPr>
              <w:t xml:space="preserve">PIMCO Sustainable Investing Report</w:t>
            </w:r>
          </w:p>
        </w:tc>
        <w:tc>
          <w:tcPr>
            <w:tcW w:type="dxa" w:w="3744"/>
            <w:shd w:fill="FFFFFF" w:val="clear"/>
            <w:tcMar>
              <w:top w:type="dxa" w:w="90"/>
              <w:left w:type="dxa" w:w="130"/>
              <w:bottom w:type="dxa" w:w="90"/>
              <w:right w:type="dxa" w:w="130"/>
            </w:tcMar>
          </w:tcPr>
          <w:p>
            <w:r>
              <w:rPr>
                <w:rFonts w:ascii="Calibri" w:cs="Calibri" w:eastAsia="Calibri" w:hAnsi="Calibri"/>
                <w:color w:val="23282A"/>
                <w:sz w:val="19"/>
                <w:szCs w:val="19"/>
              </w:rPr>
              <w:t xml:space="preserve">A stewardship narrative from an asset manager, marketing-led</w:t>
            </w:r>
          </w:p>
        </w:tc>
        <w:tc>
          <w:tcPr>
            <w:tcW w:type="dxa" w:w="3370"/>
            <w:shd w:fill="FFFFFF" w:val="clear"/>
            <w:tcMar>
              <w:top w:type="dxa" w:w="90"/>
              <w:left w:type="dxa" w:w="130"/>
              <w:bottom w:type="dxa" w:w="90"/>
              <w:right w:type="dxa" w:w="130"/>
            </w:tcMar>
          </w:tcPr>
          <w:p>
            <w:r>
              <w:rPr>
                <w:rFonts w:ascii="Calibri" w:cs="Calibri" w:eastAsia="Calibri" w:hAnsi="Calibri"/>
                <w:color w:val="23282A"/>
                <w:sz w:val="19"/>
                <w:szCs w:val="19"/>
              </w:rPr>
              <w:t xml:space="preserve">Tone and the case-study format only.</w:t>
            </w:r>
          </w:p>
        </w:tc>
      </w:tr>
      <w:tr>
        <w:trPr>
          <w:cantSplit/>
        </w:trPr>
        <w:tc>
          <w:tcPr>
            <w:tcW w:type="dxa" w:w="2246"/>
            <w:shd w:fill="F4F8F9" w:val="clear"/>
            <w:tcMar>
              <w:top w:type="dxa" w:w="90"/>
              <w:left w:type="dxa" w:w="130"/>
              <w:bottom w:type="dxa" w:w="90"/>
              <w:right w:type="dxa" w:w="130"/>
            </w:tcMar>
          </w:tcPr>
          <w:p>
            <w:r>
              <w:rPr>
                <w:rFonts w:ascii="Calibri" w:cs="Calibri" w:eastAsia="Calibri" w:hAnsi="Calibri"/>
                <w:color w:val="23282A"/>
                <w:sz w:val="19"/>
                <w:szCs w:val="19"/>
              </w:rPr>
              <w:t xml:space="preserve">FSCA Sustainable Finance Update</w:t>
            </w:r>
          </w:p>
        </w:tc>
        <w:tc>
          <w:tcPr>
            <w:tcW w:type="dxa" w:w="3744"/>
            <w:shd w:fill="F4F8F9" w:val="clear"/>
            <w:tcMar>
              <w:top w:type="dxa" w:w="90"/>
              <w:left w:type="dxa" w:w="130"/>
              <w:bottom w:type="dxa" w:w="90"/>
              <w:right w:type="dxa" w:w="130"/>
            </w:tcMar>
          </w:tcPr>
          <w:p>
            <w:r>
              <w:rPr>
                <w:rFonts w:ascii="Calibri" w:cs="Calibri" w:eastAsia="Calibri" w:hAnsi="Calibri"/>
                <w:color w:val="23282A"/>
                <w:sz w:val="19"/>
                <w:szCs w:val="19"/>
              </w:rPr>
              <w:t xml:space="preserve">A regulator's programme update</w:t>
            </w:r>
          </w:p>
        </w:tc>
        <w:tc>
          <w:tcPr>
            <w:tcW w:type="dxa" w:w="3370"/>
            <w:shd w:fill="F4F8F9" w:val="clear"/>
            <w:tcMar>
              <w:top w:type="dxa" w:w="90"/>
              <w:left w:type="dxa" w:w="130"/>
              <w:bottom w:type="dxa" w:w="90"/>
              <w:right w:type="dxa" w:w="130"/>
            </w:tcMar>
          </w:tcPr>
          <w:p>
            <w:r>
              <w:rPr>
                <w:rFonts w:ascii="Calibri" w:cs="Calibri" w:eastAsia="Calibri" w:hAnsi="Calibri"/>
                <w:color w:val="23282A"/>
                <w:sz w:val="19"/>
                <w:szCs w:val="19"/>
              </w:rPr>
              <w:t xml:space="preserve">A source for the regulatory horizon section, not a template.</w:t>
            </w:r>
          </w:p>
        </w:tc>
      </w:tr>
    </w:tbl>
    <w:p>
      <w:pPr>
        <w:spacing w:after="120"/>
      </w:pPr>
    </w:p>
    <w:p>
      <w:pPr>
        <w:spacing w:after="140"/>
      </w:pPr>
      <w:r>
        <w:rPr>
          <w:rFonts w:ascii="Calibri" w:cs="Calibri" w:eastAsia="Calibri" w:hAnsi="Calibri"/>
          <w:i/>
          <w:iCs/>
          <w:color w:val="5F6B6E"/>
          <w:sz w:val="21"/>
          <w:szCs w:val="21"/>
        </w:rPr>
        <w:t xml:space="preserve">Note: the Standard Bank report and Okiru's existing sample report were not available for review during drafting. Both should be read against this specification before the build starts.</w:t>
      </w:r>
    </w:p>
    <w:p>
      <w:pPr>
        <w:spacing w:after="160"/>
      </w:pPr>
    </w:p>
    <w:p>
      <w:pPr>
        <w:pStyle w:val="Heading2"/>
        <w:keepNext/>
        <w:spacing w:after="120" w:before="300"/>
      </w:pPr>
      <w:r>
        <w:rPr>
          <w:rFonts w:ascii="Cambria" w:cs="Cambria" w:eastAsia="Cambria" w:hAnsi="Cambria"/>
          <w:b/>
          <w:bCs/>
          <w:color w:val="00647A"/>
          <w:sz w:val="25"/>
          <w:szCs w:val="25"/>
        </w:rPr>
        <w:t xml:space="preserve">2.2 Scope of this specification</w:t>
      </w:r>
    </w:p>
    <w:p>
      <w:pPr>
        <w:spacing w:after="140"/>
      </w:pPr>
      <w:r>
        <w:rPr>
          <w:rFonts w:ascii="Calibri" w:cs="Calibri" w:eastAsia="Calibri" w:hAnsi="Calibri"/>
          <w:color w:val="23282A"/>
          <w:sz w:val="21"/>
          <w:szCs w:val="21"/>
        </w:rPr>
        <w:t xml:space="preserve">In scope: the structure of the generated output, the metric and evidence data model, the rules governing what renders, the commercial tiering and the build sequence.</w:t>
      </w:r>
    </w:p>
    <w:p>
      <w:pPr>
        <w:spacing w:after="140"/>
      </w:pPr>
      <w:r>
        <w:rPr>
          <w:rFonts w:ascii="Calibri" w:cs="Calibri" w:eastAsia="Calibri" w:hAnsi="Calibri"/>
          <w:color w:val="23282A"/>
          <w:sz w:val="21"/>
          <w:szCs w:val="21"/>
        </w:rPr>
        <w:t xml:space="preserve">Out of scope: the toolkit's data capture interface, the scoring methodology itself, and client-specific content.</w:t>
      </w:r>
    </w:p>
    <w:p>
      <w:pPr>
        <w:pStyle w:val="Heading2"/>
        <w:keepNext/>
        <w:spacing w:after="120" w:before="300"/>
      </w:pPr>
      <w:r>
        <w:rPr>
          <w:rFonts w:ascii="Cambria" w:cs="Cambria" w:eastAsia="Cambria" w:hAnsi="Cambria"/>
          <w:b/>
          <w:bCs/>
          <w:color w:val="00647A"/>
          <w:sz w:val="25"/>
          <w:szCs w:val="25"/>
        </w:rPr>
        <w:t xml:space="preserve">2.3 Design principle</w:t>
      </w:r>
    </w:p>
    <w:tbl>
      <w:tblPr>
        <w:tblW w:type="dxa" w:w="9360"/>
        <w:tblBorders>
          <w:top w:val="single" w:color="0091A8" w:sz="2"/>
          <w:left w:val="single" w:color="0091A8" w:sz="18"/>
          <w:bottom w:val="single" w:color="0091A8" w:sz="2"/>
          <w:right w:val="single" w:color="0091A8" w:sz="2"/>
          <w:insideH w:val="none"/>
          <w:insideV w:val="none"/>
        </w:tblBorders>
      </w:tblPr>
      <w:tblGrid>
        <w:gridCol w:w="9360"/>
      </w:tblGrid>
      <w:tr>
        <w:trPr>
          <w:cantSplit/>
        </w:trPr>
        <w:tc>
          <w:tcPr>
            <w:tcW w:type="dxa" w:w="9360"/>
            <w:shd w:fill="E9F3F5" w:val="clear"/>
            <w:tcMar>
              <w:top w:type="dxa" w:w="160"/>
              <w:left w:type="dxa" w:w="220"/>
              <w:bottom w:type="dxa" w:w="160"/>
              <w:right w:type="dxa" w:w="220"/>
            </w:tcMar>
          </w:tcPr>
          <w:p>
            <w:pPr>
              <w:spacing w:after="60"/>
            </w:pPr>
            <w:r>
              <w:rPr>
                <w:rFonts w:ascii="Calibri" w:cs="Calibri" w:eastAsia="Calibri" w:hAnsi="Calibri"/>
                <w:b/>
                <w:bCs/>
                <w:color w:val="00647A"/>
                <w:spacing w:val="30"/>
                <w:sz w:val="17"/>
                <w:szCs w:val="17"/>
              </w:rPr>
              <w:t xml:space="preserve">PRINCIPLE</w:t>
            </w:r>
          </w:p>
          <w:p>
            <w:r>
              <w:rPr>
                <w:rFonts w:ascii="Cambria" w:cs="Cambria" w:eastAsia="Cambria" w:hAnsi="Cambria"/>
                <w:color w:val="101820"/>
                <w:sz w:val="22"/>
                <w:szCs w:val="22"/>
              </w:rPr>
              <w:t xml:space="preserve">Credibility comes from traceability, not length. Every figure carries provenance. Every absence is stated, not hidden. The core report targets 40 to 55 pages; detail lives in the Data Book.</w:t>
            </w:r>
          </w:p>
        </w:tc>
      </w:tr>
    </w:tbl>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3. Strategic assessment</w:t>
      </w:r>
    </w:p>
    <w:p>
      <w:pPr>
        <w:pStyle w:val="Heading2"/>
        <w:keepNext/>
        <w:spacing w:after="120" w:before="300"/>
      </w:pPr>
      <w:r>
        <w:rPr>
          <w:rFonts w:ascii="Cambria" w:cs="Cambria" w:eastAsia="Cambria" w:hAnsi="Cambria"/>
          <w:b/>
          <w:bCs/>
          <w:color w:val="00647A"/>
          <w:sz w:val="25"/>
          <w:szCs w:val="25"/>
        </w:rPr>
        <w:t xml:space="preserve">3.1 The brief, challenged</w:t>
      </w:r>
    </w:p>
    <w:p>
      <w:pPr>
        <w:spacing w:after="140"/>
      </w:pPr>
      <w:r>
        <w:rPr>
          <w:rFonts w:ascii="Calibri" w:cs="Calibri" w:eastAsia="Calibri" w:hAnsi="Calibri"/>
          <w:color w:val="23282A"/>
          <w:sz w:val="21"/>
          <w:szCs w:val="21"/>
        </w:rPr>
        <w:t xml:space="preserve">The brief asks for output carrying the same weight as a published sustainability report. That is the wrong target and it will cost money to chase.</w:t>
      </w:r>
    </w:p>
    <w:p>
      <w:pPr>
        <w:spacing w:after="140"/>
      </w:pPr>
      <w:r>
        <w:rPr>
          <w:rFonts w:ascii="Calibri" w:cs="Calibri" w:eastAsia="Calibri" w:hAnsi="Calibri"/>
          <w:color w:val="23282A"/>
          <w:sz w:val="21"/>
          <w:szCs w:val="21"/>
        </w:rPr>
        <w:t xml:space="preserve">Those reports derive their weight from three things the toolkit cannot automate: multi-year data series, external assurance, and a named executive putting a reputation behind the document. Producing something that looks like one invites a comparison it loses, and it inherits the format's worst habit — treating length as a proxy for rigour.</w:t>
      </w:r>
    </w:p>
    <w:p>
      <w:pPr>
        <w:pStyle w:val="Heading2"/>
        <w:keepNext/>
        <w:spacing w:after="120" w:before="300"/>
      </w:pPr>
      <w:r>
        <w:rPr>
          <w:rFonts w:ascii="Cambria" w:cs="Cambria" w:eastAsia="Cambria" w:hAnsi="Cambria"/>
          <w:b/>
          <w:bCs/>
          <w:color w:val="00647A"/>
          <w:sz w:val="25"/>
          <w:szCs w:val="25"/>
        </w:rPr>
        <w:t xml:space="preserve">3.2 The stronger position</w:t>
      </w:r>
    </w:p>
    <w:p>
      <w:pPr>
        <w:spacing w:after="140"/>
      </w:pPr>
      <w:r>
        <w:rPr>
          <w:rFonts w:ascii="Calibri" w:cs="Calibri" w:eastAsia="Calibri" w:hAnsi="Calibri"/>
          <w:color w:val="23282A"/>
          <w:sz w:val="21"/>
          <w:szCs w:val="21"/>
        </w:rPr>
        <w:t xml:space="preserve">Position the output as an assurance-ready disclosure record. That claim is defensible, it is automatable, and it is what a CFO or company secretary needs as the ISSB adoption roadmap reaches large listed entities and cascades down their supply chains.</w:t>
      </w:r>
    </w:p>
    <w:p>
      <w:pPr>
        <w:spacing w:after="140"/>
      </w:pPr>
      <w:r>
        <w:rPr>
          <w:rFonts w:ascii="Calibri" w:cs="Calibri" w:eastAsia="Calibri" w:hAnsi="Calibri"/>
          <w:color w:val="23282A"/>
          <w:sz w:val="21"/>
          <w:szCs w:val="21"/>
        </w:rPr>
        <w:t xml:space="preserve">None of the four reference documents does traceability well. The JSE matrix comes closest, and it is a two-column index attached to a suite that does not carry it either. This is open ground.</w:t>
      </w:r>
    </w:p>
    <w:p>
      <w:pPr>
        <w:pStyle w:val="Heading2"/>
        <w:keepNext/>
        <w:spacing w:after="120" w:before="300"/>
      </w:pPr>
      <w:r>
        <w:rPr>
          <w:rFonts w:ascii="Cambria" w:cs="Cambria" w:eastAsia="Cambria" w:hAnsi="Cambria"/>
          <w:b/>
          <w:bCs/>
          <w:color w:val="00647A"/>
          <w:sz w:val="25"/>
          <w:szCs w:val="25"/>
        </w:rPr>
        <w:t xml:space="preserve">3.3 Commercial consequences</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2808"/>
        <w:gridCol w:w="6552"/>
      </w:tblGrid>
      <w:tr>
        <w:trPr>
          <w:cantSplit/>
          <w:tblHeader/>
        </w:trPr>
        <w:tc>
          <w:tcPr>
            <w:tcW w:type="dxa" w:w="280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Consequence</w:t>
            </w:r>
          </w:p>
        </w:tc>
        <w:tc>
          <w:tcPr>
            <w:tcW w:type="dxa" w:w="6552"/>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Why it matters</w:t>
            </w:r>
          </w:p>
        </w:tc>
      </w:tr>
      <w:tr>
        <w:trPr>
          <w:cantSplit/>
        </w:trPr>
        <w:tc>
          <w:tcPr>
            <w:tcW w:type="dxa" w:w="2808"/>
            <w:shd w:fill="FFFFFF" w:val="clear"/>
            <w:tcMar>
              <w:top w:type="dxa" w:w="90"/>
              <w:left w:type="dxa" w:w="130"/>
              <w:bottom w:type="dxa" w:w="90"/>
              <w:right w:type="dxa" w:w="130"/>
            </w:tcMar>
          </w:tcPr>
          <w:p>
            <w:r>
              <w:rPr>
                <w:rFonts w:ascii="Calibri" w:cs="Calibri" w:eastAsia="Calibri" w:hAnsi="Calibri"/>
                <w:color w:val="23282A"/>
                <w:sz w:val="19"/>
                <w:szCs w:val="19"/>
              </w:rPr>
              <w:t xml:space="preserve">The gap register is the product</w:t>
            </w:r>
          </w:p>
        </w:tc>
        <w:tc>
          <w:tcPr>
            <w:tcW w:type="dxa" w:w="6552"/>
            <w:shd w:fill="FFFFFF" w:val="clear"/>
            <w:tcMar>
              <w:top w:type="dxa" w:w="90"/>
              <w:left w:type="dxa" w:w="130"/>
              <w:bottom w:type="dxa" w:w="90"/>
              <w:right w:type="dxa" w:w="130"/>
            </w:tcMar>
          </w:tcPr>
          <w:p>
            <w:r>
              <w:rPr>
                <w:rFonts w:ascii="Calibri" w:cs="Calibri" w:eastAsia="Calibri" w:hAnsi="Calibri"/>
                <w:color w:val="23282A"/>
                <w:sz w:val="19"/>
                <w:szCs w:val="19"/>
              </w:rPr>
              <w:t xml:space="preserve">Every unpopulated metric becomes a named remediation item with an effort and cost band. The report generates its own follow-on sale.</w:t>
            </w:r>
          </w:p>
        </w:tc>
      </w:tr>
      <w:tr>
        <w:trPr>
          <w:cantSplit/>
        </w:trPr>
        <w:tc>
          <w:tcPr>
            <w:tcW w:type="dxa" w:w="2808"/>
            <w:shd w:fill="F4F8F9" w:val="clear"/>
            <w:tcMar>
              <w:top w:type="dxa" w:w="90"/>
              <w:left w:type="dxa" w:w="130"/>
              <w:bottom w:type="dxa" w:w="90"/>
              <w:right w:type="dxa" w:w="130"/>
            </w:tcMar>
          </w:tcPr>
          <w:p>
            <w:r>
              <w:rPr>
                <w:rFonts w:ascii="Calibri" w:cs="Calibri" w:eastAsia="Calibri" w:hAnsi="Calibri"/>
                <w:color w:val="23282A"/>
                <w:sz w:val="19"/>
                <w:szCs w:val="19"/>
              </w:rPr>
              <w:t xml:space="preserve">The regulatory horizon is the moat</w:t>
            </w:r>
          </w:p>
        </w:tc>
        <w:tc>
          <w:tcPr>
            <w:tcW w:type="dxa" w:w="6552"/>
            <w:shd w:fill="F4F8F9" w:val="clear"/>
            <w:tcMar>
              <w:top w:type="dxa" w:w="90"/>
              <w:left w:type="dxa" w:w="130"/>
              <w:bottom w:type="dxa" w:w="90"/>
              <w:right w:type="dxa" w:w="130"/>
            </w:tcMar>
          </w:tcPr>
          <w:p>
            <w:r>
              <w:rPr>
                <w:rFonts w:ascii="Calibri" w:cs="Calibri" w:eastAsia="Calibri" w:hAnsi="Calibri"/>
                <w:color w:val="23282A"/>
                <w:sz w:val="19"/>
                <w:szCs w:val="19"/>
              </w:rPr>
              <w:t xml:space="preserve">A global reporting house will not write a South African compliance calendar. Okiru's transformation and compliance base already produces one.</w:t>
            </w:r>
          </w:p>
        </w:tc>
      </w:tr>
      <w:tr>
        <w:trPr>
          <w:cantSplit/>
        </w:trPr>
        <w:tc>
          <w:tcPr>
            <w:tcW w:type="dxa" w:w="2808"/>
            <w:shd w:fill="FFFFFF" w:val="clear"/>
            <w:tcMar>
              <w:top w:type="dxa" w:w="90"/>
              <w:left w:type="dxa" w:w="130"/>
              <w:bottom w:type="dxa" w:w="90"/>
              <w:right w:type="dxa" w:w="130"/>
            </w:tcMar>
          </w:tcPr>
          <w:p>
            <w:r>
              <w:rPr>
                <w:rFonts w:ascii="Calibri" w:cs="Calibri" w:eastAsia="Calibri" w:hAnsi="Calibri"/>
                <w:color w:val="23282A"/>
                <w:sz w:val="19"/>
                <w:szCs w:val="19"/>
              </w:rPr>
              <w:t xml:space="preserve">The Social and Ethics Committee report bundles free</w:t>
            </w:r>
          </w:p>
        </w:tc>
        <w:tc>
          <w:tcPr>
            <w:tcW w:type="dxa" w:w="6552"/>
            <w:shd w:fill="FFFFFF" w:val="clear"/>
            <w:tcMar>
              <w:top w:type="dxa" w:w="90"/>
              <w:left w:type="dxa" w:w="130"/>
              <w:bottom w:type="dxa" w:w="90"/>
              <w:right w:type="dxa" w:w="130"/>
            </w:tcMar>
          </w:tcPr>
          <w:p>
            <w:r>
              <w:rPr>
                <w:rFonts w:ascii="Calibri" w:cs="Calibri" w:eastAsia="Calibri" w:hAnsi="Calibri"/>
                <w:color w:val="23282A"/>
                <w:sz w:val="19"/>
                <w:szCs w:val="19"/>
              </w:rPr>
              <w:t xml:space="preserve">Companies Act Regulation 43 makes it compulsory for much of the target market. It draws on the same spine and has its own buyer and its own deadline.</w:t>
            </w:r>
          </w:p>
        </w:tc>
      </w:tr>
    </w:tbl>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4. Architecture</w:t>
      </w:r>
    </w:p>
    <w:p>
      <w:pPr>
        <w:pStyle w:val="Heading2"/>
        <w:keepNext/>
        <w:spacing w:after="120" w:before="300"/>
      </w:pPr>
      <w:r>
        <w:rPr>
          <w:rFonts w:ascii="Cambria" w:cs="Cambria" w:eastAsia="Cambria" w:hAnsi="Cambria"/>
          <w:b/>
          <w:bCs/>
          <w:color w:val="00647A"/>
          <w:sz w:val="25"/>
          <w:szCs w:val="25"/>
        </w:rPr>
        <w:t xml:space="preserve">4.1 One spine, four renderings</w:t>
      </w:r>
    </w:p>
    <w:p>
      <w:pPr>
        <w:spacing w:after="140"/>
      </w:pPr>
      <w:r>
        <w:rPr>
          <w:rFonts w:ascii="Calibri" w:cs="Calibri" w:eastAsia="Calibri" w:hAnsi="Calibri"/>
          <w:color w:val="23282A"/>
          <w:sz w:val="21"/>
          <w:szCs w:val="21"/>
        </w:rPr>
        <w:t xml:space="preserve">Build one data spine and filter it. Renderings B, C and D cost almost nothing once the spine exists and each is separately priceable.</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2808"/>
        <w:gridCol w:w="6552"/>
      </w:tblGrid>
      <w:tr>
        <w:trPr>
          <w:cantSplit/>
          <w:tblHeader/>
        </w:trPr>
        <w:tc>
          <w:tcPr>
            <w:tcW w:type="dxa" w:w="280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Component</w:t>
            </w:r>
          </w:p>
        </w:tc>
        <w:tc>
          <w:tcPr>
            <w:tcW w:type="dxa" w:w="6552"/>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Contents</w:t>
            </w:r>
          </w:p>
        </w:tc>
      </w:tr>
      <w:tr>
        <w:trPr>
          <w:cantSplit/>
        </w:trPr>
        <w:tc>
          <w:tcPr>
            <w:tcW w:type="dxa" w:w="2808"/>
            <w:shd w:fill="FFFFFF" w:val="clear"/>
            <w:tcMar>
              <w:top w:type="dxa" w:w="90"/>
              <w:left w:type="dxa" w:w="130"/>
              <w:bottom w:type="dxa" w:w="90"/>
              <w:right w:type="dxa" w:w="130"/>
            </w:tcMar>
          </w:tcPr>
          <w:p>
            <w:r>
              <w:rPr>
                <w:rFonts w:ascii="Calibri" w:cs="Calibri" w:eastAsia="Calibri" w:hAnsi="Calibri"/>
                <w:color w:val="23282A"/>
                <w:sz w:val="19"/>
                <w:szCs w:val="19"/>
              </w:rPr>
              <w:t xml:space="preserve">Data spine</w:t>
            </w:r>
          </w:p>
        </w:tc>
        <w:tc>
          <w:tcPr>
            <w:tcW w:type="dxa" w:w="6552"/>
            <w:shd w:fill="FFFFFF" w:val="clear"/>
            <w:tcMar>
              <w:top w:type="dxa" w:w="90"/>
              <w:left w:type="dxa" w:w="130"/>
              <w:bottom w:type="dxa" w:w="90"/>
              <w:right w:type="dxa" w:w="130"/>
            </w:tcMar>
          </w:tcPr>
          <w:p>
            <w:r>
              <w:rPr>
                <w:rFonts w:ascii="Calibri" w:cs="Calibri" w:eastAsia="Calibri" w:hAnsi="Calibri"/>
                <w:color w:val="23282A"/>
                <w:sz w:val="19"/>
                <w:szCs w:val="19"/>
              </w:rPr>
              <w:t xml:space="preserve">Metric register (one row per metric, period and boundary), evidence register, narrative-block library, framework cross-walk table</w:t>
            </w:r>
          </w:p>
        </w:tc>
      </w:tr>
      <w:tr>
        <w:trPr>
          <w:cantSplit/>
        </w:trPr>
        <w:tc>
          <w:tcPr>
            <w:tcW w:type="dxa" w:w="2808"/>
            <w:shd w:fill="F4F8F9" w:val="clear"/>
            <w:tcMar>
              <w:top w:type="dxa" w:w="90"/>
              <w:left w:type="dxa" w:w="130"/>
              <w:bottom w:type="dxa" w:w="90"/>
              <w:right w:type="dxa" w:w="130"/>
            </w:tcMar>
          </w:tcPr>
          <w:p>
            <w:r>
              <w:rPr>
                <w:rFonts w:ascii="Calibri" w:cs="Calibri" w:eastAsia="Calibri" w:hAnsi="Calibri"/>
                <w:color w:val="23282A"/>
                <w:sz w:val="19"/>
                <w:szCs w:val="19"/>
              </w:rPr>
              <w:t xml:space="preserve">Rendering A — Disclosure Pack</w:t>
            </w:r>
          </w:p>
        </w:tc>
        <w:tc>
          <w:tcPr>
            <w:tcW w:type="dxa" w:w="6552"/>
            <w:shd w:fill="F4F8F9" w:val="clear"/>
            <w:tcMar>
              <w:top w:type="dxa" w:w="90"/>
              <w:left w:type="dxa" w:w="130"/>
              <w:bottom w:type="dxa" w:w="90"/>
              <w:right w:type="dxa" w:w="130"/>
            </w:tcMar>
          </w:tcPr>
          <w:p>
            <w:r>
              <w:rPr>
                <w:rFonts w:ascii="Calibri" w:cs="Calibri" w:eastAsia="Calibri" w:hAnsi="Calibri"/>
                <w:color w:val="23282A"/>
                <w:sz w:val="19"/>
                <w:szCs w:val="19"/>
              </w:rPr>
              <w:t xml:space="preserve">The full report. Compliance buyer: company secretary, CFO, sustainability lead</w:t>
            </w:r>
          </w:p>
        </w:tc>
      </w:tr>
      <w:tr>
        <w:trPr>
          <w:cantSplit/>
        </w:trPr>
        <w:tc>
          <w:tcPr>
            <w:tcW w:type="dxa" w:w="2808"/>
            <w:shd w:fill="FFFFFF" w:val="clear"/>
            <w:tcMar>
              <w:top w:type="dxa" w:w="90"/>
              <w:left w:type="dxa" w:w="130"/>
              <w:bottom w:type="dxa" w:w="90"/>
              <w:right w:type="dxa" w:w="130"/>
            </w:tcMar>
          </w:tcPr>
          <w:p>
            <w:r>
              <w:rPr>
                <w:rFonts w:ascii="Calibri" w:cs="Calibri" w:eastAsia="Calibri" w:hAnsi="Calibri"/>
                <w:color w:val="23282A"/>
                <w:sz w:val="19"/>
                <w:szCs w:val="19"/>
              </w:rPr>
              <w:t xml:space="preserve">Rendering B — Board Strategy Pack</w:t>
            </w:r>
          </w:p>
        </w:tc>
        <w:tc>
          <w:tcPr>
            <w:tcW w:type="dxa" w:w="6552"/>
            <w:shd w:fill="FFFFFF" w:val="clear"/>
            <w:tcMar>
              <w:top w:type="dxa" w:w="90"/>
              <w:left w:type="dxa" w:w="130"/>
              <w:bottom w:type="dxa" w:w="90"/>
              <w:right w:type="dxa" w:w="130"/>
            </w:tcMar>
          </w:tcPr>
          <w:p>
            <w:r>
              <w:rPr>
                <w:rFonts w:ascii="Calibri" w:cs="Calibri" w:eastAsia="Calibri" w:hAnsi="Calibri"/>
                <w:color w:val="23282A"/>
                <w:sz w:val="19"/>
                <w:szCs w:val="19"/>
              </w:rPr>
              <w:t xml:space="preserve">12 to 18 pages. Score, materiality, gaps, decisions required, roadmap</w:t>
            </w:r>
          </w:p>
        </w:tc>
      </w:tr>
      <w:tr>
        <w:trPr>
          <w:cantSplit/>
        </w:trPr>
        <w:tc>
          <w:tcPr>
            <w:tcW w:type="dxa" w:w="2808"/>
            <w:shd w:fill="F4F8F9" w:val="clear"/>
            <w:tcMar>
              <w:top w:type="dxa" w:w="90"/>
              <w:left w:type="dxa" w:w="130"/>
              <w:bottom w:type="dxa" w:w="90"/>
              <w:right w:type="dxa" w:w="130"/>
            </w:tcMar>
          </w:tcPr>
          <w:p>
            <w:r>
              <w:rPr>
                <w:rFonts w:ascii="Calibri" w:cs="Calibri" w:eastAsia="Calibri" w:hAnsi="Calibri"/>
                <w:color w:val="23282A"/>
                <w:sz w:val="19"/>
                <w:szCs w:val="19"/>
              </w:rPr>
              <w:t xml:space="preserve">Rendering C — Stakeholder One-Pager</w:t>
            </w:r>
          </w:p>
        </w:tc>
        <w:tc>
          <w:tcPr>
            <w:tcW w:type="dxa" w:w="6552"/>
            <w:shd w:fill="F4F8F9" w:val="clear"/>
            <w:tcMar>
              <w:top w:type="dxa" w:w="90"/>
              <w:left w:type="dxa" w:w="130"/>
              <w:bottom w:type="dxa" w:w="90"/>
              <w:right w:type="dxa" w:w="130"/>
            </w:tcMar>
          </w:tcPr>
          <w:p>
            <w:r>
              <w:rPr>
                <w:rFonts w:ascii="Calibri" w:cs="Calibri" w:eastAsia="Calibri" w:hAnsi="Calibri"/>
                <w:color w:val="23282A"/>
                <w:sz w:val="19"/>
                <w:szCs w:val="19"/>
              </w:rPr>
              <w:t xml:space="preserve">Supply-chain ESG questionnaires, tender annexures, customer due diligence</w:t>
            </w:r>
          </w:p>
        </w:tc>
      </w:tr>
      <w:tr>
        <w:trPr>
          <w:cantSplit/>
        </w:trPr>
        <w:tc>
          <w:tcPr>
            <w:tcW w:type="dxa" w:w="2808"/>
            <w:shd w:fill="FFFFFF" w:val="clear"/>
            <w:tcMar>
              <w:top w:type="dxa" w:w="90"/>
              <w:left w:type="dxa" w:w="130"/>
              <w:bottom w:type="dxa" w:w="90"/>
              <w:right w:type="dxa" w:w="130"/>
            </w:tcMar>
          </w:tcPr>
          <w:p>
            <w:r>
              <w:rPr>
                <w:rFonts w:ascii="Calibri" w:cs="Calibri" w:eastAsia="Calibri" w:hAnsi="Calibri"/>
                <w:color w:val="23282A"/>
                <w:sz w:val="19"/>
                <w:szCs w:val="19"/>
              </w:rPr>
              <w:t xml:space="preserve">Rendering D — Data Book</w:t>
            </w:r>
          </w:p>
        </w:tc>
        <w:tc>
          <w:tcPr>
            <w:tcW w:type="dxa" w:w="6552"/>
            <w:shd w:fill="FFFFFF" w:val="clear"/>
            <w:tcMar>
              <w:top w:type="dxa" w:w="90"/>
              <w:left w:type="dxa" w:w="130"/>
              <w:bottom w:type="dxa" w:w="90"/>
              <w:right w:type="dxa" w:w="130"/>
            </w:tcMar>
          </w:tcPr>
          <w:p>
            <w:r>
              <w:rPr>
                <w:rFonts w:ascii="Calibri" w:cs="Calibri" w:eastAsia="Calibri" w:hAnsi="Calibri"/>
                <w:color w:val="23282A"/>
                <w:sz w:val="19"/>
                <w:szCs w:val="19"/>
              </w:rPr>
              <w:t xml:space="preserve">Appendix workbook. Full metric register, calculations, emission factors, restatements</w:t>
            </w:r>
          </w:p>
        </w:tc>
      </w:tr>
    </w:tbl>
    <w:p>
      <w:pPr>
        <w:spacing w:after="160"/>
      </w:pPr>
    </w:p>
    <w:p>
      <w:pPr>
        <w:pStyle w:val="Heading2"/>
        <w:keepNext/>
        <w:spacing w:after="120" w:before="300"/>
      </w:pPr>
      <w:r>
        <w:rPr>
          <w:rFonts w:ascii="Cambria" w:cs="Cambria" w:eastAsia="Cambria" w:hAnsi="Cambria"/>
          <w:b/>
          <w:bCs/>
          <w:color w:val="00647A"/>
          <w:sz w:val="25"/>
          <w:szCs w:val="25"/>
        </w:rPr>
        <w:t xml:space="preserve">4.2 Framework cross-walk</w:t>
      </w:r>
    </w:p>
    <w:p>
      <w:pPr>
        <w:spacing w:after="140"/>
      </w:pPr>
      <w:r>
        <w:rPr>
          <w:rFonts w:ascii="Calibri" w:cs="Calibri" w:eastAsia="Calibri" w:hAnsi="Calibri"/>
          <w:color w:val="23282A"/>
          <w:sz w:val="21"/>
          <w:szCs w:val="21"/>
        </w:rPr>
        <w:t xml:space="preserve">The cross-walk lives in a versioned reference table outside the template. It is never hard-coded into report sections.</w:t>
      </w:r>
    </w:p>
    <w:p>
      <w:pPr>
        <w:spacing w:after="140"/>
      </w:pPr>
      <w:r>
        <w:rPr>
          <w:rFonts w:ascii="Calibri" w:cs="Calibri" w:eastAsia="Calibri" w:hAnsi="Calibri"/>
          <w:color w:val="23282A"/>
          <w:sz w:val="21"/>
          <w:szCs w:val="21"/>
        </w:rPr>
        <w:t xml:space="preserve">The spine taxonomy is the JSE Sustainability and Climate Change Disclosure Guidance topic and sub-topic tree. It is South African native and already tiered Core and Leadership.</w:t>
      </w:r>
    </w:p>
    <w:p>
      <w:pPr>
        <w:spacing w:after="140"/>
      </w:pPr>
      <w:r>
        <w:rPr>
          <w:rFonts w:ascii="Calibri" w:cs="Calibri" w:eastAsia="Calibri" w:hAnsi="Calibri"/>
          <w:color w:val="23282A"/>
          <w:sz w:val="21"/>
          <w:szCs w:val="21"/>
        </w:rPr>
        <w:t xml:space="preserve">Cross-walk columns:</w:t>
      </w:r>
    </w:p>
    <w:p>
      <w:pPr>
        <w:spacing w:after="140"/>
      </w:pPr>
      <w:r>
        <w:rPr>
          <w:rFonts w:ascii="Courier New" w:cs="Courier New" w:eastAsia="Courier New" w:hAnsi="Courier New"/>
          <w:color w:val="101820"/>
          <w:sz w:val="18"/>
          <w:szCs w:val="18"/>
        </w:rPr>
        <w:t xml:space="preserve">jse_topic | jse_subtopic | jse_tier (C/L) | ifrs_s1_ref | ifrs_s2_ref | gri_ref | amended_fsc_element | ee_or_sd_link | sdg | carbon_tax_relevance | version | effective_from</w:t>
      </w:r>
    </w:p>
    <w:p>
      <w:pPr>
        <w:spacing w:after="140"/>
      </w:pPr>
      <w:r>
        <w:rPr>
          <w:rFonts w:ascii="Calibri" w:cs="Calibri" w:eastAsia="Calibri" w:hAnsi="Calibri"/>
          <w:color w:val="23282A"/>
          <w:sz w:val="21"/>
          <w:szCs w:val="21"/>
        </w:rPr>
        <w:t xml:space="preserve">Every framework update creates a new table version. Each report records the version it was generated against.</w:t>
      </w:r>
    </w:p>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5. Metric data schema</w:t>
      </w:r>
    </w:p>
    <w:p>
      <w:pPr>
        <w:spacing w:after="140"/>
      </w:pPr>
      <w:r>
        <w:rPr>
          <w:rFonts w:ascii="Calibri" w:cs="Calibri" w:eastAsia="Calibri" w:hAnsi="Calibri"/>
          <w:color w:val="23282A"/>
          <w:sz w:val="21"/>
          <w:szCs w:val="21"/>
        </w:rPr>
        <w:t xml:space="preserve">Every metric in the spine carries the fields below. This schema makes the output assurance-ready and is the single most important design decision in the product. It is expensive to retrofit, so lock it early.</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2434"/>
        <w:gridCol w:w="1872"/>
        <w:gridCol w:w="5054"/>
      </w:tblGrid>
      <w:tr>
        <w:trPr>
          <w:cantSplit/>
          <w:tblHeader/>
        </w:trPr>
        <w:tc>
          <w:tcPr>
            <w:tcW w:type="dxa" w:w="2434"/>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Field</w:t>
            </w:r>
          </w:p>
        </w:tc>
        <w:tc>
          <w:tcPr>
            <w:tcW w:type="dxa" w:w="1872"/>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Type</w:t>
            </w:r>
          </w:p>
        </w:tc>
        <w:tc>
          <w:tcPr>
            <w:tcW w:type="dxa" w:w="5054"/>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Notes</w:t>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metric_id</w:t>
            </w:r>
          </w:p>
        </w:tc>
        <w:tc>
          <w:tcPr>
            <w:tcW w:type="dxa" w:w="1872"/>
            <w:shd w:fill="FFFFFF" w:val="clear"/>
            <w:tcMar>
              <w:top w:type="dxa" w:w="90"/>
              <w:left w:type="dxa" w:w="130"/>
              <w:bottom w:type="dxa" w:w="90"/>
              <w:right w:type="dxa" w:w="130"/>
            </w:tcMar>
          </w:tcPr>
          <w:p>
            <w:r>
              <w:rPr>
                <w:rFonts w:ascii="Calibri" w:cs="Calibri" w:eastAsia="Calibri" w:hAnsi="Calibri"/>
                <w:color w:val="23282A"/>
                <w:sz w:val="19"/>
                <w:szCs w:val="19"/>
              </w:rPr>
              <w:t xml:space="preserve">string</w:t>
            </w:r>
          </w:p>
        </w:tc>
        <w:tc>
          <w:tcPr>
            <w:tcW w:type="dxa" w:w="5054"/>
            <w:shd w:fill="FFFFFF" w:val="clear"/>
            <w:tcMar>
              <w:top w:type="dxa" w:w="90"/>
              <w:left w:type="dxa" w:w="130"/>
              <w:bottom w:type="dxa" w:w="90"/>
              <w:right w:type="dxa" w:w="130"/>
            </w:tcMar>
          </w:tcPr>
          <w:p>
            <w:r>
              <w:rPr>
                <w:rFonts w:ascii="Calibri" w:cs="Calibri" w:eastAsia="Calibri" w:hAnsi="Calibri"/>
                <w:color w:val="23282A"/>
                <w:sz w:val="19"/>
                <w:szCs w:val="19"/>
              </w:rPr>
              <w:t xml:space="preserve">Stable across years</w:t>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topic / subtopic</w:t>
            </w:r>
          </w:p>
        </w:tc>
        <w:tc>
          <w:tcPr>
            <w:tcW w:type="dxa" w:w="1872"/>
            <w:shd w:fill="F4F8F9" w:val="clear"/>
            <w:tcMar>
              <w:top w:type="dxa" w:w="90"/>
              <w:left w:type="dxa" w:w="130"/>
              <w:bottom w:type="dxa" w:w="90"/>
              <w:right w:type="dxa" w:w="130"/>
            </w:tcMar>
          </w:tcPr>
          <w:p>
            <w:r>
              <w:rPr>
                <w:rFonts w:ascii="Calibri" w:cs="Calibri" w:eastAsia="Calibri" w:hAnsi="Calibri"/>
                <w:color w:val="23282A"/>
                <w:sz w:val="19"/>
                <w:szCs w:val="19"/>
              </w:rPr>
              <w:t xml:space="preserve">string</w:t>
            </w:r>
          </w:p>
        </w:tc>
        <w:tc>
          <w:tcPr>
            <w:tcW w:type="dxa" w:w="5054"/>
            <w:shd w:fill="F4F8F9" w:val="clear"/>
            <w:tcMar>
              <w:top w:type="dxa" w:w="90"/>
              <w:left w:type="dxa" w:w="130"/>
              <w:bottom w:type="dxa" w:w="90"/>
              <w:right w:type="dxa" w:w="130"/>
            </w:tcMar>
          </w:tcPr>
          <w:p>
            <w:r>
              <w:rPr>
                <w:rFonts w:ascii="Calibri" w:cs="Calibri" w:eastAsia="Calibri" w:hAnsi="Calibri"/>
                <w:color w:val="23282A"/>
                <w:sz w:val="19"/>
                <w:szCs w:val="19"/>
              </w:rPr>
              <w:t xml:space="preserve">From the JSE taxonomy</w:t>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tier</w:t>
            </w:r>
          </w:p>
        </w:tc>
        <w:tc>
          <w:tcPr>
            <w:tcW w:type="dxa" w:w="1872"/>
            <w:shd w:fill="FFFFFF" w:val="clear"/>
            <w:tcMar>
              <w:top w:type="dxa" w:w="90"/>
              <w:left w:type="dxa" w:w="130"/>
              <w:bottom w:type="dxa" w:w="90"/>
              <w:right w:type="dxa" w:w="130"/>
            </w:tcMar>
          </w:tcPr>
          <w:p>
            <w:r>
              <w:rPr>
                <w:rFonts w:ascii="Calibri" w:cs="Calibri" w:eastAsia="Calibri" w:hAnsi="Calibri"/>
                <w:color w:val="23282A"/>
                <w:sz w:val="19"/>
                <w:szCs w:val="19"/>
              </w:rPr>
              <w:t xml:space="preserve">enum</w:t>
            </w:r>
          </w:p>
        </w:tc>
        <w:tc>
          <w:tcPr>
            <w:tcW w:type="dxa" w:w="5054"/>
            <w:shd w:fill="FFFFFF" w:val="clear"/>
            <w:tcMar>
              <w:top w:type="dxa" w:w="90"/>
              <w:left w:type="dxa" w:w="130"/>
              <w:bottom w:type="dxa" w:w="90"/>
              <w:right w:type="dxa" w:w="130"/>
            </w:tcMar>
          </w:tcPr>
          <w:p>
            <w:r>
              <w:rPr>
                <w:rFonts w:ascii="Calibri" w:cs="Calibri" w:eastAsia="Calibri" w:hAnsi="Calibri"/>
                <w:color w:val="23282A"/>
                <w:sz w:val="19"/>
                <w:szCs w:val="19"/>
              </w:rPr>
              <w:t xml:space="preserve">Core / Leadership</w:t>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metric_name</w:t>
            </w:r>
          </w:p>
        </w:tc>
        <w:tc>
          <w:tcPr>
            <w:tcW w:type="dxa" w:w="1872"/>
            <w:shd w:fill="F4F8F9" w:val="clear"/>
            <w:tcMar>
              <w:top w:type="dxa" w:w="90"/>
              <w:left w:type="dxa" w:w="130"/>
              <w:bottom w:type="dxa" w:w="90"/>
              <w:right w:type="dxa" w:w="130"/>
            </w:tcMar>
          </w:tcPr>
          <w:p>
            <w:r>
              <w:rPr>
                <w:rFonts w:ascii="Calibri" w:cs="Calibri" w:eastAsia="Calibri" w:hAnsi="Calibri"/>
                <w:color w:val="23282A"/>
                <w:sz w:val="19"/>
                <w:szCs w:val="19"/>
              </w:rPr>
              <w:t xml:space="preserve">string</w:t>
            </w:r>
          </w:p>
        </w:tc>
        <w:tc>
          <w:tcPr>
            <w:tcW w:type="dxa" w:w="5054"/>
            <w:shd w:fill="F4F8F9" w:val="clear"/>
            <w:tcMar>
              <w:top w:type="dxa" w:w="90"/>
              <w:left w:type="dxa" w:w="130"/>
              <w:bottom w:type="dxa" w:w="90"/>
              <w:right w:type="dxa" w:w="130"/>
            </w:tcMar>
          </w:tcPr>
          <w:p>
            <w:r>
              <w:rPr>
                <w:rFonts w:ascii="Calibri" w:cs="Calibri" w:eastAsia="Calibri" w:hAnsi="Calibri"/>
                <w:color w:val="23282A"/>
                <w:sz w:val="19"/>
                <w:szCs w:val="19"/>
              </w:rPr>
              <w:t xml:space="preserve"/>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value</w:t>
            </w:r>
          </w:p>
        </w:tc>
        <w:tc>
          <w:tcPr>
            <w:tcW w:type="dxa" w:w="1872"/>
            <w:shd w:fill="FFFFFF" w:val="clear"/>
            <w:tcMar>
              <w:top w:type="dxa" w:w="90"/>
              <w:left w:type="dxa" w:w="130"/>
              <w:bottom w:type="dxa" w:w="90"/>
              <w:right w:type="dxa" w:w="130"/>
            </w:tcMar>
          </w:tcPr>
          <w:p>
            <w:r>
              <w:rPr>
                <w:rFonts w:ascii="Calibri" w:cs="Calibri" w:eastAsia="Calibri" w:hAnsi="Calibri"/>
                <w:color w:val="23282A"/>
                <w:sz w:val="19"/>
                <w:szCs w:val="19"/>
              </w:rPr>
              <w:t xml:space="preserve">numeric or text</w:t>
            </w:r>
          </w:p>
        </w:tc>
        <w:tc>
          <w:tcPr>
            <w:tcW w:type="dxa" w:w="5054"/>
            <w:shd w:fill="FFFFFF" w:val="clear"/>
            <w:tcMar>
              <w:top w:type="dxa" w:w="90"/>
              <w:left w:type="dxa" w:w="130"/>
              <w:bottom w:type="dxa" w:w="90"/>
              <w:right w:type="dxa" w:w="130"/>
            </w:tcMar>
          </w:tcPr>
          <w:p>
            <w:r>
              <w:rPr>
                <w:rFonts w:ascii="Calibri" w:cs="Calibri" w:eastAsia="Calibri" w:hAnsi="Calibri"/>
                <w:color w:val="23282A"/>
                <w:sz w:val="19"/>
                <w:szCs w:val="19"/>
              </w:rPr>
              <w:t xml:space="preserve"/>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unit</w:t>
            </w:r>
          </w:p>
        </w:tc>
        <w:tc>
          <w:tcPr>
            <w:tcW w:type="dxa" w:w="1872"/>
            <w:shd w:fill="F4F8F9" w:val="clear"/>
            <w:tcMar>
              <w:top w:type="dxa" w:w="90"/>
              <w:left w:type="dxa" w:w="130"/>
              <w:bottom w:type="dxa" w:w="90"/>
              <w:right w:type="dxa" w:w="130"/>
            </w:tcMar>
          </w:tcPr>
          <w:p>
            <w:r>
              <w:rPr>
                <w:rFonts w:ascii="Calibri" w:cs="Calibri" w:eastAsia="Calibri" w:hAnsi="Calibri"/>
                <w:color w:val="23282A"/>
                <w:sz w:val="19"/>
                <w:szCs w:val="19"/>
              </w:rPr>
              <w:t xml:space="preserve">string</w:t>
            </w:r>
          </w:p>
        </w:tc>
        <w:tc>
          <w:tcPr>
            <w:tcW w:type="dxa" w:w="5054"/>
            <w:shd w:fill="F4F8F9" w:val="clear"/>
            <w:tcMar>
              <w:top w:type="dxa" w:w="90"/>
              <w:left w:type="dxa" w:w="130"/>
              <w:bottom w:type="dxa" w:w="90"/>
              <w:right w:type="dxa" w:w="130"/>
            </w:tcMar>
          </w:tcPr>
          <w:p>
            <w:r>
              <w:rPr>
                <w:rFonts w:ascii="Calibri" w:cs="Calibri" w:eastAsia="Calibri" w:hAnsi="Calibri"/>
                <w:color w:val="23282A"/>
                <w:sz w:val="19"/>
                <w:szCs w:val="19"/>
              </w:rPr>
              <w:t xml:space="preserve">Controlled vocabulary</w:t>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period_start / period_end</w:t>
            </w:r>
          </w:p>
        </w:tc>
        <w:tc>
          <w:tcPr>
            <w:tcW w:type="dxa" w:w="1872"/>
            <w:shd w:fill="FFFFFF" w:val="clear"/>
            <w:tcMar>
              <w:top w:type="dxa" w:w="90"/>
              <w:left w:type="dxa" w:w="130"/>
              <w:bottom w:type="dxa" w:w="90"/>
              <w:right w:type="dxa" w:w="130"/>
            </w:tcMar>
          </w:tcPr>
          <w:p>
            <w:r>
              <w:rPr>
                <w:rFonts w:ascii="Calibri" w:cs="Calibri" w:eastAsia="Calibri" w:hAnsi="Calibri"/>
                <w:color w:val="23282A"/>
                <w:sz w:val="19"/>
                <w:szCs w:val="19"/>
              </w:rPr>
              <w:t xml:space="preserve">date</w:t>
            </w:r>
          </w:p>
        </w:tc>
        <w:tc>
          <w:tcPr>
            <w:tcW w:type="dxa" w:w="5054"/>
            <w:shd w:fill="FFFFFF" w:val="clear"/>
            <w:tcMar>
              <w:top w:type="dxa" w:w="90"/>
              <w:left w:type="dxa" w:w="130"/>
              <w:bottom w:type="dxa" w:w="90"/>
              <w:right w:type="dxa" w:w="130"/>
            </w:tcMar>
          </w:tcPr>
          <w:p>
            <w:r>
              <w:rPr>
                <w:rFonts w:ascii="Calibri" w:cs="Calibri" w:eastAsia="Calibri" w:hAnsi="Calibri"/>
                <w:color w:val="23282A"/>
                <w:sz w:val="19"/>
                <w:szCs w:val="19"/>
              </w:rPr>
              <w:t xml:space="preserve"/>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boundary</w:t>
            </w:r>
          </w:p>
        </w:tc>
        <w:tc>
          <w:tcPr>
            <w:tcW w:type="dxa" w:w="1872"/>
            <w:shd w:fill="F4F8F9" w:val="clear"/>
            <w:tcMar>
              <w:top w:type="dxa" w:w="90"/>
              <w:left w:type="dxa" w:w="130"/>
              <w:bottom w:type="dxa" w:w="90"/>
              <w:right w:type="dxa" w:w="130"/>
            </w:tcMar>
          </w:tcPr>
          <w:p>
            <w:r>
              <w:rPr>
                <w:rFonts w:ascii="Calibri" w:cs="Calibri" w:eastAsia="Calibri" w:hAnsi="Calibri"/>
                <w:color w:val="23282A"/>
                <w:sz w:val="19"/>
                <w:szCs w:val="19"/>
              </w:rPr>
              <w:t xml:space="preserve">enum</w:t>
            </w:r>
          </w:p>
        </w:tc>
        <w:tc>
          <w:tcPr>
            <w:tcW w:type="dxa" w:w="5054"/>
            <w:shd w:fill="F4F8F9" w:val="clear"/>
            <w:tcMar>
              <w:top w:type="dxa" w:w="90"/>
              <w:left w:type="dxa" w:w="130"/>
              <w:bottom w:type="dxa" w:w="90"/>
              <w:right w:type="dxa" w:w="130"/>
            </w:tcMar>
          </w:tcPr>
          <w:p>
            <w:r>
              <w:rPr>
                <w:rFonts w:ascii="Calibri" w:cs="Calibri" w:eastAsia="Calibri" w:hAnsi="Calibri"/>
                <w:color w:val="23282A"/>
                <w:sz w:val="19"/>
                <w:szCs w:val="19"/>
              </w:rPr>
              <w:t xml:space="preserve">Operational control / financial control / equity share</w:t>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entities_included</w:t>
            </w:r>
          </w:p>
        </w:tc>
        <w:tc>
          <w:tcPr>
            <w:tcW w:type="dxa" w:w="1872"/>
            <w:shd w:fill="FFFFFF" w:val="clear"/>
            <w:tcMar>
              <w:top w:type="dxa" w:w="90"/>
              <w:left w:type="dxa" w:w="130"/>
              <w:bottom w:type="dxa" w:w="90"/>
              <w:right w:type="dxa" w:w="130"/>
            </w:tcMar>
          </w:tcPr>
          <w:p>
            <w:r>
              <w:rPr>
                <w:rFonts w:ascii="Calibri" w:cs="Calibri" w:eastAsia="Calibri" w:hAnsi="Calibri"/>
                <w:color w:val="23282A"/>
                <w:sz w:val="19"/>
                <w:szCs w:val="19"/>
              </w:rPr>
              <w:t xml:space="preserve">list</w:t>
            </w:r>
          </w:p>
        </w:tc>
        <w:tc>
          <w:tcPr>
            <w:tcW w:type="dxa" w:w="5054"/>
            <w:shd w:fill="FFFFFF" w:val="clear"/>
            <w:tcMar>
              <w:top w:type="dxa" w:w="90"/>
              <w:left w:type="dxa" w:w="130"/>
              <w:bottom w:type="dxa" w:w="90"/>
              <w:right w:type="dxa" w:w="130"/>
            </w:tcMar>
          </w:tcPr>
          <w:p>
            <w:r>
              <w:rPr>
                <w:rFonts w:ascii="Calibri" w:cs="Calibri" w:eastAsia="Calibri" w:hAnsi="Calibri"/>
                <w:color w:val="23282A"/>
                <w:sz w:val="19"/>
                <w:szCs w:val="19"/>
              </w:rPr>
              <w:t xml:space="preserve">Named sites, subsidiaries, joint ventures</w:t>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source_system</w:t>
            </w:r>
          </w:p>
        </w:tc>
        <w:tc>
          <w:tcPr>
            <w:tcW w:type="dxa" w:w="1872"/>
            <w:shd w:fill="F4F8F9" w:val="clear"/>
            <w:tcMar>
              <w:top w:type="dxa" w:w="90"/>
              <w:left w:type="dxa" w:w="130"/>
              <w:bottom w:type="dxa" w:w="90"/>
              <w:right w:type="dxa" w:w="130"/>
            </w:tcMar>
          </w:tcPr>
          <w:p>
            <w:r>
              <w:rPr>
                <w:rFonts w:ascii="Calibri" w:cs="Calibri" w:eastAsia="Calibri" w:hAnsi="Calibri"/>
                <w:color w:val="23282A"/>
                <w:sz w:val="19"/>
                <w:szCs w:val="19"/>
              </w:rPr>
              <w:t xml:space="preserve">string</w:t>
            </w:r>
          </w:p>
        </w:tc>
        <w:tc>
          <w:tcPr>
            <w:tcW w:type="dxa" w:w="5054"/>
            <w:shd w:fill="F4F8F9" w:val="clear"/>
            <w:tcMar>
              <w:top w:type="dxa" w:w="90"/>
              <w:left w:type="dxa" w:w="130"/>
              <w:bottom w:type="dxa" w:w="90"/>
              <w:right w:type="dxa" w:w="130"/>
            </w:tcMar>
          </w:tcPr>
          <w:p>
            <w:r>
              <w:rPr>
                <w:rFonts w:ascii="Calibri" w:cs="Calibri" w:eastAsia="Calibri" w:hAnsi="Calibri"/>
                <w:color w:val="23282A"/>
                <w:sz w:val="19"/>
                <w:szCs w:val="19"/>
              </w:rPr>
              <w:t xml:space="preserve">Payroll, meter portal, supplier invoice, manual return</w:t>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source_owner</w:t>
            </w:r>
          </w:p>
        </w:tc>
        <w:tc>
          <w:tcPr>
            <w:tcW w:type="dxa" w:w="1872"/>
            <w:shd w:fill="FFFFFF" w:val="clear"/>
            <w:tcMar>
              <w:top w:type="dxa" w:w="90"/>
              <w:left w:type="dxa" w:w="130"/>
              <w:bottom w:type="dxa" w:w="90"/>
              <w:right w:type="dxa" w:w="130"/>
            </w:tcMar>
          </w:tcPr>
          <w:p>
            <w:r>
              <w:rPr>
                <w:rFonts w:ascii="Calibri" w:cs="Calibri" w:eastAsia="Calibri" w:hAnsi="Calibri"/>
                <w:color w:val="23282A"/>
                <w:sz w:val="19"/>
                <w:szCs w:val="19"/>
              </w:rPr>
              <w:t xml:space="preserve">string</w:t>
            </w:r>
          </w:p>
        </w:tc>
        <w:tc>
          <w:tcPr>
            <w:tcW w:type="dxa" w:w="5054"/>
            <w:shd w:fill="FFFFFF" w:val="clear"/>
            <w:tcMar>
              <w:top w:type="dxa" w:w="90"/>
              <w:left w:type="dxa" w:w="130"/>
              <w:bottom w:type="dxa" w:w="90"/>
              <w:right w:type="dxa" w:w="130"/>
            </w:tcMar>
          </w:tcPr>
          <w:p>
            <w:r>
              <w:rPr>
                <w:rFonts w:ascii="Calibri" w:cs="Calibri" w:eastAsia="Calibri" w:hAnsi="Calibri"/>
                <w:color w:val="23282A"/>
                <w:sz w:val="19"/>
                <w:szCs w:val="19"/>
              </w:rPr>
              <w:t xml:space="preserve">Named person or role accountable for the number</w:t>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calculation_method</w:t>
            </w:r>
          </w:p>
        </w:tc>
        <w:tc>
          <w:tcPr>
            <w:tcW w:type="dxa" w:w="1872"/>
            <w:shd w:fill="F4F8F9" w:val="clear"/>
            <w:tcMar>
              <w:top w:type="dxa" w:w="90"/>
              <w:left w:type="dxa" w:w="130"/>
              <w:bottom w:type="dxa" w:w="90"/>
              <w:right w:type="dxa" w:w="130"/>
            </w:tcMar>
          </w:tcPr>
          <w:p>
            <w:r>
              <w:rPr>
                <w:rFonts w:ascii="Calibri" w:cs="Calibri" w:eastAsia="Calibri" w:hAnsi="Calibri"/>
                <w:color w:val="23282A"/>
                <w:sz w:val="19"/>
                <w:szCs w:val="19"/>
              </w:rPr>
              <w:t xml:space="preserve">text</w:t>
            </w:r>
          </w:p>
        </w:tc>
        <w:tc>
          <w:tcPr>
            <w:tcW w:type="dxa" w:w="5054"/>
            <w:shd w:fill="F4F8F9" w:val="clear"/>
            <w:tcMar>
              <w:top w:type="dxa" w:w="90"/>
              <w:left w:type="dxa" w:w="130"/>
              <w:bottom w:type="dxa" w:w="90"/>
              <w:right w:type="dxa" w:w="130"/>
            </w:tcMar>
          </w:tcPr>
          <w:p>
            <w:r>
              <w:rPr>
                <w:rFonts w:ascii="Calibri" w:cs="Calibri" w:eastAsia="Calibri" w:hAnsi="Calibri"/>
                <w:color w:val="23282A"/>
                <w:sz w:val="19"/>
                <w:szCs w:val="19"/>
              </w:rPr>
              <w:t xml:space="preserve">Stated formula</w:t>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emission_factor</w:t>
            </w:r>
          </w:p>
        </w:tc>
        <w:tc>
          <w:tcPr>
            <w:tcW w:type="dxa" w:w="1872"/>
            <w:shd w:fill="FFFFFF" w:val="clear"/>
            <w:tcMar>
              <w:top w:type="dxa" w:w="90"/>
              <w:left w:type="dxa" w:w="130"/>
              <w:bottom w:type="dxa" w:w="90"/>
              <w:right w:type="dxa" w:w="130"/>
            </w:tcMar>
          </w:tcPr>
          <w:p>
            <w:r>
              <w:rPr>
                <w:rFonts w:ascii="Calibri" w:cs="Calibri" w:eastAsia="Calibri" w:hAnsi="Calibri"/>
                <w:color w:val="23282A"/>
                <w:sz w:val="19"/>
                <w:szCs w:val="19"/>
              </w:rPr>
              <w:t xml:space="preserve">numeric</w:t>
            </w:r>
          </w:p>
        </w:tc>
        <w:tc>
          <w:tcPr>
            <w:tcW w:type="dxa" w:w="5054"/>
            <w:shd w:fill="FFFFFF" w:val="clear"/>
            <w:tcMar>
              <w:top w:type="dxa" w:w="90"/>
              <w:left w:type="dxa" w:w="130"/>
              <w:bottom w:type="dxa" w:w="90"/>
              <w:right w:type="dxa" w:w="130"/>
            </w:tcMar>
          </w:tcPr>
          <w:p>
            <w:r>
              <w:rPr>
                <w:rFonts w:ascii="Calibri" w:cs="Calibri" w:eastAsia="Calibri" w:hAnsi="Calibri"/>
                <w:color w:val="23282A"/>
                <w:sz w:val="19"/>
                <w:szCs w:val="19"/>
              </w:rPr>
              <w:t xml:space="preserve">Where applicable</w:t>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emission_factor_source</w:t>
            </w:r>
          </w:p>
        </w:tc>
        <w:tc>
          <w:tcPr>
            <w:tcW w:type="dxa" w:w="1872"/>
            <w:shd w:fill="F4F8F9" w:val="clear"/>
            <w:tcMar>
              <w:top w:type="dxa" w:w="90"/>
              <w:left w:type="dxa" w:w="130"/>
              <w:bottom w:type="dxa" w:w="90"/>
              <w:right w:type="dxa" w:w="130"/>
            </w:tcMar>
          </w:tcPr>
          <w:p>
            <w:r>
              <w:rPr>
                <w:rFonts w:ascii="Calibri" w:cs="Calibri" w:eastAsia="Calibri" w:hAnsi="Calibri"/>
                <w:color w:val="23282A"/>
                <w:sz w:val="19"/>
                <w:szCs w:val="19"/>
              </w:rPr>
              <w:t xml:space="preserve">string</w:t>
            </w:r>
          </w:p>
        </w:tc>
        <w:tc>
          <w:tcPr>
            <w:tcW w:type="dxa" w:w="5054"/>
            <w:shd w:fill="F4F8F9" w:val="clear"/>
            <w:tcMar>
              <w:top w:type="dxa" w:w="90"/>
              <w:left w:type="dxa" w:w="130"/>
              <w:bottom w:type="dxa" w:w="90"/>
              <w:right w:type="dxa" w:w="130"/>
            </w:tcMar>
          </w:tcPr>
          <w:p>
            <w:r>
              <w:rPr>
                <w:rFonts w:ascii="Calibri" w:cs="Calibri" w:eastAsia="Calibri" w:hAnsi="Calibri"/>
                <w:color w:val="23282A"/>
                <w:sz w:val="19"/>
                <w:szCs w:val="19"/>
              </w:rPr>
              <w:t xml:space="preserve">DEFRA, Eskom grid factor, GHG Protocol — with version</w:t>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data_quality_score</w:t>
            </w:r>
          </w:p>
        </w:tc>
        <w:tc>
          <w:tcPr>
            <w:tcW w:type="dxa" w:w="1872"/>
            <w:shd w:fill="FFFFFF" w:val="clear"/>
            <w:tcMar>
              <w:top w:type="dxa" w:w="90"/>
              <w:left w:type="dxa" w:w="130"/>
              <w:bottom w:type="dxa" w:w="90"/>
              <w:right w:type="dxa" w:w="130"/>
            </w:tcMar>
          </w:tcPr>
          <w:p>
            <w:r>
              <w:rPr>
                <w:rFonts w:ascii="Calibri" w:cs="Calibri" w:eastAsia="Calibri" w:hAnsi="Calibri"/>
                <w:color w:val="23282A"/>
                <w:sz w:val="19"/>
                <w:szCs w:val="19"/>
              </w:rPr>
              <w:t xml:space="preserve">1 to 5</w:t>
            </w:r>
          </w:p>
        </w:tc>
        <w:tc>
          <w:tcPr>
            <w:tcW w:type="dxa" w:w="5054"/>
            <w:shd w:fill="FFFFFF" w:val="clear"/>
            <w:tcMar>
              <w:top w:type="dxa" w:w="90"/>
              <w:left w:type="dxa" w:w="130"/>
              <w:bottom w:type="dxa" w:w="90"/>
              <w:right w:type="dxa" w:w="130"/>
            </w:tcMar>
          </w:tcPr>
          <w:p>
            <w:r>
              <w:rPr>
                <w:rFonts w:ascii="Calibri" w:cs="Calibri" w:eastAsia="Calibri" w:hAnsi="Calibri"/>
                <w:color w:val="23282A"/>
                <w:sz w:val="19"/>
                <w:szCs w:val="19"/>
              </w:rPr>
              <w:t xml:space="preserve">See 5.1</w:t>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assurance_status</w:t>
            </w:r>
          </w:p>
        </w:tc>
        <w:tc>
          <w:tcPr>
            <w:tcW w:type="dxa" w:w="1872"/>
            <w:shd w:fill="F4F8F9" w:val="clear"/>
            <w:tcMar>
              <w:top w:type="dxa" w:w="90"/>
              <w:left w:type="dxa" w:w="130"/>
              <w:bottom w:type="dxa" w:w="90"/>
              <w:right w:type="dxa" w:w="130"/>
            </w:tcMar>
          </w:tcPr>
          <w:p>
            <w:r>
              <w:rPr>
                <w:rFonts w:ascii="Calibri" w:cs="Calibri" w:eastAsia="Calibri" w:hAnsi="Calibri"/>
                <w:color w:val="23282A"/>
                <w:sz w:val="19"/>
                <w:szCs w:val="19"/>
              </w:rPr>
              <w:t xml:space="preserve">enum</w:t>
            </w:r>
          </w:p>
        </w:tc>
        <w:tc>
          <w:tcPr>
            <w:tcW w:type="dxa" w:w="5054"/>
            <w:shd w:fill="F4F8F9" w:val="clear"/>
            <w:tcMar>
              <w:top w:type="dxa" w:w="90"/>
              <w:left w:type="dxa" w:w="130"/>
              <w:bottom w:type="dxa" w:w="90"/>
              <w:right w:type="dxa" w:w="130"/>
            </w:tcMar>
          </w:tcPr>
          <w:p>
            <w:r>
              <w:rPr>
                <w:rFonts w:ascii="Calibri" w:cs="Calibri" w:eastAsia="Calibri" w:hAnsi="Calibri"/>
                <w:color w:val="23282A"/>
                <w:sz w:val="19"/>
                <w:szCs w:val="19"/>
              </w:rPr>
              <w:t xml:space="preserve">Unassured / internally reviewed / limited / reasonable</w:t>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prior_year_value</w:t>
            </w:r>
          </w:p>
        </w:tc>
        <w:tc>
          <w:tcPr>
            <w:tcW w:type="dxa" w:w="1872"/>
            <w:shd w:fill="FFFFFF" w:val="clear"/>
            <w:tcMar>
              <w:top w:type="dxa" w:w="90"/>
              <w:left w:type="dxa" w:w="130"/>
              <w:bottom w:type="dxa" w:w="90"/>
              <w:right w:type="dxa" w:w="130"/>
            </w:tcMar>
          </w:tcPr>
          <w:p>
            <w:r>
              <w:rPr>
                <w:rFonts w:ascii="Calibri" w:cs="Calibri" w:eastAsia="Calibri" w:hAnsi="Calibri"/>
                <w:color w:val="23282A"/>
                <w:sz w:val="19"/>
                <w:szCs w:val="19"/>
              </w:rPr>
              <w:t xml:space="preserve">numeric</w:t>
            </w:r>
          </w:p>
        </w:tc>
        <w:tc>
          <w:tcPr>
            <w:tcW w:type="dxa" w:w="5054"/>
            <w:shd w:fill="FFFFFF" w:val="clear"/>
            <w:tcMar>
              <w:top w:type="dxa" w:w="90"/>
              <w:left w:type="dxa" w:w="130"/>
              <w:bottom w:type="dxa" w:w="90"/>
              <w:right w:type="dxa" w:w="130"/>
            </w:tcMar>
          </w:tcPr>
          <w:p>
            <w:r>
              <w:rPr>
                <w:rFonts w:ascii="Calibri" w:cs="Calibri" w:eastAsia="Calibri" w:hAnsi="Calibri"/>
                <w:color w:val="23282A"/>
                <w:sz w:val="19"/>
                <w:szCs w:val="19"/>
              </w:rPr>
              <w:t xml:space="preserve"/>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restated</w:t>
            </w:r>
          </w:p>
        </w:tc>
        <w:tc>
          <w:tcPr>
            <w:tcW w:type="dxa" w:w="1872"/>
            <w:shd w:fill="F4F8F9" w:val="clear"/>
            <w:tcMar>
              <w:top w:type="dxa" w:w="90"/>
              <w:left w:type="dxa" w:w="130"/>
              <w:bottom w:type="dxa" w:w="90"/>
              <w:right w:type="dxa" w:w="130"/>
            </w:tcMar>
          </w:tcPr>
          <w:p>
            <w:r>
              <w:rPr>
                <w:rFonts w:ascii="Calibri" w:cs="Calibri" w:eastAsia="Calibri" w:hAnsi="Calibri"/>
                <w:color w:val="23282A"/>
                <w:sz w:val="19"/>
                <w:szCs w:val="19"/>
              </w:rPr>
              <w:t xml:space="preserve">boolean</w:t>
            </w:r>
          </w:p>
        </w:tc>
        <w:tc>
          <w:tcPr>
            <w:tcW w:type="dxa" w:w="5054"/>
            <w:shd w:fill="F4F8F9" w:val="clear"/>
            <w:tcMar>
              <w:top w:type="dxa" w:w="90"/>
              <w:left w:type="dxa" w:w="130"/>
              <w:bottom w:type="dxa" w:w="90"/>
              <w:right w:type="dxa" w:w="130"/>
            </w:tcMar>
          </w:tcPr>
          <w:p>
            <w:r>
              <w:rPr>
                <w:rFonts w:ascii="Calibri" w:cs="Calibri" w:eastAsia="Calibri" w:hAnsi="Calibri"/>
                <w:color w:val="23282A"/>
                <w:sz w:val="19"/>
                <w:szCs w:val="19"/>
              </w:rPr>
              <w:t xml:space="preserve"/>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restatement_reason</w:t>
            </w:r>
          </w:p>
        </w:tc>
        <w:tc>
          <w:tcPr>
            <w:tcW w:type="dxa" w:w="1872"/>
            <w:shd w:fill="FFFFFF" w:val="clear"/>
            <w:tcMar>
              <w:top w:type="dxa" w:w="90"/>
              <w:left w:type="dxa" w:w="130"/>
              <w:bottom w:type="dxa" w:w="90"/>
              <w:right w:type="dxa" w:w="130"/>
            </w:tcMar>
          </w:tcPr>
          <w:p>
            <w:r>
              <w:rPr>
                <w:rFonts w:ascii="Calibri" w:cs="Calibri" w:eastAsia="Calibri" w:hAnsi="Calibri"/>
                <w:color w:val="23282A"/>
                <w:sz w:val="19"/>
                <w:szCs w:val="19"/>
              </w:rPr>
              <w:t xml:space="preserve">text</w:t>
            </w:r>
          </w:p>
        </w:tc>
        <w:tc>
          <w:tcPr>
            <w:tcW w:type="dxa" w:w="5054"/>
            <w:shd w:fill="FFFFFF" w:val="clear"/>
            <w:tcMar>
              <w:top w:type="dxa" w:w="90"/>
              <w:left w:type="dxa" w:w="130"/>
              <w:bottom w:type="dxa" w:w="90"/>
              <w:right w:type="dxa" w:w="130"/>
            </w:tcMar>
          </w:tcPr>
          <w:p>
            <w:r>
              <w:rPr>
                <w:rFonts w:ascii="Calibri" w:cs="Calibri" w:eastAsia="Calibri" w:hAnsi="Calibri"/>
                <w:color w:val="23282A"/>
                <w:sz w:val="19"/>
                <w:szCs w:val="19"/>
              </w:rPr>
              <w:t xml:space="preserve">Renders as a footnote if true</w:t>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target_value / target_year</w:t>
            </w:r>
          </w:p>
        </w:tc>
        <w:tc>
          <w:tcPr>
            <w:tcW w:type="dxa" w:w="1872"/>
            <w:shd w:fill="F4F8F9" w:val="clear"/>
            <w:tcMar>
              <w:top w:type="dxa" w:w="90"/>
              <w:left w:type="dxa" w:w="130"/>
              <w:bottom w:type="dxa" w:w="90"/>
              <w:right w:type="dxa" w:w="130"/>
            </w:tcMar>
          </w:tcPr>
          <w:p>
            <w:r>
              <w:rPr>
                <w:rFonts w:ascii="Calibri" w:cs="Calibri" w:eastAsia="Calibri" w:hAnsi="Calibri"/>
                <w:color w:val="23282A"/>
                <w:sz w:val="19"/>
                <w:szCs w:val="19"/>
              </w:rPr>
              <w:t xml:space="preserve">numeric / year</w:t>
            </w:r>
          </w:p>
        </w:tc>
        <w:tc>
          <w:tcPr>
            <w:tcW w:type="dxa" w:w="5054"/>
            <w:shd w:fill="F4F8F9" w:val="clear"/>
            <w:tcMar>
              <w:top w:type="dxa" w:w="90"/>
              <w:left w:type="dxa" w:w="130"/>
              <w:bottom w:type="dxa" w:w="90"/>
              <w:right w:type="dxa" w:w="130"/>
            </w:tcMar>
          </w:tcPr>
          <w:p>
            <w:r>
              <w:rPr>
                <w:rFonts w:ascii="Calibri" w:cs="Calibri" w:eastAsia="Calibri" w:hAnsi="Calibri"/>
                <w:color w:val="23282A"/>
                <w:sz w:val="19"/>
                <w:szCs w:val="19"/>
              </w:rPr>
              <w:t xml:space="preserve"/>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variance_vs_target</w:t>
            </w:r>
          </w:p>
        </w:tc>
        <w:tc>
          <w:tcPr>
            <w:tcW w:type="dxa" w:w="1872"/>
            <w:shd w:fill="FFFFFF" w:val="clear"/>
            <w:tcMar>
              <w:top w:type="dxa" w:w="90"/>
              <w:left w:type="dxa" w:w="130"/>
              <w:bottom w:type="dxa" w:w="90"/>
              <w:right w:type="dxa" w:w="130"/>
            </w:tcMar>
          </w:tcPr>
          <w:p>
            <w:r>
              <w:rPr>
                <w:rFonts w:ascii="Calibri" w:cs="Calibri" w:eastAsia="Calibri" w:hAnsi="Calibri"/>
                <w:color w:val="23282A"/>
                <w:sz w:val="19"/>
                <w:szCs w:val="19"/>
              </w:rPr>
              <w:t xml:space="preserve">derived</w:t>
            </w:r>
          </w:p>
        </w:tc>
        <w:tc>
          <w:tcPr>
            <w:tcW w:type="dxa" w:w="5054"/>
            <w:shd w:fill="FFFFFF" w:val="clear"/>
            <w:tcMar>
              <w:top w:type="dxa" w:w="90"/>
              <w:left w:type="dxa" w:w="130"/>
              <w:bottom w:type="dxa" w:w="90"/>
              <w:right w:type="dxa" w:w="130"/>
            </w:tcMar>
          </w:tcPr>
          <w:p>
            <w:r>
              <w:rPr>
                <w:rFonts w:ascii="Calibri" w:cs="Calibri" w:eastAsia="Calibri" w:hAnsi="Calibri"/>
                <w:color w:val="23282A"/>
                <w:sz w:val="19"/>
                <w:szCs w:val="19"/>
              </w:rPr>
              <w:t xml:space="preserve"/>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rag_status</w:t>
            </w:r>
          </w:p>
        </w:tc>
        <w:tc>
          <w:tcPr>
            <w:tcW w:type="dxa" w:w="1872"/>
            <w:shd w:fill="F4F8F9" w:val="clear"/>
            <w:tcMar>
              <w:top w:type="dxa" w:w="90"/>
              <w:left w:type="dxa" w:w="130"/>
              <w:bottom w:type="dxa" w:w="90"/>
              <w:right w:type="dxa" w:w="130"/>
            </w:tcMar>
          </w:tcPr>
          <w:p>
            <w:r>
              <w:rPr>
                <w:rFonts w:ascii="Calibri" w:cs="Calibri" w:eastAsia="Calibri" w:hAnsi="Calibri"/>
                <w:color w:val="23282A"/>
                <w:sz w:val="19"/>
                <w:szCs w:val="19"/>
              </w:rPr>
              <w:t xml:space="preserve">derived</w:t>
            </w:r>
          </w:p>
        </w:tc>
        <w:tc>
          <w:tcPr>
            <w:tcW w:type="dxa" w:w="5054"/>
            <w:shd w:fill="F4F8F9" w:val="clear"/>
            <w:tcMar>
              <w:top w:type="dxa" w:w="90"/>
              <w:left w:type="dxa" w:w="130"/>
              <w:bottom w:type="dxa" w:w="90"/>
              <w:right w:type="dxa" w:w="130"/>
            </w:tcMar>
          </w:tcPr>
          <w:p>
            <w:r>
              <w:rPr>
                <w:rFonts w:ascii="Calibri" w:cs="Calibri" w:eastAsia="Calibri" w:hAnsi="Calibri"/>
                <w:color w:val="23282A"/>
                <w:sz w:val="19"/>
                <w:szCs w:val="19"/>
              </w:rPr>
              <w:t xml:space="preserve">See 5.2</w:t>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omission_reason</w:t>
            </w:r>
          </w:p>
        </w:tc>
        <w:tc>
          <w:tcPr>
            <w:tcW w:type="dxa" w:w="1872"/>
            <w:shd w:fill="FFFFFF" w:val="clear"/>
            <w:tcMar>
              <w:top w:type="dxa" w:w="90"/>
              <w:left w:type="dxa" w:w="130"/>
              <w:bottom w:type="dxa" w:w="90"/>
              <w:right w:type="dxa" w:w="130"/>
            </w:tcMar>
          </w:tcPr>
          <w:p>
            <w:r>
              <w:rPr>
                <w:rFonts w:ascii="Calibri" w:cs="Calibri" w:eastAsia="Calibri" w:hAnsi="Calibri"/>
                <w:color w:val="23282A"/>
                <w:sz w:val="19"/>
                <w:szCs w:val="19"/>
              </w:rPr>
              <w:t xml:space="preserve">enum + text</w:t>
            </w:r>
          </w:p>
        </w:tc>
        <w:tc>
          <w:tcPr>
            <w:tcW w:type="dxa" w:w="5054"/>
            <w:shd w:fill="FFFFFF" w:val="clear"/>
            <w:tcMar>
              <w:top w:type="dxa" w:w="90"/>
              <w:left w:type="dxa" w:w="130"/>
              <w:bottom w:type="dxa" w:w="90"/>
              <w:right w:type="dxa" w:w="130"/>
            </w:tcMar>
          </w:tcPr>
          <w:p>
            <w:r>
              <w:rPr>
                <w:rFonts w:ascii="Calibri" w:cs="Calibri" w:eastAsia="Calibri" w:hAnsi="Calibri"/>
                <w:color w:val="23282A"/>
                <w:sz w:val="19"/>
                <w:szCs w:val="19"/>
              </w:rPr>
              <w:t xml:space="preserve">See 5.3</w:t>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evidence_ids</w:t>
            </w:r>
          </w:p>
        </w:tc>
        <w:tc>
          <w:tcPr>
            <w:tcW w:type="dxa" w:w="1872"/>
            <w:shd w:fill="F4F8F9" w:val="clear"/>
            <w:tcMar>
              <w:top w:type="dxa" w:w="90"/>
              <w:left w:type="dxa" w:w="130"/>
              <w:bottom w:type="dxa" w:w="90"/>
              <w:right w:type="dxa" w:w="130"/>
            </w:tcMar>
          </w:tcPr>
          <w:p>
            <w:r>
              <w:rPr>
                <w:rFonts w:ascii="Calibri" w:cs="Calibri" w:eastAsia="Calibri" w:hAnsi="Calibri"/>
                <w:color w:val="23282A"/>
                <w:sz w:val="19"/>
                <w:szCs w:val="19"/>
              </w:rPr>
              <w:t xml:space="preserve">list</w:t>
            </w:r>
          </w:p>
        </w:tc>
        <w:tc>
          <w:tcPr>
            <w:tcW w:type="dxa" w:w="5054"/>
            <w:shd w:fill="F4F8F9" w:val="clear"/>
            <w:tcMar>
              <w:top w:type="dxa" w:w="90"/>
              <w:left w:type="dxa" w:w="130"/>
              <w:bottom w:type="dxa" w:w="90"/>
              <w:right w:type="dxa" w:w="130"/>
            </w:tcMar>
          </w:tcPr>
          <w:p>
            <w:r>
              <w:rPr>
                <w:rFonts w:ascii="Calibri" w:cs="Calibri" w:eastAsia="Calibri" w:hAnsi="Calibri"/>
                <w:color w:val="23282A"/>
                <w:sz w:val="19"/>
                <w:szCs w:val="19"/>
              </w:rPr>
              <w:t xml:space="preserve">Links to the evidence register</w:t>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commentary</w:t>
            </w:r>
          </w:p>
        </w:tc>
        <w:tc>
          <w:tcPr>
            <w:tcW w:type="dxa" w:w="1872"/>
            <w:shd w:fill="FFFFFF" w:val="clear"/>
            <w:tcMar>
              <w:top w:type="dxa" w:w="90"/>
              <w:left w:type="dxa" w:w="130"/>
              <w:bottom w:type="dxa" w:w="90"/>
              <w:right w:type="dxa" w:w="130"/>
            </w:tcMar>
          </w:tcPr>
          <w:p>
            <w:r>
              <w:rPr>
                <w:rFonts w:ascii="Calibri" w:cs="Calibri" w:eastAsia="Calibri" w:hAnsi="Calibri"/>
                <w:color w:val="23282A"/>
                <w:sz w:val="19"/>
                <w:szCs w:val="19"/>
              </w:rPr>
              <w:t xml:space="preserve">text</w:t>
            </w:r>
          </w:p>
        </w:tc>
        <w:tc>
          <w:tcPr>
            <w:tcW w:type="dxa" w:w="5054"/>
            <w:shd w:fill="FFFFFF" w:val="clear"/>
            <w:tcMar>
              <w:top w:type="dxa" w:w="90"/>
              <w:left w:type="dxa" w:w="130"/>
              <w:bottom w:type="dxa" w:w="90"/>
              <w:right w:type="dxa" w:w="130"/>
            </w:tcMar>
          </w:tcPr>
          <w:p>
            <w:r>
              <w:rPr>
                <w:rFonts w:ascii="Calibri" w:cs="Calibri" w:eastAsia="Calibri" w:hAnsi="Calibri"/>
                <w:color w:val="23282A"/>
                <w:sz w:val="19"/>
                <w:szCs w:val="19"/>
              </w:rPr>
              <w:t xml:space="preserve">Analyst or client narrative, evidence-bound</w:t>
            </w:r>
          </w:p>
        </w:tc>
      </w:tr>
    </w:tbl>
    <w:p>
      <w:pPr>
        <w:spacing w:after="160"/>
      </w:pPr>
    </w:p>
    <w:p>
      <w:pPr>
        <w:pStyle w:val="Heading2"/>
        <w:keepNext/>
        <w:spacing w:after="120" w:before="300"/>
      </w:pPr>
      <w:r>
        <w:rPr>
          <w:rFonts w:ascii="Cambria" w:cs="Cambria" w:eastAsia="Cambria" w:hAnsi="Cambria"/>
          <w:b/>
          <w:bCs/>
          <w:color w:val="00647A"/>
          <w:sz w:val="25"/>
          <w:szCs w:val="25"/>
        </w:rPr>
        <w:t xml:space="preserve">5.1 Data quality scale</w:t>
      </w:r>
    </w:p>
    <w:p>
      <w:pPr>
        <w:spacing w:after="140"/>
      </w:pPr>
      <w:r>
        <w:rPr>
          <w:rFonts w:ascii="Calibri" w:cs="Calibri" w:eastAsia="Calibri" w:hAnsi="Calibri"/>
          <w:color w:val="23282A"/>
          <w:sz w:val="21"/>
          <w:szCs w:val="21"/>
        </w:rPr>
        <w:t xml:space="preserve">Printed in the report as a legend and shown per metric in the Data Book.</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1123"/>
        <w:gridCol w:w="8237"/>
      </w:tblGrid>
      <w:tr>
        <w:trPr>
          <w:cantSplit/>
          <w:tblHeader/>
        </w:trPr>
        <w:tc>
          <w:tcPr>
            <w:tcW w:type="dxa" w:w="1123"/>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Score</w:t>
            </w:r>
          </w:p>
        </w:tc>
        <w:tc>
          <w:tcPr>
            <w:tcW w:type="dxa" w:w="8237"/>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Definition</w:t>
            </w:r>
          </w:p>
        </w:tc>
      </w:tr>
      <w:tr>
        <w:trPr>
          <w:cantSplit/>
        </w:trPr>
        <w:tc>
          <w:tcPr>
            <w:tcW w:type="dxa" w:w="1123"/>
            <w:shd w:fill="FFFFFF" w:val="clear"/>
            <w:tcMar>
              <w:top w:type="dxa" w:w="90"/>
              <w:left w:type="dxa" w:w="130"/>
              <w:bottom w:type="dxa" w:w="90"/>
              <w:right w:type="dxa" w:w="130"/>
            </w:tcMar>
          </w:tcPr>
          <w:p>
            <w:r>
              <w:rPr>
                <w:rFonts w:ascii="Calibri" w:cs="Calibri" w:eastAsia="Calibri" w:hAnsi="Calibri"/>
                <w:color w:val="23282A"/>
                <w:sz w:val="19"/>
                <w:szCs w:val="19"/>
              </w:rPr>
              <w:t xml:space="preserve">5</w:t>
            </w:r>
          </w:p>
        </w:tc>
        <w:tc>
          <w:tcPr>
            <w:tcW w:type="dxa" w:w="8237"/>
            <w:shd w:fill="FFFFFF" w:val="clear"/>
            <w:tcMar>
              <w:top w:type="dxa" w:w="90"/>
              <w:left w:type="dxa" w:w="130"/>
              <w:bottom w:type="dxa" w:w="90"/>
              <w:right w:type="dxa" w:w="130"/>
            </w:tcMar>
          </w:tcPr>
          <w:p>
            <w:r>
              <w:rPr>
                <w:rFonts w:ascii="Calibri" w:cs="Calibri" w:eastAsia="Calibri" w:hAnsi="Calibri"/>
                <w:color w:val="23282A"/>
                <w:sz w:val="19"/>
                <w:szCs w:val="19"/>
              </w:rPr>
              <w:t xml:space="preserve">Metered or system-generated, independently verifiable, complete for the full period</w:t>
            </w:r>
          </w:p>
        </w:tc>
      </w:tr>
      <w:tr>
        <w:trPr>
          <w:cantSplit/>
        </w:trPr>
        <w:tc>
          <w:tcPr>
            <w:tcW w:type="dxa" w:w="1123"/>
            <w:shd w:fill="F4F8F9" w:val="clear"/>
            <w:tcMar>
              <w:top w:type="dxa" w:w="90"/>
              <w:left w:type="dxa" w:w="130"/>
              <w:bottom w:type="dxa" w:w="90"/>
              <w:right w:type="dxa" w:w="130"/>
            </w:tcMar>
          </w:tcPr>
          <w:p>
            <w:r>
              <w:rPr>
                <w:rFonts w:ascii="Calibri" w:cs="Calibri" w:eastAsia="Calibri" w:hAnsi="Calibri"/>
                <w:color w:val="23282A"/>
                <w:sz w:val="19"/>
                <w:szCs w:val="19"/>
              </w:rPr>
              <w:t xml:space="preserve">4</w:t>
            </w:r>
          </w:p>
        </w:tc>
        <w:tc>
          <w:tcPr>
            <w:tcW w:type="dxa" w:w="8237"/>
            <w:shd w:fill="F4F8F9" w:val="clear"/>
            <w:tcMar>
              <w:top w:type="dxa" w:w="90"/>
              <w:left w:type="dxa" w:w="130"/>
              <w:bottom w:type="dxa" w:w="90"/>
              <w:right w:type="dxa" w:w="130"/>
            </w:tcMar>
          </w:tcPr>
          <w:p>
            <w:r>
              <w:rPr>
                <w:rFonts w:ascii="Calibri" w:cs="Calibri" w:eastAsia="Calibri" w:hAnsi="Calibri"/>
                <w:color w:val="23282A"/>
                <w:sz w:val="19"/>
                <w:szCs w:val="19"/>
              </w:rPr>
              <w:t xml:space="preserve">System-generated with minor manual adjustment or estimation under 5% of total</w:t>
            </w:r>
          </w:p>
        </w:tc>
      </w:tr>
      <w:tr>
        <w:trPr>
          <w:cantSplit/>
        </w:trPr>
        <w:tc>
          <w:tcPr>
            <w:tcW w:type="dxa" w:w="1123"/>
            <w:shd w:fill="FFFFFF" w:val="clear"/>
            <w:tcMar>
              <w:top w:type="dxa" w:w="90"/>
              <w:left w:type="dxa" w:w="130"/>
              <w:bottom w:type="dxa" w:w="90"/>
              <w:right w:type="dxa" w:w="130"/>
            </w:tcMar>
          </w:tcPr>
          <w:p>
            <w:r>
              <w:rPr>
                <w:rFonts w:ascii="Calibri" w:cs="Calibri" w:eastAsia="Calibri" w:hAnsi="Calibri"/>
                <w:color w:val="23282A"/>
                <w:sz w:val="19"/>
                <w:szCs w:val="19"/>
              </w:rPr>
              <w:t xml:space="preserve">3</w:t>
            </w:r>
          </w:p>
        </w:tc>
        <w:tc>
          <w:tcPr>
            <w:tcW w:type="dxa" w:w="8237"/>
            <w:shd w:fill="FFFFFF" w:val="clear"/>
            <w:tcMar>
              <w:top w:type="dxa" w:w="90"/>
              <w:left w:type="dxa" w:w="130"/>
              <w:bottom w:type="dxa" w:w="90"/>
              <w:right w:type="dxa" w:w="130"/>
            </w:tcMar>
          </w:tcPr>
          <w:p>
            <w:r>
              <w:rPr>
                <w:rFonts w:ascii="Calibri" w:cs="Calibri" w:eastAsia="Calibri" w:hAnsi="Calibri"/>
                <w:color w:val="23282A"/>
                <w:sz w:val="19"/>
                <w:szCs w:val="19"/>
              </w:rPr>
              <w:t xml:space="preserve">Mix of measured and estimated data; estimation method documented</w:t>
            </w:r>
          </w:p>
        </w:tc>
      </w:tr>
      <w:tr>
        <w:trPr>
          <w:cantSplit/>
        </w:trPr>
        <w:tc>
          <w:tcPr>
            <w:tcW w:type="dxa" w:w="1123"/>
            <w:shd w:fill="F4F8F9" w:val="clear"/>
            <w:tcMar>
              <w:top w:type="dxa" w:w="90"/>
              <w:left w:type="dxa" w:w="130"/>
              <w:bottom w:type="dxa" w:w="90"/>
              <w:right w:type="dxa" w:w="130"/>
            </w:tcMar>
          </w:tcPr>
          <w:p>
            <w:r>
              <w:rPr>
                <w:rFonts w:ascii="Calibri" w:cs="Calibri" w:eastAsia="Calibri" w:hAnsi="Calibri"/>
                <w:color w:val="23282A"/>
                <w:sz w:val="19"/>
                <w:szCs w:val="19"/>
              </w:rPr>
              <w:t xml:space="preserve">2</w:t>
            </w:r>
          </w:p>
        </w:tc>
        <w:tc>
          <w:tcPr>
            <w:tcW w:type="dxa" w:w="8237"/>
            <w:shd w:fill="F4F8F9" w:val="clear"/>
            <w:tcMar>
              <w:top w:type="dxa" w:w="90"/>
              <w:left w:type="dxa" w:w="130"/>
              <w:bottom w:type="dxa" w:w="90"/>
              <w:right w:type="dxa" w:w="130"/>
            </w:tcMar>
          </w:tcPr>
          <w:p>
            <w:r>
              <w:rPr>
                <w:rFonts w:ascii="Calibri" w:cs="Calibri" w:eastAsia="Calibri" w:hAnsi="Calibri"/>
                <w:color w:val="23282A"/>
                <w:sz w:val="19"/>
                <w:szCs w:val="19"/>
              </w:rPr>
              <w:t xml:space="preserve">Primarily estimated or extrapolated from a sample or proxy</w:t>
            </w:r>
          </w:p>
        </w:tc>
      </w:tr>
      <w:tr>
        <w:trPr>
          <w:cantSplit/>
        </w:trPr>
        <w:tc>
          <w:tcPr>
            <w:tcW w:type="dxa" w:w="1123"/>
            <w:shd w:fill="FFFFFF" w:val="clear"/>
            <w:tcMar>
              <w:top w:type="dxa" w:w="90"/>
              <w:left w:type="dxa" w:w="130"/>
              <w:bottom w:type="dxa" w:w="90"/>
              <w:right w:type="dxa" w:w="130"/>
            </w:tcMar>
          </w:tcPr>
          <w:p>
            <w:r>
              <w:rPr>
                <w:rFonts w:ascii="Calibri" w:cs="Calibri" w:eastAsia="Calibri" w:hAnsi="Calibri"/>
                <w:color w:val="23282A"/>
                <w:sz w:val="19"/>
                <w:szCs w:val="19"/>
              </w:rPr>
              <w:t xml:space="preserve">1</w:t>
            </w:r>
          </w:p>
        </w:tc>
        <w:tc>
          <w:tcPr>
            <w:tcW w:type="dxa" w:w="8237"/>
            <w:shd w:fill="FFFFFF" w:val="clear"/>
            <w:tcMar>
              <w:top w:type="dxa" w:w="90"/>
              <w:left w:type="dxa" w:w="130"/>
              <w:bottom w:type="dxa" w:w="90"/>
              <w:right w:type="dxa" w:w="130"/>
            </w:tcMar>
          </w:tcPr>
          <w:p>
            <w:r>
              <w:rPr>
                <w:rFonts w:ascii="Calibri" w:cs="Calibri" w:eastAsia="Calibri" w:hAnsi="Calibri"/>
                <w:color w:val="23282A"/>
                <w:sz w:val="19"/>
                <w:szCs w:val="19"/>
              </w:rPr>
              <w:t xml:space="preserve">Single-point estimate, proxy or industry average; indicative only</w:t>
            </w:r>
          </w:p>
        </w:tc>
      </w:tr>
    </w:tbl>
    <w:p>
      <w:pPr>
        <w:spacing w:after="120"/>
      </w:pPr>
    </w:p>
    <w:tbl>
      <w:tblPr>
        <w:tblW w:type="dxa" w:w="9360"/>
        <w:tblBorders>
          <w:top w:val="single" w:color="0091A8" w:sz="2"/>
          <w:left w:val="single" w:color="0091A8" w:sz="18"/>
          <w:bottom w:val="single" w:color="0091A8" w:sz="2"/>
          <w:right w:val="single" w:color="0091A8" w:sz="2"/>
          <w:insideH w:val="none"/>
          <w:insideV w:val="none"/>
        </w:tblBorders>
      </w:tblPr>
      <w:tblGrid>
        <w:gridCol w:w="9360"/>
      </w:tblGrid>
      <w:tr>
        <w:trPr>
          <w:cantSplit/>
        </w:trPr>
        <w:tc>
          <w:tcPr>
            <w:tcW w:type="dxa" w:w="9360"/>
            <w:shd w:fill="E9F3F5" w:val="clear"/>
            <w:tcMar>
              <w:top w:type="dxa" w:w="160"/>
              <w:left w:type="dxa" w:w="220"/>
              <w:bottom w:type="dxa" w:w="160"/>
              <w:right w:type="dxa" w:w="220"/>
            </w:tcMar>
          </w:tcPr>
          <w:p>
            <w:pPr>
              <w:spacing w:after="60"/>
            </w:pPr>
            <w:r>
              <w:rPr>
                <w:rFonts w:ascii="Calibri" w:cs="Calibri" w:eastAsia="Calibri" w:hAnsi="Calibri"/>
                <w:b/>
                <w:bCs/>
                <w:color w:val="00647A"/>
                <w:spacing w:val="30"/>
                <w:sz w:val="17"/>
                <w:szCs w:val="17"/>
              </w:rPr>
              <w:t xml:space="preserve">RULE</w:t>
            </w:r>
          </w:p>
          <w:p>
            <w:r>
              <w:rPr>
                <w:rFonts w:ascii="Cambria" w:cs="Cambria" w:eastAsia="Cambria" w:hAnsi="Cambria"/>
                <w:color w:val="101820"/>
                <w:sz w:val="22"/>
                <w:szCs w:val="22"/>
              </w:rPr>
              <w:t xml:space="preserve">A report-level weighted data quality index is calculated and disclosed on the performance dashboard. None of the benchmark reports does this. It is a genuine differentiator.</w:t>
            </w:r>
          </w:p>
        </w:tc>
      </w:tr>
    </w:tbl>
    <w:p>
      <w:pPr>
        <w:spacing w:after="160"/>
      </w:pPr>
    </w:p>
    <w:p>
      <w:pPr>
        <w:pStyle w:val="Heading2"/>
        <w:keepNext/>
        <w:spacing w:after="120" w:before="300"/>
      </w:pPr>
      <w:r>
        <w:rPr>
          <w:rFonts w:ascii="Cambria" w:cs="Cambria" w:eastAsia="Cambria" w:hAnsi="Cambria"/>
          <w:b/>
          <w:bCs/>
          <w:color w:val="00647A"/>
          <w:sz w:val="25"/>
          <w:szCs w:val="25"/>
        </w:rPr>
        <w:t xml:space="preserve">5.2 RAG logic</w:t>
      </w:r>
    </w:p>
    <w:p>
      <w:pPr>
        <w:pStyle w:val="ListParagraph"/>
        <w:numPr>
          <w:ilvl w:val="0"/>
          <w:numId w:val="3"/>
        </w:numPr>
        <w:spacing w:after="80"/>
      </w:pPr>
      <w:r>
        <w:rPr>
          <w:rFonts w:ascii="Calibri" w:cs="Calibri" w:eastAsia="Calibri" w:hAnsi="Calibri"/>
          <w:color w:val="23282A"/>
          <w:sz w:val="21"/>
          <w:szCs w:val="21"/>
        </w:rPr>
        <w:t xml:space="preserve">Green — on or ahead of target trajectory, with data quality 4 or 5</w:t>
      </w:r>
    </w:p>
    <w:p>
      <w:pPr>
        <w:pStyle w:val="ListParagraph"/>
        <w:numPr>
          <w:ilvl w:val="0"/>
          <w:numId w:val="3"/>
        </w:numPr>
        <w:spacing w:after="80"/>
      </w:pPr>
      <w:r>
        <w:rPr>
          <w:rFonts w:ascii="Calibri" w:cs="Calibri" w:eastAsia="Calibri" w:hAnsi="Calibri"/>
          <w:color w:val="23282A"/>
          <w:sz w:val="21"/>
          <w:szCs w:val="21"/>
        </w:rPr>
        <w:t xml:space="preserve">Amber — within 10% of trajectory, or on trajectory but data quality 3 or below</w:t>
      </w:r>
    </w:p>
    <w:p>
      <w:pPr>
        <w:pStyle w:val="ListParagraph"/>
        <w:numPr>
          <w:ilvl w:val="0"/>
          <w:numId w:val="3"/>
        </w:numPr>
        <w:spacing w:after="80"/>
      </w:pPr>
      <w:r>
        <w:rPr>
          <w:rFonts w:ascii="Calibri" w:cs="Calibri" w:eastAsia="Calibri" w:hAnsi="Calibri"/>
          <w:color w:val="23282A"/>
          <w:sz w:val="21"/>
          <w:szCs w:val="21"/>
        </w:rPr>
        <w:t xml:space="preserve">Red — off trajectory by more than 10%, or no baseline established</w:t>
      </w:r>
    </w:p>
    <w:p>
      <w:pPr>
        <w:pStyle w:val="ListParagraph"/>
        <w:numPr>
          <w:ilvl w:val="0"/>
          <w:numId w:val="3"/>
        </w:numPr>
        <w:spacing w:after="80"/>
      </w:pPr>
      <w:r>
        <w:rPr>
          <w:rFonts w:ascii="Calibri" w:cs="Calibri" w:eastAsia="Calibri" w:hAnsi="Calibri"/>
          <w:color w:val="23282A"/>
          <w:sz w:val="21"/>
          <w:szCs w:val="21"/>
        </w:rPr>
        <w:t xml:space="preserve">Grey — not yet measured; renders an omission statement and a gap-register entry</w:t>
      </w:r>
    </w:p>
    <w:p>
      <w:pPr>
        <w:spacing w:after="160"/>
      </w:pPr>
    </w:p>
    <w:p>
      <w:pPr>
        <w:pStyle w:val="Heading2"/>
        <w:keepNext/>
        <w:spacing w:after="120" w:before="300"/>
      </w:pPr>
      <w:r>
        <w:rPr>
          <w:rFonts w:ascii="Cambria" w:cs="Cambria" w:eastAsia="Cambria" w:hAnsi="Cambria"/>
          <w:b/>
          <w:bCs/>
          <w:color w:val="00647A"/>
          <w:sz w:val="25"/>
          <w:szCs w:val="25"/>
        </w:rPr>
        <w:t xml:space="preserve">5.3 Omission taxonomy</w:t>
      </w:r>
    </w:p>
    <w:p>
      <w:pPr>
        <w:spacing w:after="140"/>
      </w:pPr>
      <w:r>
        <w:rPr>
          <w:rFonts w:ascii="Calibri" w:cs="Calibri" w:eastAsia="Calibri" w:hAnsi="Calibri"/>
          <w:color w:val="23282A"/>
          <w:sz w:val="21"/>
          <w:szCs w:val="21"/>
        </w:rPr>
        <w:t xml:space="preserve">Modelled on the JSE “Commentary:” pattern, the single most transferable device in the reference set. A stated, reasoned omission reads as governance maturity. A silent gap reads as evasion.</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2434"/>
        <w:gridCol w:w="6926"/>
      </w:tblGrid>
      <w:tr>
        <w:trPr>
          <w:cantSplit/>
          <w:tblHeader/>
        </w:trPr>
        <w:tc>
          <w:tcPr>
            <w:tcW w:type="dxa" w:w="2434"/>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Code</w:t>
            </w:r>
          </w:p>
        </w:tc>
        <w:tc>
          <w:tcPr>
            <w:tcW w:type="dxa" w:w="6926"/>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Renders as</w:t>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NOT_MATERIAL</w:t>
            </w:r>
          </w:p>
        </w:tc>
        <w:tc>
          <w:tcPr>
            <w:tcW w:type="dxa" w:w="6926"/>
            <w:shd w:fill="FFFFFF" w:val="clear"/>
            <w:tcMar>
              <w:top w:type="dxa" w:w="90"/>
              <w:left w:type="dxa" w:w="130"/>
              <w:bottom w:type="dxa" w:w="90"/>
              <w:right w:type="dxa" w:w="130"/>
            </w:tcMar>
          </w:tcPr>
          <w:p>
            <w:r>
              <w:rPr>
                <w:rFonts w:ascii="Calibri" w:cs="Calibri" w:eastAsia="Calibri" w:hAnsi="Calibri"/>
                <w:color w:val="23282A"/>
                <w:sz w:val="19"/>
                <w:szCs w:val="19"/>
              </w:rPr>
              <w:t xml:space="preserve">Assessed as not material to [entity] given [reason]. This assessment is reviewed annually.</w:t>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NOT_APPLICABLE</w:t>
            </w:r>
          </w:p>
        </w:tc>
        <w:tc>
          <w:tcPr>
            <w:tcW w:type="dxa" w:w="6926"/>
            <w:shd w:fill="F4F8F9" w:val="clear"/>
            <w:tcMar>
              <w:top w:type="dxa" w:w="90"/>
              <w:left w:type="dxa" w:w="130"/>
              <w:bottom w:type="dxa" w:w="90"/>
              <w:right w:type="dxa" w:w="130"/>
            </w:tcMar>
          </w:tcPr>
          <w:p>
            <w:r>
              <w:rPr>
                <w:rFonts w:ascii="Calibri" w:cs="Calibri" w:eastAsia="Calibri" w:hAnsi="Calibri"/>
                <w:color w:val="23282A"/>
                <w:sz w:val="19"/>
                <w:szCs w:val="19"/>
              </w:rPr>
              <w:t xml:space="preserve">Not applicable to [entity]'s operations. [Reason].</w:t>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DATA_UNAVAILABLE</w:t>
            </w:r>
          </w:p>
        </w:tc>
        <w:tc>
          <w:tcPr>
            <w:tcW w:type="dxa" w:w="6926"/>
            <w:shd w:fill="FFFFFF" w:val="clear"/>
            <w:tcMar>
              <w:top w:type="dxa" w:w="90"/>
              <w:left w:type="dxa" w:w="130"/>
              <w:bottom w:type="dxa" w:w="90"/>
              <w:right w:type="dxa" w:w="130"/>
            </w:tcMar>
          </w:tcPr>
          <w:p>
            <w:r>
              <w:rPr>
                <w:rFonts w:ascii="Calibri" w:cs="Calibri" w:eastAsia="Calibri" w:hAnsi="Calibri"/>
                <w:color w:val="23282A"/>
                <w:sz w:val="19"/>
                <w:szCs w:val="19"/>
              </w:rPr>
              <w:t xml:space="preserve">[Entity] does not currently collect this data. A remediation action is recorded at [roadmap ref], targeted for [date].</w:t>
            </w:r>
          </w:p>
        </w:tc>
      </w:tr>
      <w:tr>
        <w:trPr>
          <w:cantSplit/>
        </w:trPr>
        <w:tc>
          <w:tcPr>
            <w:tcW w:type="dxa" w:w="2434"/>
            <w:shd w:fill="F4F8F9" w:val="clear"/>
            <w:tcMar>
              <w:top w:type="dxa" w:w="90"/>
              <w:left w:type="dxa" w:w="130"/>
              <w:bottom w:type="dxa" w:w="90"/>
              <w:right w:type="dxa" w:w="130"/>
            </w:tcMar>
          </w:tcPr>
          <w:p>
            <w:r>
              <w:rPr>
                <w:rFonts w:ascii="Courier New" w:cs="Courier New" w:eastAsia="Courier New" w:hAnsi="Courier New"/>
                <w:color w:val="23282A"/>
                <w:sz w:val="17"/>
                <w:szCs w:val="17"/>
              </w:rPr>
              <w:t xml:space="preserve">IN_PROGRESS</w:t>
            </w:r>
          </w:p>
        </w:tc>
        <w:tc>
          <w:tcPr>
            <w:tcW w:type="dxa" w:w="6926"/>
            <w:shd w:fill="F4F8F9" w:val="clear"/>
            <w:tcMar>
              <w:top w:type="dxa" w:w="90"/>
              <w:left w:type="dxa" w:w="130"/>
              <w:bottom w:type="dxa" w:w="90"/>
              <w:right w:type="dxa" w:w="130"/>
            </w:tcMar>
          </w:tcPr>
          <w:p>
            <w:r>
              <w:rPr>
                <w:rFonts w:ascii="Calibri" w:cs="Calibri" w:eastAsia="Calibri" w:hAnsi="Calibri"/>
                <w:color w:val="23282A"/>
                <w:sz w:val="19"/>
                <w:szCs w:val="19"/>
              </w:rPr>
              <w:t xml:space="preserve">Measurement commenced [date]; a full-period figure will be reported from [period].</w:t>
            </w:r>
          </w:p>
        </w:tc>
      </w:tr>
      <w:tr>
        <w:trPr>
          <w:cantSplit/>
        </w:trPr>
        <w:tc>
          <w:tcPr>
            <w:tcW w:type="dxa" w:w="2434"/>
            <w:shd w:fill="FFFFFF" w:val="clear"/>
            <w:tcMar>
              <w:top w:type="dxa" w:w="90"/>
              <w:left w:type="dxa" w:w="130"/>
              <w:bottom w:type="dxa" w:w="90"/>
              <w:right w:type="dxa" w:w="130"/>
            </w:tcMar>
          </w:tcPr>
          <w:p>
            <w:r>
              <w:rPr>
                <w:rFonts w:ascii="Courier New" w:cs="Courier New" w:eastAsia="Courier New" w:hAnsi="Courier New"/>
                <w:color w:val="23282A"/>
                <w:sz w:val="17"/>
                <w:szCs w:val="17"/>
              </w:rPr>
              <w:t xml:space="preserve">CONFIDENTIAL</w:t>
            </w:r>
          </w:p>
        </w:tc>
        <w:tc>
          <w:tcPr>
            <w:tcW w:type="dxa" w:w="6926"/>
            <w:shd w:fill="FFFFFF" w:val="clear"/>
            <w:tcMar>
              <w:top w:type="dxa" w:w="90"/>
              <w:left w:type="dxa" w:w="130"/>
              <w:bottom w:type="dxa" w:w="90"/>
              <w:right w:type="dxa" w:w="130"/>
            </w:tcMar>
          </w:tcPr>
          <w:p>
            <w:r>
              <w:rPr>
                <w:rFonts w:ascii="Calibri" w:cs="Calibri" w:eastAsia="Calibri" w:hAnsi="Calibri"/>
                <w:color w:val="23282A"/>
                <w:sz w:val="19"/>
                <w:szCs w:val="19"/>
              </w:rPr>
              <w:t xml:space="preserve">Withheld on confidentiality grounds. [Basis].</w:t>
            </w:r>
          </w:p>
        </w:tc>
      </w:tr>
    </w:tbl>
    <w:p>
      <w:pPr>
        <w:spacing w:after="120"/>
      </w:pPr>
    </w:p>
    <w:tbl>
      <w:tblPr>
        <w:tblW w:type="dxa" w:w="9360"/>
        <w:tblBorders>
          <w:top w:val="single" w:color="0091A8" w:sz="2"/>
          <w:left w:val="single" w:color="0091A8" w:sz="18"/>
          <w:bottom w:val="single" w:color="0091A8" w:sz="2"/>
          <w:right w:val="single" w:color="0091A8" w:sz="2"/>
          <w:insideH w:val="none"/>
          <w:insideV w:val="none"/>
        </w:tblBorders>
      </w:tblPr>
      <w:tblGrid>
        <w:gridCol w:w="9360"/>
      </w:tblGrid>
      <w:tr>
        <w:trPr>
          <w:cantSplit/>
        </w:trPr>
        <w:tc>
          <w:tcPr>
            <w:tcW w:type="dxa" w:w="9360"/>
            <w:shd w:fill="E9F3F5" w:val="clear"/>
            <w:tcMar>
              <w:top w:type="dxa" w:w="160"/>
              <w:left w:type="dxa" w:w="220"/>
              <w:bottom w:type="dxa" w:w="160"/>
              <w:right w:type="dxa" w:w="220"/>
            </w:tcMar>
          </w:tcPr>
          <w:p>
            <w:pPr>
              <w:spacing w:after="60"/>
            </w:pPr>
            <w:r>
              <w:rPr>
                <w:rFonts w:ascii="Calibri" w:cs="Calibri" w:eastAsia="Calibri" w:hAnsi="Calibri"/>
                <w:b/>
                <w:bCs/>
                <w:color w:val="00647A"/>
                <w:spacing w:val="30"/>
                <w:sz w:val="17"/>
                <w:szCs w:val="17"/>
              </w:rPr>
              <w:t xml:space="preserve">MECHANISM</w:t>
            </w:r>
          </w:p>
          <w:p>
            <w:r>
              <w:rPr>
                <w:rFonts w:ascii="Cambria" w:cs="Cambria" w:eastAsia="Cambria" w:hAnsi="Cambria"/>
                <w:color w:val="101820"/>
                <w:sz w:val="22"/>
                <w:szCs w:val="22"/>
              </w:rPr>
              <w:t xml:space="preserve">Every DATA_UNAVAILABLE and IN_PROGRESS automatically creates a gap-register row and a roadmap action. This turns the report into the scope of work for the next engagement.</w:t>
            </w:r>
          </w:p>
        </w:tc>
      </w:tr>
    </w:tbl>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6. Qualitative and quantitative reporting</w:t>
      </w:r>
    </w:p>
    <w:p>
      <w:pPr>
        <w:spacing w:after="140"/>
      </w:pPr>
      <w:r>
        <w:rPr>
          <w:rFonts w:ascii="Calibri" w:cs="Calibri" w:eastAsia="Calibri" w:hAnsi="Calibri"/>
          <w:color w:val="23282A"/>
          <w:sz w:val="21"/>
          <w:szCs w:val="21"/>
        </w:rPr>
        <w:t xml:space="preserve">Every ESG report is two documents in one. Most automated reporting handles the numbers well and lets the narrative run free, which is where credibility and regulatory exposure are both lost. The toolkit controls both halves and binds them to each other.</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1498"/>
        <w:gridCol w:w="3931"/>
        <w:gridCol w:w="3931"/>
      </w:tblGrid>
      <w:tr>
        <w:trPr>
          <w:cantSplit/>
          <w:tblHeader/>
        </w:trPr>
        <w:tc>
          <w:tcPr>
            <w:tcW w:type="dxa" w:w="149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
            </w:r>
          </w:p>
        </w:tc>
        <w:tc>
          <w:tcPr>
            <w:tcW w:type="dxa" w:w="3931"/>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Quantitative</w:t>
            </w:r>
          </w:p>
        </w:tc>
        <w:tc>
          <w:tcPr>
            <w:tcW w:type="dxa" w:w="3931"/>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Qualitative</w:t>
            </w:r>
          </w:p>
        </w:tc>
      </w:tr>
      <w:tr>
        <w:trPr>
          <w:cantSplit/>
        </w:trPr>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What it covers</w:t>
            </w:r>
          </w:p>
        </w:tc>
        <w:tc>
          <w:tcPr>
            <w:tcW w:type="dxa" w:w="3931"/>
            <w:shd w:fill="FFFFFF" w:val="clear"/>
            <w:tcMar>
              <w:top w:type="dxa" w:w="90"/>
              <w:left w:type="dxa" w:w="130"/>
              <w:bottom w:type="dxa" w:w="90"/>
              <w:right w:type="dxa" w:w="130"/>
            </w:tcMar>
          </w:tcPr>
          <w:p>
            <w:r>
              <w:rPr>
                <w:rFonts w:ascii="Calibri" w:cs="Calibri" w:eastAsia="Calibri" w:hAnsi="Calibri"/>
                <w:color w:val="23282A"/>
                <w:sz w:val="19"/>
                <w:szCs w:val="19"/>
              </w:rPr>
              <w:t xml:space="preserve">Emissions, energy, water, waste, intensity ratios. Headcount, demographics, pay ratios, spend. Incidents, fines, training coverage, tax borne. Baselines, targets, variance.</w:t>
            </w:r>
          </w:p>
        </w:tc>
        <w:tc>
          <w:tcPr>
            <w:tcW w:type="dxa" w:w="3931"/>
            <w:shd w:fill="FFFFFF" w:val="clear"/>
            <w:tcMar>
              <w:top w:type="dxa" w:w="90"/>
              <w:left w:type="dxa" w:w="130"/>
              <w:bottom w:type="dxa" w:w="90"/>
              <w:right w:type="dxa" w:w="130"/>
            </w:tcMar>
          </w:tcPr>
          <w:p>
            <w:r>
              <w:rPr>
                <w:rFonts w:ascii="Calibri" w:cs="Calibri" w:eastAsia="Calibri" w:hAnsi="Calibri"/>
                <w:color w:val="23282A"/>
                <w:sz w:val="19"/>
                <w:szCs w:val="19"/>
              </w:rPr>
              <w:t xml:space="preserve">Governance, oversight and accountability. Materiality method and stakeholder engagement. Strategy, transition plan, management approach. Why a number moved and what is being done.</w:t>
            </w:r>
          </w:p>
        </w:tc>
      </w:tr>
      <w:tr>
        <w:trPr>
          <w:cantSplit/>
        </w:trPr>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Controlled by</w:t>
            </w:r>
          </w:p>
        </w:tc>
        <w:tc>
          <w:tcPr>
            <w:tcW w:type="dxa" w:w="3931"/>
            <w:shd w:fill="F4F8F9" w:val="clear"/>
            <w:tcMar>
              <w:top w:type="dxa" w:w="90"/>
              <w:left w:type="dxa" w:w="130"/>
              <w:bottom w:type="dxa" w:w="90"/>
              <w:right w:type="dxa" w:w="130"/>
            </w:tcMar>
          </w:tcPr>
          <w:p>
            <w:r>
              <w:rPr>
                <w:rFonts w:ascii="Calibri" w:cs="Calibri" w:eastAsia="Calibri" w:hAnsi="Calibri"/>
                <w:color w:val="23282A"/>
                <w:sz w:val="19"/>
                <w:szCs w:val="19"/>
              </w:rPr>
              <w:t xml:space="preserve">The metric record schema at section 5. Each number carries provenance, boundary, quality and assurance status.</w:t>
            </w:r>
          </w:p>
        </w:tc>
        <w:tc>
          <w:tcPr>
            <w:tcW w:type="dxa" w:w="3931"/>
            <w:shd w:fill="F4F8F9" w:val="clear"/>
            <w:tcMar>
              <w:top w:type="dxa" w:w="90"/>
              <w:left w:type="dxa" w:w="130"/>
              <w:bottom w:type="dxa" w:w="90"/>
              <w:right w:type="dxa" w:w="130"/>
            </w:tcMar>
          </w:tcPr>
          <w:p>
            <w:r>
              <w:rPr>
                <w:rFonts w:ascii="Calibri" w:cs="Calibri" w:eastAsia="Calibri" w:hAnsi="Calibri"/>
                <w:color w:val="23282A"/>
                <w:sz w:val="19"/>
                <w:szCs w:val="19"/>
              </w:rPr>
              <w:t xml:space="preserve">The claim tier taxonomy and evidence binding below. No assertion renders without something behind it.</w:t>
            </w:r>
          </w:p>
        </w:tc>
      </w:tr>
      <w:tr>
        <w:trPr>
          <w:cantSplit/>
        </w:trPr>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Fails when</w:t>
            </w:r>
          </w:p>
        </w:tc>
        <w:tc>
          <w:tcPr>
            <w:tcW w:type="dxa" w:w="3931"/>
            <w:shd w:fill="FFFFFF" w:val="clear"/>
            <w:tcMar>
              <w:top w:type="dxa" w:w="90"/>
              <w:left w:type="dxa" w:w="130"/>
              <w:bottom w:type="dxa" w:w="90"/>
              <w:right w:type="dxa" w:w="130"/>
            </w:tcMar>
          </w:tcPr>
          <w:p>
            <w:r>
              <w:rPr>
                <w:rFonts w:ascii="Calibri" w:cs="Calibri" w:eastAsia="Calibri" w:hAnsi="Calibri"/>
                <w:color w:val="23282A"/>
                <w:sz w:val="19"/>
                <w:szCs w:val="19"/>
              </w:rPr>
              <w:t xml:space="preserve">A figure appears with no boundary, no method and no comparison.</w:t>
            </w:r>
          </w:p>
        </w:tc>
        <w:tc>
          <w:tcPr>
            <w:tcW w:type="dxa" w:w="3931"/>
            <w:shd w:fill="FFFFFF" w:val="clear"/>
            <w:tcMar>
              <w:top w:type="dxa" w:w="90"/>
              <w:left w:type="dxa" w:w="130"/>
              <w:bottom w:type="dxa" w:w="90"/>
              <w:right w:type="dxa" w:w="130"/>
            </w:tcMar>
          </w:tcPr>
          <w:p>
            <w:r>
              <w:rPr>
                <w:rFonts w:ascii="Calibri" w:cs="Calibri" w:eastAsia="Calibri" w:hAnsi="Calibri"/>
                <w:color w:val="23282A"/>
                <w:sz w:val="19"/>
                <w:szCs w:val="19"/>
              </w:rPr>
              <w:t xml:space="preserve">A sentence asserts an outcome that nothing in the evidence register supports.</w:t>
            </w:r>
          </w:p>
        </w:tc>
      </w:tr>
    </w:tbl>
    <w:p>
      <w:pPr>
        <w:spacing w:after="160"/>
      </w:pPr>
    </w:p>
    <w:p>
      <w:pPr>
        <w:pStyle w:val="Heading2"/>
        <w:keepNext/>
        <w:spacing w:after="120" w:before="300"/>
      </w:pPr>
      <w:r>
        <w:rPr>
          <w:rFonts w:ascii="Cambria" w:cs="Cambria" w:eastAsia="Cambria" w:hAnsi="Cambria"/>
          <w:b/>
          <w:bCs/>
          <w:color w:val="00647A"/>
          <w:sz w:val="25"/>
          <w:szCs w:val="25"/>
        </w:rPr>
        <w:t xml:space="preserve">6.1 Anatomy of one defensible number</w:t>
      </w:r>
    </w:p>
    <w:p>
      <w:pPr>
        <w:spacing w:after="140"/>
      </w:pPr>
      <w:r>
        <w:rPr>
          <w:rFonts w:ascii="Calibri" w:cs="Calibri" w:eastAsia="Calibri" w:hAnsi="Calibri"/>
          <w:color w:val="23282A"/>
          <w:sz w:val="21"/>
          <w:szCs w:val="21"/>
        </w:rPr>
        <w:t xml:space="preserve">The reader sees the figure, the unit, the comparison and a footnote marker. Everything else sits in the Data Book and the disclosure index, and is what an assurance provider asks for first.</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2434"/>
        <w:gridCol w:w="6926"/>
      </w:tblGrid>
      <w:tr>
        <w:trPr>
          <w:cantSplit/>
          <w:tblHeader/>
        </w:trPr>
        <w:tc>
          <w:tcPr>
            <w:tcW w:type="dxa" w:w="2434"/>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Element</w:t>
            </w:r>
          </w:p>
        </w:tc>
        <w:tc>
          <w:tcPr>
            <w:tcW w:type="dxa" w:w="6926"/>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Worked example</w:t>
            </w:r>
          </w:p>
        </w:tc>
      </w:tr>
      <w:tr>
        <w:trPr>
          <w:cantSplit/>
        </w:trPr>
        <w:tc>
          <w:tcPr>
            <w:tcW w:type="dxa" w:w="2434"/>
            <w:shd w:fill="FFFFFF" w:val="clear"/>
            <w:tcMar>
              <w:top w:type="dxa" w:w="90"/>
              <w:left w:type="dxa" w:w="130"/>
              <w:bottom w:type="dxa" w:w="90"/>
              <w:right w:type="dxa" w:w="130"/>
            </w:tcMar>
          </w:tcPr>
          <w:p>
            <w:r>
              <w:rPr>
                <w:rFonts w:ascii="Calibri" w:cs="Calibri" w:eastAsia="Calibri" w:hAnsi="Calibri"/>
                <w:color w:val="23282A"/>
                <w:sz w:val="19"/>
                <w:szCs w:val="19"/>
              </w:rPr>
              <w:t xml:space="preserve">Figure and unit</w:t>
            </w:r>
          </w:p>
        </w:tc>
        <w:tc>
          <w:tcPr>
            <w:tcW w:type="dxa" w:w="6926"/>
            <w:shd w:fill="FFFFFF" w:val="clear"/>
            <w:tcMar>
              <w:top w:type="dxa" w:w="90"/>
              <w:left w:type="dxa" w:w="130"/>
              <w:bottom w:type="dxa" w:w="90"/>
              <w:right w:type="dxa" w:w="130"/>
            </w:tcMar>
          </w:tcPr>
          <w:p>
            <w:r>
              <w:rPr>
                <w:rFonts w:ascii="Calibri" w:cs="Calibri" w:eastAsia="Calibri" w:hAnsi="Calibri"/>
                <w:color w:val="23282A"/>
                <w:sz w:val="19"/>
                <w:szCs w:val="19"/>
              </w:rPr>
              <w:t xml:space="preserve">12 480 tCO₂e · Scope 1 · FY2026</w:t>
            </w:r>
          </w:p>
        </w:tc>
      </w:tr>
      <w:tr>
        <w:trPr>
          <w:cantSplit/>
        </w:trPr>
        <w:tc>
          <w:tcPr>
            <w:tcW w:type="dxa" w:w="2434"/>
            <w:shd w:fill="F4F8F9" w:val="clear"/>
            <w:tcMar>
              <w:top w:type="dxa" w:w="90"/>
              <w:left w:type="dxa" w:w="130"/>
              <w:bottom w:type="dxa" w:w="90"/>
              <w:right w:type="dxa" w:w="130"/>
            </w:tcMar>
          </w:tcPr>
          <w:p>
            <w:r>
              <w:rPr>
                <w:rFonts w:ascii="Calibri" w:cs="Calibri" w:eastAsia="Calibri" w:hAnsi="Calibri"/>
                <w:color w:val="23282A"/>
                <w:sz w:val="19"/>
                <w:szCs w:val="19"/>
              </w:rPr>
              <w:t xml:space="preserve">Comparison</w:t>
            </w:r>
          </w:p>
        </w:tc>
        <w:tc>
          <w:tcPr>
            <w:tcW w:type="dxa" w:w="6926"/>
            <w:shd w:fill="F4F8F9" w:val="clear"/>
            <w:tcMar>
              <w:top w:type="dxa" w:w="90"/>
              <w:left w:type="dxa" w:w="130"/>
              <w:bottom w:type="dxa" w:w="90"/>
              <w:right w:type="dxa" w:w="130"/>
            </w:tcMar>
          </w:tcPr>
          <w:p>
            <w:r>
              <w:rPr>
                <w:rFonts w:ascii="Calibri" w:cs="Calibri" w:eastAsia="Calibri" w:hAnsi="Calibri"/>
                <w:color w:val="23282A"/>
                <w:sz w:val="19"/>
                <w:szCs w:val="19"/>
              </w:rPr>
              <w:t xml:space="preserve">Down 8.4% on FY2025 restated</w:t>
            </w:r>
          </w:p>
        </w:tc>
      </w:tr>
      <w:tr>
        <w:trPr>
          <w:cantSplit/>
        </w:trPr>
        <w:tc>
          <w:tcPr>
            <w:tcW w:type="dxa" w:w="2434"/>
            <w:shd w:fill="FFFFFF" w:val="clear"/>
            <w:tcMar>
              <w:top w:type="dxa" w:w="90"/>
              <w:left w:type="dxa" w:w="130"/>
              <w:bottom w:type="dxa" w:w="90"/>
              <w:right w:type="dxa" w:w="130"/>
            </w:tcMar>
          </w:tcPr>
          <w:p>
            <w:r>
              <w:rPr>
                <w:rFonts w:ascii="Calibri" w:cs="Calibri" w:eastAsia="Calibri" w:hAnsi="Calibri"/>
                <w:color w:val="23282A"/>
                <w:sz w:val="19"/>
                <w:szCs w:val="19"/>
              </w:rPr>
              <w:t xml:space="preserve">Boundary</w:t>
            </w:r>
          </w:p>
        </w:tc>
        <w:tc>
          <w:tcPr>
            <w:tcW w:type="dxa" w:w="6926"/>
            <w:shd w:fill="FFFFFF" w:val="clear"/>
            <w:tcMar>
              <w:top w:type="dxa" w:w="90"/>
              <w:left w:type="dxa" w:w="130"/>
              <w:bottom w:type="dxa" w:w="90"/>
              <w:right w:type="dxa" w:w="130"/>
            </w:tcMar>
          </w:tcPr>
          <w:p>
            <w:r>
              <w:rPr>
                <w:rFonts w:ascii="Calibri" w:cs="Calibri" w:eastAsia="Calibri" w:hAnsi="Calibri"/>
                <w:color w:val="23282A"/>
                <w:sz w:val="19"/>
                <w:szCs w:val="19"/>
              </w:rPr>
              <w:t xml:space="preserve">Operational control, 5 depots</w:t>
            </w:r>
          </w:p>
        </w:tc>
      </w:tr>
      <w:tr>
        <w:trPr>
          <w:cantSplit/>
        </w:trPr>
        <w:tc>
          <w:tcPr>
            <w:tcW w:type="dxa" w:w="2434"/>
            <w:shd w:fill="F4F8F9" w:val="clear"/>
            <w:tcMar>
              <w:top w:type="dxa" w:w="90"/>
              <w:left w:type="dxa" w:w="130"/>
              <w:bottom w:type="dxa" w:w="90"/>
              <w:right w:type="dxa" w:w="130"/>
            </w:tcMar>
          </w:tcPr>
          <w:p>
            <w:r>
              <w:rPr>
                <w:rFonts w:ascii="Calibri" w:cs="Calibri" w:eastAsia="Calibri" w:hAnsi="Calibri"/>
                <w:color w:val="23282A"/>
                <w:sz w:val="19"/>
                <w:szCs w:val="19"/>
              </w:rPr>
              <w:t xml:space="preserve">Source system</w:t>
            </w:r>
          </w:p>
        </w:tc>
        <w:tc>
          <w:tcPr>
            <w:tcW w:type="dxa" w:w="6926"/>
            <w:shd w:fill="F4F8F9" w:val="clear"/>
            <w:tcMar>
              <w:top w:type="dxa" w:w="90"/>
              <w:left w:type="dxa" w:w="130"/>
              <w:bottom w:type="dxa" w:w="90"/>
              <w:right w:type="dxa" w:w="130"/>
            </w:tcMar>
          </w:tcPr>
          <w:p>
            <w:r>
              <w:rPr>
                <w:rFonts w:ascii="Calibri" w:cs="Calibri" w:eastAsia="Calibri" w:hAnsi="Calibri"/>
                <w:color w:val="23282A"/>
                <w:sz w:val="19"/>
                <w:szCs w:val="19"/>
              </w:rPr>
              <w:t xml:space="preserve">Fuel card ledger and meter reads</w:t>
            </w:r>
          </w:p>
        </w:tc>
      </w:tr>
      <w:tr>
        <w:trPr>
          <w:cantSplit/>
        </w:trPr>
        <w:tc>
          <w:tcPr>
            <w:tcW w:type="dxa" w:w="2434"/>
            <w:shd w:fill="FFFFFF" w:val="clear"/>
            <w:tcMar>
              <w:top w:type="dxa" w:w="90"/>
              <w:left w:type="dxa" w:w="130"/>
              <w:bottom w:type="dxa" w:w="90"/>
              <w:right w:type="dxa" w:w="130"/>
            </w:tcMar>
          </w:tcPr>
          <w:p>
            <w:r>
              <w:rPr>
                <w:rFonts w:ascii="Calibri" w:cs="Calibri" w:eastAsia="Calibri" w:hAnsi="Calibri"/>
                <w:color w:val="23282A"/>
                <w:sz w:val="19"/>
                <w:szCs w:val="19"/>
              </w:rPr>
              <w:t xml:space="preserve">Owner</w:t>
            </w:r>
          </w:p>
        </w:tc>
        <w:tc>
          <w:tcPr>
            <w:tcW w:type="dxa" w:w="6926"/>
            <w:shd w:fill="FFFFFF" w:val="clear"/>
            <w:tcMar>
              <w:top w:type="dxa" w:w="90"/>
              <w:left w:type="dxa" w:w="130"/>
              <w:bottom w:type="dxa" w:w="90"/>
              <w:right w:type="dxa" w:w="130"/>
            </w:tcMar>
          </w:tcPr>
          <w:p>
            <w:r>
              <w:rPr>
                <w:rFonts w:ascii="Calibri" w:cs="Calibri" w:eastAsia="Calibri" w:hAnsi="Calibri"/>
                <w:color w:val="23282A"/>
                <w:sz w:val="19"/>
                <w:szCs w:val="19"/>
              </w:rPr>
              <w:t xml:space="preserve">Group Operations Manager</w:t>
            </w:r>
          </w:p>
        </w:tc>
      </w:tr>
      <w:tr>
        <w:trPr>
          <w:cantSplit/>
        </w:trPr>
        <w:tc>
          <w:tcPr>
            <w:tcW w:type="dxa" w:w="2434"/>
            <w:shd w:fill="F4F8F9" w:val="clear"/>
            <w:tcMar>
              <w:top w:type="dxa" w:w="90"/>
              <w:left w:type="dxa" w:w="130"/>
              <w:bottom w:type="dxa" w:w="90"/>
              <w:right w:type="dxa" w:w="130"/>
            </w:tcMar>
          </w:tcPr>
          <w:p>
            <w:r>
              <w:rPr>
                <w:rFonts w:ascii="Calibri" w:cs="Calibri" w:eastAsia="Calibri" w:hAnsi="Calibri"/>
                <w:color w:val="23282A"/>
                <w:sz w:val="19"/>
                <w:szCs w:val="19"/>
              </w:rPr>
              <w:t xml:space="preserve">Calculation method</w:t>
            </w:r>
          </w:p>
        </w:tc>
        <w:tc>
          <w:tcPr>
            <w:tcW w:type="dxa" w:w="6926"/>
            <w:shd w:fill="F4F8F9" w:val="clear"/>
            <w:tcMar>
              <w:top w:type="dxa" w:w="90"/>
              <w:left w:type="dxa" w:w="130"/>
              <w:bottom w:type="dxa" w:w="90"/>
              <w:right w:type="dxa" w:w="130"/>
            </w:tcMar>
          </w:tcPr>
          <w:p>
            <w:r>
              <w:rPr>
                <w:rFonts w:ascii="Calibri" w:cs="Calibri" w:eastAsia="Calibri" w:hAnsi="Calibri"/>
                <w:color w:val="23282A"/>
                <w:sz w:val="19"/>
                <w:szCs w:val="19"/>
              </w:rPr>
              <w:t xml:space="preserve">Litres × DEFRA 2025 factor</w:t>
            </w:r>
          </w:p>
        </w:tc>
      </w:tr>
      <w:tr>
        <w:trPr>
          <w:cantSplit/>
        </w:trPr>
        <w:tc>
          <w:tcPr>
            <w:tcW w:type="dxa" w:w="2434"/>
            <w:shd w:fill="FFFFFF" w:val="clear"/>
            <w:tcMar>
              <w:top w:type="dxa" w:w="90"/>
              <w:left w:type="dxa" w:w="130"/>
              <w:bottom w:type="dxa" w:w="90"/>
              <w:right w:type="dxa" w:w="130"/>
            </w:tcMar>
          </w:tcPr>
          <w:p>
            <w:r>
              <w:rPr>
                <w:rFonts w:ascii="Calibri" w:cs="Calibri" w:eastAsia="Calibri" w:hAnsi="Calibri"/>
                <w:color w:val="23282A"/>
                <w:sz w:val="19"/>
                <w:szCs w:val="19"/>
              </w:rPr>
              <w:t xml:space="preserve">Data quality</w:t>
            </w:r>
          </w:p>
        </w:tc>
        <w:tc>
          <w:tcPr>
            <w:tcW w:type="dxa" w:w="6926"/>
            <w:shd w:fill="FFFFFF" w:val="clear"/>
            <w:tcMar>
              <w:top w:type="dxa" w:w="90"/>
              <w:left w:type="dxa" w:w="130"/>
              <w:bottom w:type="dxa" w:w="90"/>
              <w:right w:type="dxa" w:w="130"/>
            </w:tcMar>
          </w:tcPr>
          <w:p>
            <w:r>
              <w:rPr>
                <w:rFonts w:ascii="Calibri" w:cs="Calibri" w:eastAsia="Calibri" w:hAnsi="Calibri"/>
                <w:color w:val="23282A"/>
                <w:sz w:val="19"/>
                <w:szCs w:val="19"/>
              </w:rPr>
              <w:t xml:space="preserve">4 of 5 — 2.1% of the total estimated</w:t>
            </w:r>
          </w:p>
        </w:tc>
      </w:tr>
      <w:tr>
        <w:trPr>
          <w:cantSplit/>
        </w:trPr>
        <w:tc>
          <w:tcPr>
            <w:tcW w:type="dxa" w:w="2434"/>
            <w:shd w:fill="F4F8F9" w:val="clear"/>
            <w:tcMar>
              <w:top w:type="dxa" w:w="90"/>
              <w:left w:type="dxa" w:w="130"/>
              <w:bottom w:type="dxa" w:w="90"/>
              <w:right w:type="dxa" w:w="130"/>
            </w:tcMar>
          </w:tcPr>
          <w:p>
            <w:r>
              <w:rPr>
                <w:rFonts w:ascii="Calibri" w:cs="Calibri" w:eastAsia="Calibri" w:hAnsi="Calibri"/>
                <w:color w:val="23282A"/>
                <w:sz w:val="19"/>
                <w:szCs w:val="19"/>
              </w:rPr>
              <w:t xml:space="preserve">Assurance status</w:t>
            </w:r>
          </w:p>
        </w:tc>
        <w:tc>
          <w:tcPr>
            <w:tcW w:type="dxa" w:w="6926"/>
            <w:shd w:fill="F4F8F9" w:val="clear"/>
            <w:tcMar>
              <w:top w:type="dxa" w:w="90"/>
              <w:left w:type="dxa" w:w="130"/>
              <w:bottom w:type="dxa" w:w="90"/>
              <w:right w:type="dxa" w:w="130"/>
            </w:tcMar>
          </w:tcPr>
          <w:p>
            <w:r>
              <w:rPr>
                <w:rFonts w:ascii="Calibri" w:cs="Calibri" w:eastAsia="Calibri" w:hAnsi="Calibri"/>
                <w:color w:val="23282A"/>
                <w:sz w:val="19"/>
                <w:szCs w:val="19"/>
              </w:rPr>
              <w:t xml:space="preserve">Internally reviewed, not assured</w:t>
            </w:r>
          </w:p>
        </w:tc>
      </w:tr>
      <w:tr>
        <w:trPr>
          <w:cantSplit/>
        </w:trPr>
        <w:tc>
          <w:tcPr>
            <w:tcW w:type="dxa" w:w="2434"/>
            <w:shd w:fill="FFFFFF" w:val="clear"/>
            <w:tcMar>
              <w:top w:type="dxa" w:w="90"/>
              <w:left w:type="dxa" w:w="130"/>
              <w:bottom w:type="dxa" w:w="90"/>
              <w:right w:type="dxa" w:w="130"/>
            </w:tcMar>
          </w:tcPr>
          <w:p>
            <w:r>
              <w:rPr>
                <w:rFonts w:ascii="Calibri" w:cs="Calibri" w:eastAsia="Calibri" w:hAnsi="Calibri"/>
                <w:color w:val="23282A"/>
                <w:sz w:val="19"/>
                <w:szCs w:val="19"/>
              </w:rPr>
              <w:t xml:space="preserve">Target</w:t>
            </w:r>
          </w:p>
        </w:tc>
        <w:tc>
          <w:tcPr>
            <w:tcW w:type="dxa" w:w="6926"/>
            <w:shd w:fill="FFFFFF" w:val="clear"/>
            <w:tcMar>
              <w:top w:type="dxa" w:w="90"/>
              <w:left w:type="dxa" w:w="130"/>
              <w:bottom w:type="dxa" w:w="90"/>
              <w:right w:type="dxa" w:w="130"/>
            </w:tcMar>
          </w:tcPr>
          <w:p>
            <w:r>
              <w:rPr>
                <w:rFonts w:ascii="Calibri" w:cs="Calibri" w:eastAsia="Calibri" w:hAnsi="Calibri"/>
                <w:color w:val="23282A"/>
                <w:sz w:val="19"/>
                <w:szCs w:val="19"/>
              </w:rPr>
              <w:t xml:space="preserve">Down 40% by FY2030 against an FY2024 baseline</w:t>
            </w:r>
          </w:p>
        </w:tc>
      </w:tr>
      <w:tr>
        <w:trPr>
          <w:cantSplit/>
        </w:trPr>
        <w:tc>
          <w:tcPr>
            <w:tcW w:type="dxa" w:w="2434"/>
            <w:shd w:fill="F4F8F9" w:val="clear"/>
            <w:tcMar>
              <w:top w:type="dxa" w:w="90"/>
              <w:left w:type="dxa" w:w="130"/>
              <w:bottom w:type="dxa" w:w="90"/>
              <w:right w:type="dxa" w:w="130"/>
            </w:tcMar>
          </w:tcPr>
          <w:p>
            <w:r>
              <w:rPr>
                <w:rFonts w:ascii="Calibri" w:cs="Calibri" w:eastAsia="Calibri" w:hAnsi="Calibri"/>
                <w:color w:val="23282A"/>
                <w:sz w:val="19"/>
                <w:szCs w:val="19"/>
              </w:rPr>
              <w:t xml:space="preserve">Evidence</w:t>
            </w:r>
          </w:p>
        </w:tc>
        <w:tc>
          <w:tcPr>
            <w:tcW w:type="dxa" w:w="6926"/>
            <w:shd w:fill="F4F8F9" w:val="clear"/>
            <w:tcMar>
              <w:top w:type="dxa" w:w="90"/>
              <w:left w:type="dxa" w:w="130"/>
              <w:bottom w:type="dxa" w:w="90"/>
              <w:right w:type="dxa" w:w="130"/>
            </w:tcMar>
          </w:tcPr>
          <w:p>
            <w:r>
              <w:rPr>
                <w:rFonts w:ascii="Calibri" w:cs="Calibri" w:eastAsia="Calibri" w:hAnsi="Calibri"/>
                <w:color w:val="23282A"/>
                <w:sz w:val="19"/>
                <w:szCs w:val="19"/>
              </w:rPr>
              <w:t xml:space="preserve">EV-0412, EV-0418, EV-0431</w:t>
            </w:r>
          </w:p>
        </w:tc>
      </w:tr>
      <w:tr>
        <w:trPr>
          <w:cantSplit/>
        </w:trPr>
        <w:tc>
          <w:tcPr>
            <w:tcW w:type="dxa" w:w="2434"/>
            <w:shd w:fill="FFFFFF" w:val="clear"/>
            <w:tcMar>
              <w:top w:type="dxa" w:w="90"/>
              <w:left w:type="dxa" w:w="130"/>
              <w:bottom w:type="dxa" w:w="90"/>
              <w:right w:type="dxa" w:w="130"/>
            </w:tcMar>
          </w:tcPr>
          <w:p>
            <w:r>
              <w:rPr>
                <w:rFonts w:ascii="Calibri" w:cs="Calibri" w:eastAsia="Calibri" w:hAnsi="Calibri"/>
                <w:color w:val="23282A"/>
                <w:sz w:val="19"/>
                <w:szCs w:val="19"/>
              </w:rPr>
              <w:t xml:space="preserve">Framework refs</w:t>
            </w:r>
          </w:p>
        </w:tc>
        <w:tc>
          <w:tcPr>
            <w:tcW w:type="dxa" w:w="6926"/>
            <w:shd w:fill="FFFFFF" w:val="clear"/>
            <w:tcMar>
              <w:top w:type="dxa" w:w="90"/>
              <w:left w:type="dxa" w:w="130"/>
              <w:bottom w:type="dxa" w:w="90"/>
              <w:right w:type="dxa" w:w="130"/>
            </w:tcMar>
          </w:tcPr>
          <w:p>
            <w:r>
              <w:rPr>
                <w:rFonts w:ascii="Calibri" w:cs="Calibri" w:eastAsia="Calibri" w:hAnsi="Calibri"/>
                <w:color w:val="23282A"/>
                <w:sz w:val="19"/>
                <w:szCs w:val="19"/>
              </w:rPr>
              <w:t xml:space="preserve">JSE Core · IFRS S2 · GRI 305-1</w:t>
            </w:r>
          </w:p>
        </w:tc>
      </w:tr>
    </w:tbl>
    <w:p>
      <w:pPr>
        <w:spacing w:after="160"/>
      </w:pPr>
    </w:p>
    <w:p>
      <w:pPr>
        <w:pStyle w:val="Heading2"/>
        <w:keepNext/>
        <w:spacing w:after="120" w:before="300"/>
      </w:pPr>
      <w:r>
        <w:rPr>
          <w:rFonts w:ascii="Cambria" w:cs="Cambria" w:eastAsia="Cambria" w:hAnsi="Cambria"/>
          <w:b/>
          <w:bCs/>
          <w:color w:val="00647A"/>
          <w:sz w:val="25"/>
          <w:szCs w:val="25"/>
        </w:rPr>
        <w:t xml:space="preserve">6.2 How quantitative data renders</w:t>
      </w:r>
    </w:p>
    <w:p>
      <w:pPr>
        <w:spacing w:after="140"/>
      </w:pPr>
      <w:r>
        <w:rPr>
          <w:rFonts w:ascii="Calibri" w:cs="Calibri" w:eastAsia="Calibri" w:hAnsi="Calibri"/>
          <w:color w:val="23282A"/>
          <w:sz w:val="21"/>
          <w:szCs w:val="21"/>
        </w:rPr>
        <w:t xml:space="preserve">A metric never appears as a bare figure. Each renders with:</w:t>
      </w:r>
    </w:p>
    <w:p>
      <w:pPr>
        <w:pStyle w:val="ListParagraph"/>
        <w:numPr>
          <w:ilvl w:val="0"/>
          <w:numId w:val="3"/>
        </w:numPr>
        <w:spacing w:after="80"/>
      </w:pPr>
      <w:r>
        <w:rPr>
          <w:rFonts w:ascii="Calibri" w:cs="Calibri" w:eastAsia="Calibri" w:hAnsi="Calibri"/>
          <w:color w:val="23282A"/>
          <w:sz w:val="21"/>
          <w:szCs w:val="21"/>
        </w:rPr>
        <w:t xml:space="preserve">Its trajectory against the pathway required to hit the stated target</w:t>
      </w:r>
    </w:p>
    <w:p>
      <w:pPr>
        <w:pStyle w:val="ListParagraph"/>
        <w:numPr>
          <w:ilvl w:val="0"/>
          <w:numId w:val="3"/>
        </w:numPr>
        <w:spacing w:after="80"/>
      </w:pPr>
      <w:r>
        <w:rPr>
          <w:rFonts w:ascii="Calibri" w:cs="Calibri" w:eastAsia="Calibri" w:hAnsi="Calibri"/>
          <w:color w:val="23282A"/>
          <w:sz w:val="21"/>
          <w:szCs w:val="21"/>
        </w:rPr>
        <w:t xml:space="preserve">RAG status derived from that trajectory and from data quality</w:t>
      </w:r>
    </w:p>
    <w:p>
      <w:pPr>
        <w:pStyle w:val="ListParagraph"/>
        <w:numPr>
          <w:ilvl w:val="0"/>
          <w:numId w:val="3"/>
        </w:numPr>
        <w:spacing w:after="80"/>
      </w:pPr>
      <w:r>
        <w:rPr>
          <w:rFonts w:ascii="Calibri" w:cs="Calibri" w:eastAsia="Calibri" w:hAnsi="Calibri"/>
          <w:color w:val="23282A"/>
          <w:sz w:val="21"/>
          <w:szCs w:val="21"/>
        </w:rPr>
        <w:t xml:space="preserve">The data quality of every plotted point, not just the headline figure</w:t>
      </w:r>
    </w:p>
    <w:p>
      <w:pPr>
        <w:pStyle w:val="ListParagraph"/>
        <w:numPr>
          <w:ilvl w:val="0"/>
          <w:numId w:val="3"/>
        </w:numPr>
        <w:spacing w:after="80"/>
      </w:pPr>
      <w:r>
        <w:rPr>
          <w:rFonts w:ascii="Calibri" w:cs="Calibri" w:eastAsia="Calibri" w:hAnsi="Calibri"/>
          <w:color w:val="23282A"/>
          <w:sz w:val="21"/>
          <w:szCs w:val="21"/>
        </w:rPr>
        <w:t xml:space="preserve">Restatement footnotes where any prior-period figure has changed</w:t>
      </w:r>
    </w:p>
    <w:p>
      <w:pPr>
        <w:pStyle w:val="ListParagraph"/>
        <w:numPr>
          <w:ilvl w:val="0"/>
          <w:numId w:val="3"/>
        </w:numPr>
        <w:spacing w:after="80"/>
      </w:pPr>
      <w:r>
        <w:rPr>
          <w:rFonts w:ascii="Calibri" w:cs="Calibri" w:eastAsia="Calibri" w:hAnsi="Calibri"/>
          <w:color w:val="23282A"/>
          <w:sz w:val="21"/>
          <w:szCs w:val="21"/>
        </w:rPr>
        <w:t xml:space="preserve">The narrative block explaining the variance, and the linked reduction levers</w:t>
      </w:r>
    </w:p>
    <w:p>
      <w:pPr>
        <w:spacing w:after="140"/>
      </w:pPr>
      <w:r>
        <w:rPr>
          <w:rFonts w:ascii="Calibri" w:cs="Calibri" w:eastAsia="Calibri" w:hAnsi="Calibri"/>
          <w:color w:val="23282A"/>
          <w:sz w:val="21"/>
          <w:szCs w:val="21"/>
        </w:rPr>
        <w:t xml:space="preserve">Two report-level views are mandatory on the dashboard: the distribution of data quality across the metric set with its weighted index, and assurance readiness by topic rated ready for limited assurance, remediation required, or not assurable.</w:t>
      </w:r>
    </w:p>
    <w:p>
      <w:pPr>
        <w:spacing w:after="160"/>
      </w:pPr>
    </w:p>
    <w:p>
      <w:pPr>
        <w:pStyle w:val="Heading2"/>
        <w:keepNext/>
        <w:spacing w:after="120" w:before="300"/>
      </w:pPr>
      <w:r>
        <w:rPr>
          <w:rFonts w:ascii="Cambria" w:cs="Cambria" w:eastAsia="Cambria" w:hAnsi="Cambria"/>
          <w:b/>
          <w:bCs/>
          <w:color w:val="00647A"/>
          <w:sz w:val="25"/>
          <w:szCs w:val="25"/>
        </w:rPr>
        <w:t xml:space="preserve">6.3 Claim tiers</w:t>
      </w:r>
    </w:p>
    <w:p>
      <w:pPr>
        <w:spacing w:after="140"/>
      </w:pPr>
      <w:r>
        <w:rPr>
          <w:rFonts w:ascii="Calibri" w:cs="Calibri" w:eastAsia="Calibri" w:hAnsi="Calibri"/>
          <w:color w:val="23282A"/>
          <w:sz w:val="21"/>
          <w:szCs w:val="21"/>
        </w:rPr>
        <w:t xml:space="preserve">Every narrative sentence is classified before it renders. A sentence that cannot be classified does not go into the document.</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749"/>
        <w:gridCol w:w="1498"/>
        <w:gridCol w:w="3182"/>
        <w:gridCol w:w="3931"/>
      </w:tblGrid>
      <w:tr>
        <w:trPr>
          <w:cantSplit/>
          <w:tblHeader/>
        </w:trPr>
        <w:tc>
          <w:tcPr>
            <w:tcW w:type="dxa" w:w="749"/>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Tier</w:t>
            </w:r>
          </w:p>
        </w:tc>
        <w:tc>
          <w:tcPr>
            <w:tcW w:type="dxa" w:w="149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Type</w:t>
            </w:r>
          </w:p>
        </w:tc>
        <w:tc>
          <w:tcPr>
            <w:tcW w:type="dxa" w:w="3182"/>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What it asserts</w:t>
            </w:r>
          </w:p>
        </w:tc>
        <w:tc>
          <w:tcPr>
            <w:tcW w:type="dxa" w:w="3931"/>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What must bind it</w:t>
            </w:r>
          </w:p>
        </w:tc>
      </w:tr>
      <w:tr>
        <w:trPr>
          <w:cantSplit/>
        </w:trPr>
        <w:tc>
          <w:tcPr>
            <w:tcW w:type="dxa" w:w="749"/>
            <w:shd w:fill="FFFFFF" w:val="clear"/>
            <w:tcMar>
              <w:top w:type="dxa" w:w="90"/>
              <w:left w:type="dxa" w:w="130"/>
              <w:bottom w:type="dxa" w:w="90"/>
              <w:right w:type="dxa" w:w="130"/>
            </w:tcMar>
          </w:tcPr>
          <w:p>
            <w:r>
              <w:rPr>
                <w:rFonts w:ascii="Calibri" w:cs="Calibri" w:eastAsia="Calibri" w:hAnsi="Calibri"/>
                <w:color w:val="23282A"/>
                <w:sz w:val="19"/>
                <w:szCs w:val="19"/>
              </w:rPr>
              <w:t xml:space="preserve">A</w:t>
            </w:r>
          </w:p>
        </w:tc>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Factual</w:t>
            </w:r>
          </w:p>
        </w:tc>
        <w:tc>
          <w:tcPr>
            <w:tcW w:type="dxa" w:w="3182"/>
            <w:shd w:fill="FFFFFF" w:val="clear"/>
            <w:tcMar>
              <w:top w:type="dxa" w:w="90"/>
              <w:left w:type="dxa" w:w="130"/>
              <w:bottom w:type="dxa" w:w="90"/>
              <w:right w:type="dxa" w:w="130"/>
            </w:tcMar>
          </w:tcPr>
          <w:p>
            <w:r>
              <w:rPr>
                <w:rFonts w:ascii="Calibri" w:cs="Calibri" w:eastAsia="Calibri" w:hAnsi="Calibri"/>
                <w:color w:val="23282A"/>
                <w:sz w:val="19"/>
                <w:szCs w:val="19"/>
              </w:rPr>
              <w:t xml:space="preserve">A measured outcome</w:t>
            </w:r>
          </w:p>
        </w:tc>
        <w:tc>
          <w:tcPr>
            <w:tcW w:type="dxa" w:w="3931"/>
            <w:shd w:fill="FFFFFF" w:val="clear"/>
            <w:tcMar>
              <w:top w:type="dxa" w:w="90"/>
              <w:left w:type="dxa" w:w="130"/>
              <w:bottom w:type="dxa" w:w="90"/>
              <w:right w:type="dxa" w:w="130"/>
            </w:tcMar>
          </w:tcPr>
          <w:p>
            <w:r>
              <w:rPr>
                <w:rFonts w:ascii="Calibri" w:cs="Calibri" w:eastAsia="Calibri" w:hAnsi="Calibri"/>
                <w:color w:val="23282A"/>
                <w:sz w:val="19"/>
                <w:szCs w:val="19"/>
              </w:rPr>
              <w:t xml:space="preserve">A metric ID in the register</w:t>
            </w:r>
          </w:p>
        </w:tc>
      </w:tr>
      <w:tr>
        <w:trPr>
          <w:cantSplit/>
        </w:trPr>
        <w:tc>
          <w:tcPr>
            <w:tcW w:type="dxa" w:w="749"/>
            <w:shd w:fill="F4F8F9" w:val="clear"/>
            <w:tcMar>
              <w:top w:type="dxa" w:w="90"/>
              <w:left w:type="dxa" w:w="130"/>
              <w:bottom w:type="dxa" w:w="90"/>
              <w:right w:type="dxa" w:w="130"/>
            </w:tcMar>
          </w:tcPr>
          <w:p>
            <w:r>
              <w:rPr>
                <w:rFonts w:ascii="Calibri" w:cs="Calibri" w:eastAsia="Calibri" w:hAnsi="Calibri"/>
                <w:color w:val="23282A"/>
                <w:sz w:val="19"/>
                <w:szCs w:val="19"/>
              </w:rPr>
              <w:t xml:space="preserve">B</w:t>
            </w:r>
          </w:p>
        </w:tc>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Process</w:t>
            </w:r>
          </w:p>
        </w:tc>
        <w:tc>
          <w:tcPr>
            <w:tcW w:type="dxa" w:w="3182"/>
            <w:shd w:fill="F4F8F9" w:val="clear"/>
            <w:tcMar>
              <w:top w:type="dxa" w:w="90"/>
              <w:left w:type="dxa" w:w="130"/>
              <w:bottom w:type="dxa" w:w="90"/>
              <w:right w:type="dxa" w:w="130"/>
            </w:tcMar>
          </w:tcPr>
          <w:p>
            <w:r>
              <w:rPr>
                <w:rFonts w:ascii="Calibri" w:cs="Calibri" w:eastAsia="Calibri" w:hAnsi="Calibri"/>
                <w:color w:val="23282A"/>
                <w:sz w:val="19"/>
                <w:szCs w:val="19"/>
              </w:rPr>
              <w:t xml:space="preserve">That something is done a certain way</w:t>
            </w:r>
          </w:p>
        </w:tc>
        <w:tc>
          <w:tcPr>
            <w:tcW w:type="dxa" w:w="3931"/>
            <w:shd w:fill="F4F8F9" w:val="clear"/>
            <w:tcMar>
              <w:top w:type="dxa" w:w="90"/>
              <w:left w:type="dxa" w:w="130"/>
              <w:bottom w:type="dxa" w:w="90"/>
              <w:right w:type="dxa" w:w="130"/>
            </w:tcMar>
          </w:tcPr>
          <w:p>
            <w:r>
              <w:rPr>
                <w:rFonts w:ascii="Calibri" w:cs="Calibri" w:eastAsia="Calibri" w:hAnsi="Calibri"/>
                <w:color w:val="23282A"/>
                <w:sz w:val="19"/>
                <w:szCs w:val="19"/>
              </w:rPr>
              <w:t xml:space="preserve">A policy, procedure or committee minute</w:t>
            </w:r>
          </w:p>
        </w:tc>
      </w:tr>
      <w:tr>
        <w:trPr>
          <w:cantSplit/>
        </w:trPr>
        <w:tc>
          <w:tcPr>
            <w:tcW w:type="dxa" w:w="749"/>
            <w:shd w:fill="FFFFFF" w:val="clear"/>
            <w:tcMar>
              <w:top w:type="dxa" w:w="90"/>
              <w:left w:type="dxa" w:w="130"/>
              <w:bottom w:type="dxa" w:w="90"/>
              <w:right w:type="dxa" w:w="130"/>
            </w:tcMar>
          </w:tcPr>
          <w:p>
            <w:r>
              <w:rPr>
                <w:rFonts w:ascii="Calibri" w:cs="Calibri" w:eastAsia="Calibri" w:hAnsi="Calibri"/>
                <w:color w:val="23282A"/>
                <w:sz w:val="19"/>
                <w:szCs w:val="19"/>
              </w:rPr>
              <w:t xml:space="preserve">C</w:t>
            </w:r>
          </w:p>
        </w:tc>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Commitment</w:t>
            </w:r>
          </w:p>
        </w:tc>
        <w:tc>
          <w:tcPr>
            <w:tcW w:type="dxa" w:w="3182"/>
            <w:shd w:fill="FFFFFF" w:val="clear"/>
            <w:tcMar>
              <w:top w:type="dxa" w:w="90"/>
              <w:left w:type="dxa" w:w="130"/>
              <w:bottom w:type="dxa" w:w="90"/>
              <w:right w:type="dxa" w:w="130"/>
            </w:tcMar>
          </w:tcPr>
          <w:p>
            <w:r>
              <w:rPr>
                <w:rFonts w:ascii="Calibri" w:cs="Calibri" w:eastAsia="Calibri" w:hAnsi="Calibri"/>
                <w:color w:val="23282A"/>
                <w:sz w:val="19"/>
                <w:szCs w:val="19"/>
              </w:rPr>
              <w:t xml:space="preserve">A future intention</w:t>
            </w:r>
          </w:p>
        </w:tc>
        <w:tc>
          <w:tcPr>
            <w:tcW w:type="dxa" w:w="3931"/>
            <w:shd w:fill="FFFFFF" w:val="clear"/>
            <w:tcMar>
              <w:top w:type="dxa" w:w="90"/>
              <w:left w:type="dxa" w:w="130"/>
              <w:bottom w:type="dxa" w:w="90"/>
              <w:right w:type="dxa" w:w="130"/>
            </w:tcMar>
          </w:tcPr>
          <w:p>
            <w:r>
              <w:rPr>
                <w:rFonts w:ascii="Calibri" w:cs="Calibri" w:eastAsia="Calibri" w:hAnsi="Calibri"/>
                <w:color w:val="23282A"/>
                <w:sz w:val="19"/>
                <w:szCs w:val="19"/>
              </w:rPr>
              <w:t xml:space="preserve">A board-approved target with a date and an owner</w:t>
            </w:r>
          </w:p>
        </w:tc>
      </w:tr>
      <w:tr>
        <w:trPr>
          <w:cantSplit/>
        </w:trPr>
        <w:tc>
          <w:tcPr>
            <w:tcW w:type="dxa" w:w="749"/>
            <w:shd w:fill="F4F8F9" w:val="clear"/>
            <w:tcMar>
              <w:top w:type="dxa" w:w="90"/>
              <w:left w:type="dxa" w:w="130"/>
              <w:bottom w:type="dxa" w:w="90"/>
              <w:right w:type="dxa" w:w="130"/>
            </w:tcMar>
          </w:tcPr>
          <w:p>
            <w:r>
              <w:rPr>
                <w:rFonts w:ascii="Calibri" w:cs="Calibri" w:eastAsia="Calibri" w:hAnsi="Calibri"/>
                <w:color w:val="23282A"/>
                <w:sz w:val="19"/>
                <w:szCs w:val="19"/>
              </w:rPr>
              <w:t xml:space="preserve">D</w:t>
            </w:r>
          </w:p>
        </w:tc>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Context</w:t>
            </w:r>
          </w:p>
        </w:tc>
        <w:tc>
          <w:tcPr>
            <w:tcW w:type="dxa" w:w="3182"/>
            <w:shd w:fill="F4F8F9" w:val="clear"/>
            <w:tcMar>
              <w:top w:type="dxa" w:w="90"/>
              <w:left w:type="dxa" w:w="130"/>
              <w:bottom w:type="dxa" w:w="90"/>
              <w:right w:type="dxa" w:w="130"/>
            </w:tcMar>
          </w:tcPr>
          <w:p>
            <w:r>
              <w:rPr>
                <w:rFonts w:ascii="Calibri" w:cs="Calibri" w:eastAsia="Calibri" w:hAnsi="Calibri"/>
                <w:color w:val="23282A"/>
                <w:sz w:val="19"/>
                <w:szCs w:val="19"/>
              </w:rPr>
              <w:t xml:space="preserve">The operating environment</w:t>
            </w:r>
          </w:p>
        </w:tc>
        <w:tc>
          <w:tcPr>
            <w:tcW w:type="dxa" w:w="3931"/>
            <w:shd w:fill="F4F8F9" w:val="clear"/>
            <w:tcMar>
              <w:top w:type="dxa" w:w="90"/>
              <w:left w:type="dxa" w:w="130"/>
              <w:bottom w:type="dxa" w:w="90"/>
              <w:right w:type="dxa" w:w="130"/>
            </w:tcMar>
          </w:tcPr>
          <w:p>
            <w:r>
              <w:rPr>
                <w:rFonts w:ascii="Calibri" w:cs="Calibri" w:eastAsia="Calibri" w:hAnsi="Calibri"/>
                <w:color w:val="23282A"/>
                <w:sz w:val="19"/>
                <w:szCs w:val="19"/>
              </w:rPr>
              <w:t xml:space="preserve">A cited external source</w:t>
            </w:r>
          </w:p>
        </w:tc>
      </w:tr>
    </w:tbl>
    <w:p>
      <w:pPr>
        <w:spacing w:after="120"/>
      </w:pPr>
    </w:p>
    <w:tbl>
      <w:tblPr>
        <w:tblW w:type="dxa" w:w="9360"/>
        <w:tblBorders>
          <w:top w:val="single" w:color="0091A8" w:sz="2"/>
          <w:left w:val="single" w:color="0091A8" w:sz="18"/>
          <w:bottom w:val="single" w:color="0091A8" w:sz="2"/>
          <w:right w:val="single" w:color="0091A8" w:sz="2"/>
          <w:insideH w:val="none"/>
          <w:insideV w:val="none"/>
        </w:tblBorders>
      </w:tblPr>
      <w:tblGrid>
        <w:gridCol w:w="9360"/>
      </w:tblGrid>
      <w:tr>
        <w:trPr>
          <w:cantSplit/>
        </w:trPr>
        <w:tc>
          <w:tcPr>
            <w:tcW w:type="dxa" w:w="9360"/>
            <w:shd w:fill="E9F3F5" w:val="clear"/>
            <w:tcMar>
              <w:top w:type="dxa" w:w="160"/>
              <w:left w:type="dxa" w:w="220"/>
              <w:bottom w:type="dxa" w:w="160"/>
              <w:right w:type="dxa" w:w="220"/>
            </w:tcMar>
          </w:tcPr>
          <w:p>
            <w:pPr>
              <w:spacing w:after="60"/>
            </w:pPr>
            <w:r>
              <w:rPr>
                <w:rFonts w:ascii="Calibri" w:cs="Calibri" w:eastAsia="Calibri" w:hAnsi="Calibri"/>
                <w:b/>
                <w:bCs/>
                <w:color w:val="00647A"/>
                <w:spacing w:val="30"/>
                <w:sz w:val="17"/>
                <w:szCs w:val="17"/>
              </w:rPr>
              <w:t xml:space="preserve">THE RULE THIS ENFORCES</w:t>
            </w:r>
          </w:p>
          <w:p>
            <w:r>
              <w:rPr>
                <w:rFonts w:ascii="Cambria" w:cs="Cambria" w:eastAsia="Cambria" w:hAnsi="Cambria"/>
                <w:color w:val="101820"/>
                <w:sz w:val="22"/>
                <w:szCs w:val="22"/>
              </w:rPr>
              <w:t xml:space="preserve">Aspiration with nothing behind it — “we are committed to being a leader in sustainability” — has no tier and never renders. This is the class of sentence the FSCA's greenwashing work targets.</w:t>
            </w:r>
          </w:p>
        </w:tc>
      </w:tr>
    </w:tbl>
    <w:p>
      <w:pPr>
        <w:spacing w:after="160"/>
      </w:pPr>
    </w:p>
    <w:p>
      <w:pPr>
        <w:pStyle w:val="Heading2"/>
        <w:keepNext/>
        <w:spacing w:after="120" w:before="300"/>
      </w:pPr>
      <w:r>
        <w:rPr>
          <w:rFonts w:ascii="Cambria" w:cs="Cambria" w:eastAsia="Cambria" w:hAnsi="Cambria"/>
          <w:b/>
          <w:bCs/>
          <w:color w:val="00647A"/>
          <w:sz w:val="25"/>
          <w:szCs w:val="25"/>
        </w:rPr>
        <w:t xml:space="preserve">6.4 The pairing rule</w:t>
      </w:r>
    </w:p>
    <w:p>
      <w:pPr>
        <w:spacing w:after="140"/>
      </w:pPr>
      <w:r>
        <w:rPr>
          <w:rFonts w:ascii="Calibri" w:cs="Calibri" w:eastAsia="Calibri" w:hAnsi="Calibri"/>
          <w:color w:val="23282A"/>
          <w:sz w:val="21"/>
          <w:szCs w:val="21"/>
        </w:rPr>
        <w:t xml:space="preserve">Numbers without narrative are unreadable. Narrative without numbers is unfalsifiable. The generator refuses both.</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936"/>
        <w:gridCol w:w="1498"/>
        <w:gridCol w:w="3744"/>
        <w:gridCol w:w="3182"/>
      </w:tblGrid>
      <w:tr>
        <w:trPr>
          <w:cantSplit/>
          <w:tblHeader/>
        </w:trPr>
        <w:tc>
          <w:tcPr>
            <w:tcW w:type="dxa" w:w="936"/>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Status</w:t>
            </w:r>
          </w:p>
        </w:tc>
        <w:tc>
          <w:tcPr>
            <w:tcW w:type="dxa" w:w="149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Form</w:t>
            </w:r>
          </w:p>
        </w:tc>
        <w:tc>
          <w:tcPr>
            <w:tcW w:type="dxa" w:w="3744"/>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Example</w:t>
            </w:r>
          </w:p>
        </w:tc>
        <w:tc>
          <w:tcPr>
            <w:tcW w:type="dxa" w:w="3182"/>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Why</w:t>
            </w:r>
          </w:p>
        </w:tc>
      </w:tr>
      <w:tr>
        <w:trPr>
          <w:cantSplit/>
        </w:trPr>
        <w:tc>
          <w:tcPr>
            <w:tcW w:type="dxa" w:w="936"/>
            <w:shd w:fill="FFFFFF" w:val="clear"/>
            <w:tcMar>
              <w:top w:type="dxa" w:w="90"/>
              <w:left w:type="dxa" w:w="130"/>
              <w:bottom w:type="dxa" w:w="90"/>
              <w:right w:type="dxa" w:w="130"/>
            </w:tcMar>
          </w:tcPr>
          <w:p>
            <w:r>
              <w:rPr>
                <w:rFonts w:ascii="Calibri" w:cs="Calibri" w:eastAsia="Calibri" w:hAnsi="Calibri"/>
                <w:color w:val="23282A"/>
                <w:sz w:val="19"/>
                <w:szCs w:val="19"/>
              </w:rPr>
              <w:t xml:space="preserve">Fails</w:t>
            </w:r>
          </w:p>
        </w:tc>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A number alone</w:t>
            </w:r>
          </w:p>
        </w:tc>
        <w:tc>
          <w:tcPr>
            <w:tcW w:type="dxa" w:w="3744"/>
            <w:shd w:fill="FFFFFF" w:val="clear"/>
            <w:tcMar>
              <w:top w:type="dxa" w:w="90"/>
              <w:left w:type="dxa" w:w="130"/>
              <w:bottom w:type="dxa" w:w="90"/>
              <w:right w:type="dxa" w:w="130"/>
            </w:tcMar>
          </w:tcPr>
          <w:p>
            <w:r>
              <w:rPr>
                <w:rFonts w:ascii="Calibri" w:cs="Calibri" w:eastAsia="Calibri" w:hAnsi="Calibri"/>
                <w:color w:val="23282A"/>
                <w:sz w:val="19"/>
                <w:szCs w:val="19"/>
              </w:rPr>
              <w:t xml:space="preserve">“Scope 1 emissions were 12 480 tCO₂e.”</w:t>
            </w:r>
          </w:p>
        </w:tc>
        <w:tc>
          <w:tcPr>
            <w:tcW w:type="dxa" w:w="3182"/>
            <w:shd w:fill="FFFFFF" w:val="clear"/>
            <w:tcMar>
              <w:top w:type="dxa" w:w="90"/>
              <w:left w:type="dxa" w:w="130"/>
              <w:bottom w:type="dxa" w:w="90"/>
              <w:right w:type="dxa" w:w="130"/>
            </w:tcMar>
          </w:tcPr>
          <w:p>
            <w:r>
              <w:rPr>
                <w:rFonts w:ascii="Calibri" w:cs="Calibri" w:eastAsia="Calibri" w:hAnsi="Calibri"/>
                <w:color w:val="23282A"/>
                <w:sz w:val="19"/>
                <w:szCs w:val="19"/>
              </w:rPr>
              <w:t xml:space="preserve">The reader cannot tell whether that is good, why it moved, or what happens next.</w:t>
            </w:r>
          </w:p>
        </w:tc>
      </w:tr>
      <w:tr>
        <w:trPr>
          <w:cantSplit/>
        </w:trPr>
        <w:tc>
          <w:tcPr>
            <w:tcW w:type="dxa" w:w="936"/>
            <w:shd w:fill="F4F8F9" w:val="clear"/>
            <w:tcMar>
              <w:top w:type="dxa" w:w="90"/>
              <w:left w:type="dxa" w:w="130"/>
              <w:bottom w:type="dxa" w:w="90"/>
              <w:right w:type="dxa" w:w="130"/>
            </w:tcMar>
          </w:tcPr>
          <w:p>
            <w:r>
              <w:rPr>
                <w:rFonts w:ascii="Calibri" w:cs="Calibri" w:eastAsia="Calibri" w:hAnsi="Calibri"/>
                <w:color w:val="23282A"/>
                <w:sz w:val="19"/>
                <w:szCs w:val="19"/>
              </w:rPr>
              <w:t xml:space="preserve">Fails</w:t>
            </w:r>
          </w:p>
        </w:tc>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A claim alone</w:t>
            </w:r>
          </w:p>
        </w:tc>
        <w:tc>
          <w:tcPr>
            <w:tcW w:type="dxa" w:w="3744"/>
            <w:shd w:fill="F4F8F9" w:val="clear"/>
            <w:tcMar>
              <w:top w:type="dxa" w:w="90"/>
              <w:left w:type="dxa" w:w="130"/>
              <w:bottom w:type="dxa" w:w="90"/>
              <w:right w:type="dxa" w:w="130"/>
            </w:tcMar>
          </w:tcPr>
          <w:p>
            <w:r>
              <w:rPr>
                <w:rFonts w:ascii="Calibri" w:cs="Calibri" w:eastAsia="Calibri" w:hAnsi="Calibri"/>
                <w:color w:val="23282A"/>
                <w:sz w:val="19"/>
                <w:szCs w:val="19"/>
              </w:rPr>
              <w:t xml:space="preserve">“We made strong progress on decarbonisation this year.”</w:t>
            </w:r>
          </w:p>
        </w:tc>
        <w:tc>
          <w:tcPr>
            <w:tcW w:type="dxa" w:w="3182"/>
            <w:shd w:fill="F4F8F9" w:val="clear"/>
            <w:tcMar>
              <w:top w:type="dxa" w:w="90"/>
              <w:left w:type="dxa" w:w="130"/>
              <w:bottom w:type="dxa" w:w="90"/>
              <w:right w:type="dxa" w:w="130"/>
            </w:tcMar>
          </w:tcPr>
          <w:p>
            <w:r>
              <w:rPr>
                <w:rFonts w:ascii="Calibri" w:cs="Calibri" w:eastAsia="Calibri" w:hAnsi="Calibri"/>
                <w:color w:val="23282A"/>
                <w:sz w:val="19"/>
                <w:szCs w:val="19"/>
              </w:rPr>
              <w:t xml:space="preserve">Nothing to verify. This is the sentence a regulator circles.</w:t>
            </w:r>
          </w:p>
        </w:tc>
      </w:tr>
      <w:tr>
        <w:trPr>
          <w:cantSplit/>
        </w:trPr>
        <w:tc>
          <w:tcPr>
            <w:tcW w:type="dxa" w:w="936"/>
            <w:shd w:fill="FFFFFF" w:val="clear"/>
            <w:tcMar>
              <w:top w:type="dxa" w:w="90"/>
              <w:left w:type="dxa" w:w="130"/>
              <w:bottom w:type="dxa" w:w="90"/>
              <w:right w:type="dxa" w:w="130"/>
            </w:tcMar>
          </w:tcPr>
          <w:p>
            <w:r>
              <w:rPr>
                <w:rFonts w:ascii="Calibri" w:cs="Calibri" w:eastAsia="Calibri" w:hAnsi="Calibri"/>
                <w:color w:val="23282A"/>
                <w:sz w:val="19"/>
                <w:szCs w:val="19"/>
              </w:rPr>
              <w:t xml:space="preserve">Renders</w:t>
            </w:r>
          </w:p>
        </w:tc>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Paired</w:t>
            </w:r>
          </w:p>
        </w:tc>
        <w:tc>
          <w:tcPr>
            <w:tcW w:type="dxa" w:w="3744"/>
            <w:shd w:fill="FFFFFF" w:val="clear"/>
            <w:tcMar>
              <w:top w:type="dxa" w:w="90"/>
              <w:left w:type="dxa" w:w="130"/>
              <w:bottom w:type="dxa" w:w="90"/>
              <w:right w:type="dxa" w:w="130"/>
            </w:tcMar>
          </w:tcPr>
          <w:p>
            <w:r>
              <w:rPr>
                <w:rFonts w:ascii="Calibri" w:cs="Calibri" w:eastAsia="Calibri" w:hAnsi="Calibri"/>
                <w:color w:val="23282A"/>
                <w:sz w:val="19"/>
                <w:szCs w:val="19"/>
              </w:rPr>
              <w:t xml:space="preserve">“Scope 1 fell 8.4% to 12 480 tCO₂e, ahead of the 6.7% pathway, driven by the depot fleet conversion completed in Q2.”</w:t>
            </w:r>
          </w:p>
        </w:tc>
        <w:tc>
          <w:tcPr>
            <w:tcW w:type="dxa" w:w="3182"/>
            <w:shd w:fill="FFFFFF" w:val="clear"/>
            <w:tcMar>
              <w:top w:type="dxa" w:w="90"/>
              <w:left w:type="dxa" w:w="130"/>
              <w:bottom w:type="dxa" w:w="90"/>
              <w:right w:type="dxa" w:w="130"/>
            </w:tcMar>
          </w:tcPr>
          <w:p>
            <w:r>
              <w:rPr>
                <w:rFonts w:ascii="Calibri" w:cs="Calibri" w:eastAsia="Calibri" w:hAnsi="Calibri"/>
                <w:color w:val="23282A"/>
                <w:sz w:val="19"/>
                <w:szCs w:val="19"/>
              </w:rPr>
              <w:t xml:space="preserve">A figure, a comparison, a cause and a linked action, with both halves bound to evidence.</w:t>
            </w:r>
          </w:p>
        </w:tc>
      </w:tr>
    </w:tbl>
    <w:p>
      <w:pPr>
        <w:spacing w:after="160"/>
      </w:pPr>
    </w:p>
    <w:p>
      <w:pPr>
        <w:pStyle w:val="Heading2"/>
        <w:keepNext/>
        <w:spacing w:after="120" w:before="300"/>
      </w:pPr>
      <w:r>
        <w:rPr>
          <w:rFonts w:ascii="Cambria" w:cs="Cambria" w:eastAsia="Cambria" w:hAnsi="Cambria"/>
          <w:b/>
          <w:bCs/>
          <w:color w:val="00647A"/>
          <w:sz w:val="25"/>
          <w:szCs w:val="25"/>
        </w:rPr>
        <w:t xml:space="preserve">6.5 How the narrative is generated</w:t>
      </w:r>
    </w:p>
    <w:p>
      <w:pPr>
        <w:spacing w:after="140"/>
      </w:pPr>
      <w:r>
        <w:rPr>
          <w:rFonts w:ascii="Calibri" w:cs="Calibri" w:eastAsia="Calibri" w:hAnsi="Calibri"/>
          <w:color w:val="23282A"/>
          <w:sz w:val="21"/>
          <w:szCs w:val="21"/>
        </w:rPr>
        <w:t xml:space="preserve">Not free text, and not fill-in-the-blank. Each block is a conditional sentence with a trigger, bound variables and an evidence requirement.</w:t>
      </w:r>
    </w:p>
    <w:p>
      <w:pPr>
        <w:pStyle w:val="ListParagraph"/>
        <w:numPr>
          <w:ilvl w:val="0"/>
          <w:numId w:val="4"/>
        </w:numPr>
        <w:spacing w:after="90"/>
      </w:pPr>
      <w:r>
        <w:rPr>
          <w:rFonts w:ascii="Calibri" w:cs="Calibri" w:eastAsia="Calibri" w:hAnsi="Calibri"/>
          <w:color w:val="23282A"/>
          <w:sz w:val="21"/>
          <w:szCs w:val="21"/>
        </w:rPr>
        <w:t xml:space="preserve">Trigger fires — metric variance passes a threshold, a target is met, regulation comes into force, or data quality shifts</w:t>
      </w:r>
    </w:p>
    <w:p>
      <w:pPr>
        <w:pStyle w:val="ListParagraph"/>
        <w:numPr>
          <w:ilvl w:val="0"/>
          <w:numId w:val="4"/>
        </w:numPr>
        <w:spacing w:after="90"/>
      </w:pPr>
      <w:r>
        <w:rPr>
          <w:rFonts w:ascii="Calibri" w:cs="Calibri" w:eastAsia="Calibri" w:hAnsi="Calibri"/>
          <w:color w:val="23282A"/>
          <w:sz w:val="21"/>
          <w:szCs w:val="21"/>
        </w:rPr>
        <w:t xml:space="preserve">Block selected — the narrative library returns the block matching the trigger, the topic and the claim tier</w:t>
      </w:r>
    </w:p>
    <w:p>
      <w:pPr>
        <w:pStyle w:val="ListParagraph"/>
        <w:numPr>
          <w:ilvl w:val="0"/>
          <w:numId w:val="4"/>
        </w:numPr>
        <w:spacing w:after="90"/>
      </w:pPr>
      <w:r>
        <w:rPr>
          <w:rFonts w:ascii="Calibri" w:cs="Calibri" w:eastAsia="Calibri" w:hAnsi="Calibri"/>
          <w:color w:val="23282A"/>
          <w:sz w:val="21"/>
          <w:szCs w:val="21"/>
        </w:rPr>
        <w:t xml:space="preserve">Variables bound — figures, dates, entity names and owners pull from the metric register, never retyped</w:t>
      </w:r>
    </w:p>
    <w:p>
      <w:pPr>
        <w:pStyle w:val="ListParagraph"/>
        <w:numPr>
          <w:ilvl w:val="0"/>
          <w:numId w:val="4"/>
        </w:numPr>
        <w:spacing w:after="90"/>
      </w:pPr>
      <w:r>
        <w:rPr>
          <w:rFonts w:ascii="Calibri" w:cs="Calibri" w:eastAsia="Calibri" w:hAnsi="Calibri"/>
          <w:color w:val="23282A"/>
          <w:sz w:val="21"/>
          <w:szCs w:val="21"/>
        </w:rPr>
        <w:t xml:space="preserve">Evidence checked — the block's evidence IDs must resolve. If any is empty the block is blocked, not softened</w:t>
      </w:r>
    </w:p>
    <w:p>
      <w:pPr>
        <w:pStyle w:val="ListParagraph"/>
        <w:numPr>
          <w:ilvl w:val="0"/>
          <w:numId w:val="4"/>
        </w:numPr>
        <w:spacing w:after="90"/>
      </w:pPr>
      <w:r>
        <w:rPr>
          <w:rFonts w:ascii="Calibri" w:cs="Calibri" w:eastAsia="Calibri" w:hAnsi="Calibri"/>
          <w:color w:val="23282A"/>
          <w:sz w:val="21"/>
          <w:szCs w:val="21"/>
        </w:rPr>
        <w:t xml:space="preserve">Analyst review — Tier 2 and above: a person writes the strategy and roadmap prose. This is where the margin sits</w:t>
      </w:r>
    </w:p>
    <w:p>
      <w:pPr>
        <w:spacing w:after="140"/>
      </w:pPr>
      <w:r>
        <w:rPr>
          <w:rFonts w:ascii="Calibri" w:cs="Calibri" w:eastAsia="Calibri" w:hAnsi="Calibri"/>
          <w:color w:val="23282A"/>
          <w:sz w:val="21"/>
          <w:szCs w:val="21"/>
        </w:rPr>
        <w:t xml:space="preserve">The library is versioned. Editing a sentence updates every future report, and past reports still record the version they used.</w:t>
      </w:r>
    </w:p>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7. Report structure (Rendering A)</w:t>
      </w:r>
    </w:p>
    <w:p>
      <w:pPr>
        <w:pStyle w:val="Heading2"/>
        <w:keepNext/>
        <w:spacing w:after="120" w:before="300"/>
      </w:pPr>
      <w:r>
        <w:rPr>
          <w:rFonts w:ascii="Cambria" w:cs="Cambria" w:eastAsia="Cambria" w:hAnsi="Cambria"/>
          <w:b/>
          <w:bCs/>
          <w:color w:val="00647A"/>
          <w:sz w:val="25"/>
          <w:szCs w:val="25"/>
        </w:rPr>
        <w:t xml:space="preserve">7.1 Front matter</w:t>
      </w:r>
    </w:p>
    <w:p>
      <w:pPr>
        <w:pStyle w:val="Heading3"/>
        <w:keepNext/>
        <w:spacing w:after="100" w:before="220"/>
      </w:pPr>
      <w:r>
        <w:rPr>
          <w:rFonts w:ascii="Calibri" w:cs="Calibri" w:eastAsia="Calibri" w:hAnsi="Calibri"/>
          <w:b/>
          <w:bCs/>
          <w:color w:val="101820"/>
          <w:sz w:val="22"/>
          <w:szCs w:val="22"/>
        </w:rPr>
        <w:t xml:space="preserve">F1. Cover</w:t>
      </w:r>
    </w:p>
    <w:p>
      <w:pPr>
        <w:spacing w:after="140"/>
      </w:pPr>
      <w:r>
        <w:rPr>
          <w:rFonts w:ascii="Calibri" w:cs="Calibri" w:eastAsia="Calibri" w:hAnsi="Calibri"/>
          <w:color w:val="23282A"/>
          <w:sz w:val="21"/>
          <w:szCs w:val="21"/>
        </w:rPr>
        <w:t xml:space="preserve">Client name, report title, reporting period, “Prepared by Okiru”, version and date, generation reference number.</w:t>
      </w:r>
    </w:p>
    <w:p>
      <w:pPr>
        <w:pStyle w:val="Heading3"/>
        <w:keepNext/>
        <w:spacing w:after="100" w:before="220"/>
      </w:pPr>
      <w:r>
        <w:rPr>
          <w:rFonts w:ascii="Calibri" w:cs="Calibri" w:eastAsia="Calibri" w:hAnsi="Calibri"/>
          <w:b/>
          <w:bCs/>
          <w:color w:val="101820"/>
          <w:sz w:val="22"/>
          <w:szCs w:val="22"/>
        </w:rPr>
        <w:t xml:space="preserve">F2. About this report</w:t>
      </w:r>
    </w:p>
    <w:p>
      <w:pPr>
        <w:spacing w:after="140"/>
      </w:pPr>
      <w:r>
        <w:rPr>
          <w:rFonts w:ascii="Calibri" w:cs="Calibri" w:eastAsia="Calibri" w:hAnsi="Calibri"/>
          <w:color w:val="23282A"/>
          <w:sz w:val="21"/>
          <w:szCs w:val="21"/>
        </w:rPr>
        <w:t xml:space="preserve">Fixed-language block with variables, in this order:</w:t>
      </w:r>
    </w:p>
    <w:p>
      <w:pPr>
        <w:pStyle w:val="ListParagraph"/>
        <w:numPr>
          <w:ilvl w:val="0"/>
          <w:numId w:val="5"/>
        </w:numPr>
        <w:spacing w:after="90"/>
      </w:pPr>
      <w:r>
        <w:rPr>
          <w:rFonts w:ascii="Calibri" w:cs="Calibri" w:eastAsia="Calibri" w:hAnsi="Calibri"/>
          <w:color w:val="23282A"/>
          <w:sz w:val="21"/>
          <w:szCs w:val="21"/>
        </w:rPr>
        <w:t xml:space="preserve">Scope and boundary — entities, sites, subsidiaries and joint ventures included and excluded, consolidation approach</w:t>
      </w:r>
    </w:p>
    <w:p>
      <w:pPr>
        <w:pStyle w:val="ListParagraph"/>
        <w:numPr>
          <w:ilvl w:val="0"/>
          <w:numId w:val="5"/>
        </w:numPr>
        <w:spacing w:after="90"/>
      </w:pPr>
      <w:r>
        <w:rPr>
          <w:rFonts w:ascii="Calibri" w:cs="Calibri" w:eastAsia="Calibri" w:hAnsi="Calibri"/>
          <w:color w:val="23282A"/>
          <w:sz w:val="21"/>
          <w:szCs w:val="21"/>
        </w:rPr>
        <w:t xml:space="preserve">Reporting period — and comparative periods presented</w:t>
      </w:r>
    </w:p>
    <w:p>
      <w:pPr>
        <w:pStyle w:val="ListParagraph"/>
        <w:numPr>
          <w:ilvl w:val="0"/>
          <w:numId w:val="5"/>
        </w:numPr>
        <w:spacing w:after="90"/>
      </w:pPr>
      <w:r>
        <w:rPr>
          <w:rFonts w:ascii="Calibri" w:cs="Calibri" w:eastAsia="Calibri" w:hAnsi="Calibri"/>
          <w:color w:val="23282A"/>
          <w:sz w:val="21"/>
          <w:szCs w:val="21"/>
        </w:rPr>
        <w:t xml:space="preserve">Frameworks applied — with cross-walk table version and date</w:t>
      </w:r>
    </w:p>
    <w:p>
      <w:pPr>
        <w:pStyle w:val="ListParagraph"/>
        <w:numPr>
          <w:ilvl w:val="0"/>
          <w:numId w:val="5"/>
        </w:numPr>
        <w:spacing w:after="90"/>
      </w:pPr>
      <w:r>
        <w:rPr>
          <w:rFonts w:ascii="Calibri" w:cs="Calibri" w:eastAsia="Calibri" w:hAnsi="Calibri"/>
          <w:color w:val="23282A"/>
          <w:sz w:val="21"/>
          <w:szCs w:val="21"/>
        </w:rPr>
        <w:t xml:space="preserve">Basis of preparation — how the report was produced, what the client supplied, what Okiru calculated</w:t>
      </w:r>
    </w:p>
    <w:p>
      <w:pPr>
        <w:pStyle w:val="ListParagraph"/>
        <w:numPr>
          <w:ilvl w:val="0"/>
          <w:numId w:val="5"/>
        </w:numPr>
        <w:spacing w:after="90"/>
      </w:pPr>
      <w:r>
        <w:rPr>
          <w:rFonts w:ascii="Calibri" w:cs="Calibri" w:eastAsia="Calibri" w:hAnsi="Calibri"/>
          <w:color w:val="23282A"/>
          <w:sz w:val="21"/>
          <w:szCs w:val="21"/>
        </w:rPr>
        <w:t xml:space="preserve">Data provenance statement — mandatory wording below</w:t>
      </w:r>
    </w:p>
    <w:p>
      <w:pPr>
        <w:pStyle w:val="ListParagraph"/>
        <w:numPr>
          <w:ilvl w:val="0"/>
          <w:numId w:val="5"/>
        </w:numPr>
        <w:spacing w:after="90"/>
      </w:pPr>
      <w:r>
        <w:rPr>
          <w:rFonts w:ascii="Calibri" w:cs="Calibri" w:eastAsia="Calibri" w:hAnsi="Calibri"/>
          <w:color w:val="23282A"/>
          <w:sz w:val="21"/>
          <w:szCs w:val="21"/>
        </w:rPr>
        <w:t xml:space="preserve">Assurance status — explicit, even where the answer is none</w:t>
      </w:r>
    </w:p>
    <w:p>
      <w:pPr>
        <w:pStyle w:val="ListParagraph"/>
        <w:numPr>
          <w:ilvl w:val="0"/>
          <w:numId w:val="5"/>
        </w:numPr>
        <w:spacing w:after="90"/>
      </w:pPr>
      <w:r>
        <w:rPr>
          <w:rFonts w:ascii="Calibri" w:cs="Calibri" w:eastAsia="Calibri" w:hAnsi="Calibri"/>
          <w:color w:val="23282A"/>
          <w:sz w:val="21"/>
          <w:szCs w:val="21"/>
        </w:rPr>
        <w:t xml:space="preserve">Limitations and exclusions</w:t>
      </w:r>
    </w:p>
    <w:p>
      <w:pPr>
        <w:pStyle w:val="ListParagraph"/>
        <w:numPr>
          <w:ilvl w:val="0"/>
          <w:numId w:val="5"/>
        </w:numPr>
        <w:spacing w:after="90"/>
      </w:pPr>
      <w:r>
        <w:rPr>
          <w:rFonts w:ascii="Calibri" w:cs="Calibri" w:eastAsia="Calibri" w:hAnsi="Calibri"/>
          <w:color w:val="23282A"/>
          <w:sz w:val="21"/>
          <w:szCs w:val="21"/>
        </w:rPr>
        <w:t xml:space="preserve">Restatements — any prior-period figures restated, and why</w:t>
      </w:r>
    </w:p>
    <w:p>
      <w:pPr>
        <w:pStyle w:val="ListParagraph"/>
        <w:numPr>
          <w:ilvl w:val="0"/>
          <w:numId w:val="5"/>
        </w:numPr>
        <w:spacing w:after="90"/>
      </w:pPr>
      <w:r>
        <w:rPr>
          <w:rFonts w:ascii="Calibri" w:cs="Calibri" w:eastAsia="Calibri" w:hAnsi="Calibri"/>
          <w:color w:val="23282A"/>
          <w:sz w:val="21"/>
          <w:szCs w:val="21"/>
        </w:rPr>
        <w:t xml:space="preserve">Forward-looking statement disclaimer</w:t>
      </w:r>
    </w:p>
    <w:p>
      <w:pPr>
        <w:pStyle w:val="ListParagraph"/>
        <w:numPr>
          <w:ilvl w:val="0"/>
          <w:numId w:val="5"/>
        </w:numPr>
        <w:spacing w:after="90"/>
      </w:pPr>
      <w:r>
        <w:rPr>
          <w:rFonts w:ascii="Calibri" w:cs="Calibri" w:eastAsia="Calibri" w:hAnsi="Calibri"/>
          <w:color w:val="23282A"/>
          <w:sz w:val="21"/>
          <w:szCs w:val="21"/>
        </w:rPr>
        <w:t xml:space="preserve">Approval and sign-off — named client officer, date, version approved</w:t>
      </w:r>
    </w:p>
    <w:p>
      <w:pPr>
        <w:spacing w:after="120"/>
      </w:pPr>
    </w:p>
    <w:tbl>
      <w:tblPr>
        <w:tblW w:type="dxa" w:w="9360"/>
        <w:tblBorders>
          <w:top w:val="single" w:color="0091A8" w:sz="2"/>
          <w:left w:val="single" w:color="0091A8" w:sz="18"/>
          <w:bottom w:val="single" w:color="0091A8" w:sz="2"/>
          <w:right w:val="single" w:color="0091A8" w:sz="2"/>
          <w:insideH w:val="none"/>
          <w:insideV w:val="none"/>
        </w:tblBorders>
      </w:tblPr>
      <w:tblGrid>
        <w:gridCol w:w="9360"/>
      </w:tblGrid>
      <w:tr>
        <w:trPr>
          <w:cantSplit/>
        </w:trPr>
        <w:tc>
          <w:tcPr>
            <w:tcW w:type="dxa" w:w="9360"/>
            <w:shd w:fill="E9F3F5" w:val="clear"/>
            <w:tcMar>
              <w:top w:type="dxa" w:w="160"/>
              <w:left w:type="dxa" w:w="220"/>
              <w:bottom w:type="dxa" w:w="160"/>
              <w:right w:type="dxa" w:w="220"/>
            </w:tcMar>
          </w:tcPr>
          <w:p>
            <w:pPr>
              <w:spacing w:after="60"/>
            </w:pPr>
            <w:r>
              <w:rPr>
                <w:rFonts w:ascii="Calibri" w:cs="Calibri" w:eastAsia="Calibri" w:hAnsi="Calibri"/>
                <w:b/>
                <w:bCs/>
                <w:color w:val="00647A"/>
                <w:spacing w:val="30"/>
                <w:sz w:val="17"/>
                <w:szCs w:val="17"/>
              </w:rPr>
              <w:t xml:space="preserve">MANDATORY PROVENANCE PARAGRAPH</w:t>
            </w:r>
          </w:p>
          <w:p>
            <w:r>
              <w:rPr>
                <w:rFonts w:ascii="Cambria" w:cs="Cambria" w:eastAsia="Cambria" w:hAnsi="Cambria"/>
                <w:color w:val="101820"/>
                <w:sz w:val="22"/>
                <w:szCs w:val="22"/>
              </w:rPr>
              <w:t xml:space="preserve">“The information in this report was compiled by Okiru from data supplied by [Client Name]. Okiru has not independently verified the underlying data. Data quality is disclosed per metric in Appendix [x] and summarised on page [x].”</w:t>
            </w:r>
          </w:p>
        </w:tc>
      </w:tr>
    </w:tbl>
    <w:p>
      <w:pPr>
        <w:spacing w:after="120"/>
      </w:pPr>
    </w:p>
    <w:tbl>
      <w:tblPr>
        <w:tblW w:type="dxa" w:w="9360"/>
        <w:tblBorders>
          <w:top w:val="single" w:color="0091A8" w:sz="2"/>
          <w:left w:val="single" w:color="0091A8" w:sz="18"/>
          <w:bottom w:val="single" w:color="0091A8" w:sz="2"/>
          <w:right w:val="single" w:color="0091A8" w:sz="2"/>
          <w:insideH w:val="none"/>
          <w:insideV w:val="none"/>
        </w:tblBorders>
      </w:tblPr>
      <w:tblGrid>
        <w:gridCol w:w="9360"/>
      </w:tblGrid>
      <w:tr>
        <w:trPr>
          <w:cantSplit/>
        </w:trPr>
        <w:tc>
          <w:tcPr>
            <w:tcW w:type="dxa" w:w="9360"/>
            <w:shd w:fill="E9F3F5" w:val="clear"/>
            <w:tcMar>
              <w:top w:type="dxa" w:w="160"/>
              <w:left w:type="dxa" w:w="220"/>
              <w:bottom w:type="dxa" w:w="160"/>
              <w:right w:type="dxa" w:w="220"/>
            </w:tcMar>
          </w:tcPr>
          <w:p>
            <w:pPr>
              <w:spacing w:after="60"/>
            </w:pPr>
            <w:r>
              <w:rPr>
                <w:rFonts w:ascii="Calibri" w:cs="Calibri" w:eastAsia="Calibri" w:hAnsi="Calibri"/>
                <w:b/>
                <w:bCs/>
                <w:color w:val="00647A"/>
                <w:spacing w:val="30"/>
                <w:sz w:val="17"/>
                <w:szCs w:val="17"/>
              </w:rPr>
              <w:t xml:space="preserve">SIGN-OFF GATE</w:t>
            </w:r>
          </w:p>
          <w:p>
            <w:r>
              <w:rPr>
                <w:rFonts w:ascii="Cambria" w:cs="Cambria" w:eastAsia="Cambria" w:hAnsi="Cambria"/>
                <w:color w:val="101820"/>
                <w:sz w:val="22"/>
                <w:szCs w:val="22"/>
              </w:rPr>
              <w:t xml:space="preserve">The report cannot render in Final state until item 10 is populated. Until then every page carries a DRAFT watermark. There is no override in the client-facing build.</w:t>
            </w:r>
          </w:p>
        </w:tc>
      </w:tr>
    </w:tbl>
    <w:p>
      <w:pPr>
        <w:spacing w:after="160"/>
      </w:pPr>
    </w:p>
    <w:p>
      <w:pPr>
        <w:pStyle w:val="Heading3"/>
        <w:keepNext/>
        <w:spacing w:after="100" w:before="220"/>
      </w:pPr>
      <w:r>
        <w:rPr>
          <w:rFonts w:ascii="Calibri" w:cs="Calibri" w:eastAsia="Calibri" w:hAnsi="Calibri"/>
          <w:b/>
          <w:bCs/>
          <w:color w:val="101820"/>
          <w:sz w:val="22"/>
          <w:szCs w:val="22"/>
        </w:rPr>
        <w:t xml:space="preserve">F3. How to use this report</w:t>
      </w:r>
    </w:p>
    <w:p>
      <w:pPr>
        <w:spacing w:after="140"/>
      </w:pPr>
      <w:r>
        <w:rPr>
          <w:rFonts w:ascii="Calibri" w:cs="Calibri" w:eastAsia="Calibri" w:hAnsi="Calibri"/>
          <w:color w:val="23282A"/>
          <w:sz w:val="21"/>
          <w:szCs w:val="21"/>
        </w:rPr>
        <w:t xml:space="preserve">Half a page. Navigation, the tier legend, the data quality legend, the RAG legend.</w:t>
      </w:r>
    </w:p>
    <w:p>
      <w:pPr>
        <w:pStyle w:val="Heading3"/>
        <w:keepNext/>
        <w:spacing w:after="100" w:before="220"/>
      </w:pPr>
      <w:r>
        <w:rPr>
          <w:rFonts w:ascii="Calibri" w:cs="Calibri" w:eastAsia="Calibri" w:hAnsi="Calibri"/>
          <w:b/>
          <w:bCs/>
          <w:color w:val="101820"/>
          <w:sz w:val="22"/>
          <w:szCs w:val="22"/>
        </w:rPr>
        <w:t xml:space="preserve">F4. Disclosure index</w:t>
      </w:r>
    </w:p>
    <w:p>
      <w:pPr>
        <w:spacing w:after="140"/>
      </w:pPr>
      <w:r>
        <w:rPr>
          <w:rFonts w:ascii="Calibri" w:cs="Calibri" w:eastAsia="Calibri" w:hAnsi="Calibri"/>
          <w:color w:val="23282A"/>
          <w:sz w:val="21"/>
          <w:szCs w:val="21"/>
        </w:rPr>
        <w:t xml:space="preserve">The highest-value element borrowed from the JSE matrix:</w:t>
      </w:r>
    </w:p>
    <w:p>
      <w:pPr>
        <w:spacing w:after="140"/>
      </w:pPr>
      <w:r>
        <w:rPr>
          <w:rFonts w:ascii="Courier New" w:cs="Courier New" w:eastAsia="Courier New" w:hAnsi="Courier New"/>
          <w:color w:val="101820"/>
          <w:sz w:val="18"/>
          <w:szCs w:val="18"/>
        </w:rPr>
        <w:t xml:space="preserve">Required disclosure | Framework refs | Where reported (section, page) | Status | Data quality | Omission reason</w:t>
      </w:r>
    </w:p>
    <w:p>
      <w:pPr>
        <w:spacing w:after="140"/>
      </w:pPr>
      <w:r>
        <w:rPr>
          <w:rFonts w:ascii="Calibri" w:cs="Calibri" w:eastAsia="Calibri" w:hAnsi="Calibri"/>
          <w:color w:val="23282A"/>
          <w:sz w:val="21"/>
          <w:szCs w:val="21"/>
        </w:rPr>
        <w:t xml:space="preserve">Generated last, from the populated spine. Where a client reports across several documents, the “where reported” column names the external document and page.</w:t>
      </w:r>
    </w:p>
    <w:p>
      <w:pPr>
        <w:spacing w:after="160"/>
      </w:pPr>
    </w:p>
    <w:p>
      <w:pPr>
        <w:pStyle w:val="Heading2"/>
        <w:keepNext/>
        <w:spacing w:after="120" w:before="300"/>
      </w:pPr>
      <w:r>
        <w:rPr>
          <w:rFonts w:ascii="Cambria" w:cs="Cambria" w:eastAsia="Cambria" w:hAnsi="Cambria"/>
          <w:b/>
          <w:bCs/>
          <w:color w:val="00647A"/>
          <w:sz w:val="25"/>
          <w:szCs w:val="25"/>
        </w:rPr>
        <w:t xml:space="preserve">7.2 Section 1 — Executive summary</w:t>
      </w:r>
    </w:p>
    <w:p>
      <w:pPr>
        <w:spacing w:after="140"/>
      </w:pPr>
      <w:r>
        <w:rPr>
          <w:rFonts w:ascii="Calibri" w:cs="Calibri" w:eastAsia="Calibri" w:hAnsi="Calibri"/>
          <w:color w:val="23282A"/>
          <w:sz w:val="21"/>
          <w:szCs w:val="21"/>
        </w:rPr>
        <w:t xml:space="preserve">Board-readable in five minutes. Four fixed components: maturity position with sub-scores and movement; a one-page performance dashboard including the weighted data quality index; three to five auto-generated statements on what changed; and three to five decisions required of the board, each with a deadline, the consequence of deferral, a cost band and a roadmap reference.</w:t>
      </w:r>
    </w:p>
    <w:p>
      <w:pPr>
        <w:pStyle w:val="Heading2"/>
        <w:keepNext/>
        <w:spacing w:after="120" w:before="300"/>
      </w:pPr>
      <w:r>
        <w:rPr>
          <w:rFonts w:ascii="Cambria" w:cs="Cambria" w:eastAsia="Cambria" w:hAnsi="Cambria"/>
          <w:b/>
          <w:bCs/>
          <w:color w:val="00647A"/>
          <w:sz w:val="25"/>
          <w:szCs w:val="25"/>
        </w:rPr>
        <w:t xml:space="preserve">7.3 Section 2 — Operating and regulatory context</w:t>
      </w:r>
    </w:p>
    <w:p>
      <w:pPr>
        <w:spacing w:after="140"/>
      </w:pPr>
      <w:r>
        <w:rPr>
          <w:rFonts w:ascii="Calibri" w:cs="Calibri" w:eastAsia="Calibri" w:hAnsi="Calibri"/>
          <w:color w:val="23282A"/>
          <w:sz w:val="21"/>
          <w:szCs w:val="21"/>
        </w:rPr>
        <w:t xml:space="preserve">Okiru's differentiating section. Client-specific and sector-filtered, sourced from a maintained regulatory register covering at minimum:</w:t>
      </w:r>
    </w:p>
    <w:p>
      <w:pPr>
        <w:pStyle w:val="ListParagraph"/>
        <w:numPr>
          <w:ilvl w:val="0"/>
          <w:numId w:val="3"/>
        </w:numPr>
        <w:spacing w:after="80"/>
      </w:pPr>
      <w:r>
        <w:rPr>
          <w:rFonts w:ascii="Calibri" w:cs="Calibri" w:eastAsia="Calibri" w:hAnsi="Calibri"/>
          <w:color w:val="23282A"/>
          <w:sz w:val="21"/>
          <w:szCs w:val="21"/>
        </w:rPr>
        <w:t xml:space="preserve">Climate Change Act and sectoral emission targets</w:t>
      </w:r>
    </w:p>
    <w:p>
      <w:pPr>
        <w:pStyle w:val="ListParagraph"/>
        <w:numPr>
          <w:ilvl w:val="0"/>
          <w:numId w:val="3"/>
        </w:numPr>
        <w:spacing w:after="80"/>
      </w:pPr>
      <w:r>
        <w:rPr>
          <w:rFonts w:ascii="Calibri" w:cs="Calibri" w:eastAsia="Calibri" w:hAnsi="Calibri"/>
          <w:color w:val="23282A"/>
          <w:sz w:val="21"/>
          <w:szCs w:val="21"/>
        </w:rPr>
        <w:t xml:space="preserve">Carbon Tax Act, allowances and offset provisions</w:t>
      </w:r>
    </w:p>
    <w:p>
      <w:pPr>
        <w:pStyle w:val="ListParagraph"/>
        <w:numPr>
          <w:ilvl w:val="0"/>
          <w:numId w:val="3"/>
        </w:numPr>
        <w:spacing w:after="80"/>
      </w:pPr>
      <w:r>
        <w:rPr>
          <w:rFonts w:ascii="Calibri" w:cs="Calibri" w:eastAsia="Calibri" w:hAnsi="Calibri"/>
          <w:color w:val="23282A"/>
          <w:sz w:val="21"/>
          <w:szCs w:val="21"/>
        </w:rPr>
        <w:t xml:space="preserve">ISSB / IFRS S1 and S2 national adoption roadmap and the FSCA disclosure pathway for large listed entities</w:t>
      </w:r>
    </w:p>
    <w:p>
      <w:pPr>
        <w:pStyle w:val="ListParagraph"/>
        <w:numPr>
          <w:ilvl w:val="0"/>
          <w:numId w:val="3"/>
        </w:numPr>
        <w:spacing w:after="80"/>
      </w:pPr>
      <w:r>
        <w:rPr>
          <w:rFonts w:ascii="Calibri" w:cs="Calibri" w:eastAsia="Calibri" w:hAnsi="Calibri"/>
          <w:color w:val="23282A"/>
          <w:sz w:val="21"/>
          <w:szCs w:val="21"/>
        </w:rPr>
        <w:t xml:space="preserve">JSE Listings Requirements and Sustainability and Climate Change Disclosure Guidance</w:t>
      </w:r>
    </w:p>
    <w:p>
      <w:pPr>
        <w:pStyle w:val="ListParagraph"/>
        <w:numPr>
          <w:ilvl w:val="0"/>
          <w:numId w:val="3"/>
        </w:numPr>
        <w:spacing w:after="80"/>
      </w:pPr>
      <w:r>
        <w:rPr>
          <w:rFonts w:ascii="Calibri" w:cs="Calibri" w:eastAsia="Calibri" w:hAnsi="Calibri"/>
          <w:color w:val="23282A"/>
          <w:sz w:val="21"/>
          <w:szCs w:val="21"/>
        </w:rPr>
        <w:t xml:space="preserve">South African Green Finance Taxonomy</w:t>
      </w:r>
    </w:p>
    <w:p>
      <w:pPr>
        <w:pStyle w:val="ListParagraph"/>
        <w:numPr>
          <w:ilvl w:val="0"/>
          <w:numId w:val="3"/>
        </w:numPr>
        <w:spacing w:after="80"/>
      </w:pPr>
      <w:r>
        <w:rPr>
          <w:rFonts w:ascii="Calibri" w:cs="Calibri" w:eastAsia="Calibri" w:hAnsi="Calibri"/>
          <w:color w:val="23282A"/>
          <w:sz w:val="21"/>
          <w:szCs w:val="21"/>
        </w:rPr>
        <w:t xml:space="preserve">B-BBEE Codes and the Amended Financial Sector Code where applicable</w:t>
      </w:r>
    </w:p>
    <w:p>
      <w:pPr>
        <w:pStyle w:val="ListParagraph"/>
        <w:numPr>
          <w:ilvl w:val="0"/>
          <w:numId w:val="3"/>
        </w:numPr>
        <w:spacing w:after="80"/>
      </w:pPr>
      <w:r>
        <w:rPr>
          <w:rFonts w:ascii="Calibri" w:cs="Calibri" w:eastAsia="Calibri" w:hAnsi="Calibri"/>
          <w:color w:val="23282A"/>
          <w:sz w:val="21"/>
          <w:szCs w:val="21"/>
        </w:rPr>
        <w:t xml:space="preserve">Employment Equity Act sector targets</w:t>
      </w:r>
    </w:p>
    <w:p>
      <w:pPr>
        <w:pStyle w:val="ListParagraph"/>
        <w:numPr>
          <w:ilvl w:val="0"/>
          <w:numId w:val="3"/>
        </w:numPr>
        <w:spacing w:after="80"/>
      </w:pPr>
      <w:r>
        <w:rPr>
          <w:rFonts w:ascii="Calibri" w:cs="Calibri" w:eastAsia="Calibri" w:hAnsi="Calibri"/>
          <w:color w:val="23282A"/>
          <w:sz w:val="21"/>
          <w:szCs w:val="21"/>
        </w:rPr>
        <w:t xml:space="preserve">Companies Act Regulation 43 (Social and Ethics Committee)</w:t>
      </w:r>
    </w:p>
    <w:p>
      <w:pPr>
        <w:pStyle w:val="ListParagraph"/>
        <w:numPr>
          <w:ilvl w:val="0"/>
          <w:numId w:val="3"/>
        </w:numPr>
        <w:spacing w:after="80"/>
      </w:pPr>
      <w:r>
        <w:rPr>
          <w:rFonts w:ascii="Calibri" w:cs="Calibri" w:eastAsia="Calibri" w:hAnsi="Calibri"/>
          <w:color w:val="23282A"/>
          <w:sz w:val="21"/>
          <w:szCs w:val="21"/>
        </w:rPr>
        <w:t xml:space="preserve">PoPIA where data governance is material, and sector-specific licences and environmental authorisations</w:t>
      </w:r>
    </w:p>
    <w:p>
      <w:pPr>
        <w:spacing w:after="140"/>
      </w:pPr>
      <w:r>
        <w:rPr>
          <w:rFonts w:ascii="Calibri" w:cs="Calibri" w:eastAsia="Calibri" w:hAnsi="Calibri"/>
          <w:color w:val="23282A"/>
          <w:sz w:val="21"/>
          <w:szCs w:val="21"/>
        </w:rPr>
        <w:t xml:space="preserve">Each entry renders instrument, status, requirement, applicability, action required and deadline. A 24-month compliance calendar follows, then value chain pressure and peer position.</w:t>
      </w:r>
    </w:p>
    <w:p>
      <w:pPr>
        <w:pStyle w:val="Heading2"/>
        <w:keepNext/>
        <w:spacing w:after="120" w:before="300"/>
      </w:pPr>
      <w:r>
        <w:rPr>
          <w:rFonts w:ascii="Cambria" w:cs="Cambria" w:eastAsia="Cambria" w:hAnsi="Cambria"/>
          <w:b/>
          <w:bCs/>
          <w:color w:val="00647A"/>
          <w:sz w:val="25"/>
          <w:szCs w:val="25"/>
        </w:rPr>
        <w:t xml:space="preserve">7.4 Section 3 — Governance</w:t>
      </w:r>
    </w:p>
    <w:p>
      <w:pPr>
        <w:pStyle w:val="ListParagraph"/>
        <w:numPr>
          <w:ilvl w:val="0"/>
          <w:numId w:val="3"/>
        </w:numPr>
        <w:spacing w:after="80"/>
      </w:pPr>
      <w:r>
        <w:rPr>
          <w:rFonts w:ascii="Calibri" w:cs="Calibri" w:eastAsia="Calibri" w:hAnsi="Calibri"/>
          <w:color w:val="23282A"/>
          <w:sz w:val="21"/>
          <w:szCs w:val="21"/>
        </w:rPr>
        <w:t xml:space="preserve">Board oversight of sustainability — structure, committee mandate, frequency, competence</w:t>
      </w:r>
    </w:p>
    <w:p>
      <w:pPr>
        <w:pStyle w:val="ListParagraph"/>
        <w:numPr>
          <w:ilvl w:val="0"/>
          <w:numId w:val="3"/>
        </w:numPr>
        <w:spacing w:after="80"/>
      </w:pPr>
      <w:r>
        <w:rPr>
          <w:rFonts w:ascii="Calibri" w:cs="Calibri" w:eastAsia="Calibri" w:hAnsi="Calibri"/>
          <w:color w:val="23282A"/>
          <w:sz w:val="21"/>
          <w:szCs w:val="21"/>
        </w:rPr>
        <w:t xml:space="preserve">Management accountability — drawn from source_owner fields, so the report proves accountability rather than asserting it</w:t>
      </w:r>
    </w:p>
    <w:p>
      <w:pPr>
        <w:pStyle w:val="ListParagraph"/>
        <w:numPr>
          <w:ilvl w:val="0"/>
          <w:numId w:val="3"/>
        </w:numPr>
        <w:spacing w:after="80"/>
      </w:pPr>
      <w:r>
        <w:rPr>
          <w:rFonts w:ascii="Calibri" w:cs="Calibri" w:eastAsia="Calibri" w:hAnsi="Calibri"/>
          <w:color w:val="23282A"/>
          <w:sz w:val="21"/>
          <w:szCs w:val="21"/>
        </w:rPr>
        <w:t xml:space="preserve">Integration into risk management, and remuneration linkage</w:t>
      </w:r>
    </w:p>
    <w:p>
      <w:pPr>
        <w:pStyle w:val="ListParagraph"/>
        <w:numPr>
          <w:ilvl w:val="0"/>
          <w:numId w:val="3"/>
        </w:numPr>
        <w:spacing w:after="80"/>
      </w:pPr>
      <w:r>
        <w:rPr>
          <w:rFonts w:ascii="Calibri" w:cs="Calibri" w:eastAsia="Calibri" w:hAnsi="Calibri"/>
          <w:color w:val="23282A"/>
          <w:sz w:val="21"/>
          <w:szCs w:val="21"/>
        </w:rPr>
        <w:t xml:space="preserve">Social and Ethics Committee report (conditional) — auto-populated against the Regulation 43 prescribed areas and separately extractable</w:t>
      </w:r>
    </w:p>
    <w:p>
      <w:pPr>
        <w:pStyle w:val="Heading2"/>
        <w:keepNext/>
        <w:spacing w:after="120" w:before="300"/>
      </w:pPr>
      <w:r>
        <w:rPr>
          <w:rFonts w:ascii="Cambria" w:cs="Cambria" w:eastAsia="Cambria" w:hAnsi="Cambria"/>
          <w:b/>
          <w:bCs/>
          <w:color w:val="00647A"/>
          <w:sz w:val="25"/>
          <w:szCs w:val="25"/>
        </w:rPr>
        <w:t xml:space="preserve">7.5 Section 4 — Materiality</w:t>
      </w:r>
    </w:p>
    <w:p>
      <w:pPr>
        <w:pStyle w:val="ListParagraph"/>
        <w:numPr>
          <w:ilvl w:val="0"/>
          <w:numId w:val="3"/>
        </w:numPr>
        <w:spacing w:after="80"/>
      </w:pPr>
      <w:r>
        <w:rPr>
          <w:rFonts w:ascii="Calibri" w:cs="Calibri" w:eastAsia="Calibri" w:hAnsi="Calibri"/>
          <w:color w:val="23282A"/>
          <w:sz w:val="21"/>
          <w:szCs w:val="21"/>
        </w:rPr>
        <w:t xml:space="preserve">Method — double or single materiality, stated, with threshold logic disclosed</w:t>
      </w:r>
    </w:p>
    <w:p>
      <w:pPr>
        <w:pStyle w:val="ListParagraph"/>
        <w:numPr>
          <w:ilvl w:val="0"/>
          <w:numId w:val="3"/>
        </w:numPr>
        <w:spacing w:after="80"/>
      </w:pPr>
      <w:r>
        <w:rPr>
          <w:rFonts w:ascii="Calibri" w:cs="Calibri" w:eastAsia="Calibri" w:hAnsi="Calibri"/>
          <w:color w:val="23282A"/>
          <w:sz w:val="21"/>
          <w:szCs w:val="21"/>
        </w:rPr>
        <w:t xml:space="preserve">Stakeholder engagement — groups, method, frequency, what they raised</w:t>
      </w:r>
    </w:p>
    <w:p>
      <w:pPr>
        <w:pStyle w:val="ListParagraph"/>
        <w:numPr>
          <w:ilvl w:val="0"/>
          <w:numId w:val="3"/>
        </w:numPr>
        <w:spacing w:after="80"/>
      </w:pPr>
      <w:r>
        <w:rPr>
          <w:rFonts w:ascii="Calibri" w:cs="Calibri" w:eastAsia="Calibri" w:hAnsi="Calibri"/>
          <w:color w:val="23282A"/>
          <w:sz w:val="21"/>
          <w:szCs w:val="21"/>
        </w:rPr>
        <w:t xml:space="preserve">Material matters — matrix plus a table linking each matter to financial exposure, metrics and roadmap actions</w:t>
      </w:r>
    </w:p>
    <w:p>
      <w:pPr>
        <w:spacing w:after="120"/>
      </w:pPr>
    </w:p>
    <w:tbl>
      <w:tblPr>
        <w:tblW w:type="dxa" w:w="9360"/>
        <w:tblBorders>
          <w:top w:val="single" w:color="0091A8" w:sz="2"/>
          <w:left w:val="single" w:color="0091A8" w:sz="18"/>
          <w:bottom w:val="single" w:color="0091A8" w:sz="2"/>
          <w:right w:val="single" w:color="0091A8" w:sz="2"/>
          <w:insideH w:val="none"/>
          <w:insideV w:val="none"/>
        </w:tblBorders>
      </w:tblPr>
      <w:tblGrid>
        <w:gridCol w:w="9360"/>
      </w:tblGrid>
      <w:tr>
        <w:trPr>
          <w:cantSplit/>
        </w:trPr>
        <w:tc>
          <w:tcPr>
            <w:tcW w:type="dxa" w:w="9360"/>
            <w:shd w:fill="E9F3F5" w:val="clear"/>
            <w:tcMar>
              <w:top w:type="dxa" w:w="160"/>
              <w:left w:type="dxa" w:w="220"/>
              <w:bottom w:type="dxa" w:w="160"/>
              <w:right w:type="dxa" w:w="220"/>
            </w:tcMar>
          </w:tcPr>
          <w:p>
            <w:pPr>
              <w:spacing w:after="60"/>
            </w:pPr>
            <w:r>
              <w:rPr>
                <w:rFonts w:ascii="Calibri" w:cs="Calibri" w:eastAsia="Calibri" w:hAnsi="Calibri"/>
                <w:b/>
                <w:bCs/>
                <w:color w:val="00647A"/>
                <w:spacing w:val="30"/>
                <w:sz w:val="17"/>
                <w:szCs w:val="17"/>
              </w:rPr>
              <w:t xml:space="preserve">RULE</w:t>
            </w:r>
          </w:p>
          <w:p>
            <w:r>
              <w:rPr>
                <w:rFonts w:ascii="Cambria" w:cs="Cambria" w:eastAsia="Cambria" w:hAnsi="Cambria"/>
                <w:color w:val="101820"/>
                <w:sz w:val="22"/>
                <w:szCs w:val="22"/>
              </w:rPr>
              <w:t xml:space="preserve">Every material matter links to at least one metric and one roadmap action, or the generator flags it. A material matter with nothing attached is a narrative claim, not a management process.</w:t>
            </w:r>
          </w:p>
        </w:tc>
      </w:tr>
    </w:tbl>
    <w:p>
      <w:pPr>
        <w:spacing w:after="160"/>
      </w:pPr>
    </w:p>
    <w:p>
      <w:pPr>
        <w:pStyle w:val="Heading2"/>
        <w:keepNext/>
        <w:spacing w:after="120" w:before="300"/>
      </w:pPr>
      <w:r>
        <w:rPr>
          <w:rFonts w:ascii="Cambria" w:cs="Cambria" w:eastAsia="Cambria" w:hAnsi="Cambria"/>
          <w:b/>
          <w:bCs/>
          <w:color w:val="00647A"/>
          <w:sz w:val="25"/>
          <w:szCs w:val="25"/>
        </w:rPr>
        <w:t xml:space="preserve">7.6 Section 5 — Strategy and value creation</w:t>
      </w:r>
    </w:p>
    <w:p>
      <w:pPr>
        <w:pStyle w:val="ListParagraph"/>
        <w:numPr>
          <w:ilvl w:val="0"/>
          <w:numId w:val="3"/>
        </w:numPr>
        <w:spacing w:after="80"/>
      </w:pPr>
      <w:r>
        <w:rPr>
          <w:rFonts w:ascii="Calibri" w:cs="Calibri" w:eastAsia="Calibri" w:hAnsi="Calibri"/>
          <w:color w:val="23282A"/>
          <w:sz w:val="21"/>
          <w:szCs w:val="21"/>
        </w:rPr>
        <w:t xml:space="preserve">Sustainability strategy and commitments; link to business strategy including revenue and cost exposure</w:t>
      </w:r>
    </w:p>
    <w:p>
      <w:pPr>
        <w:pStyle w:val="ListParagraph"/>
        <w:numPr>
          <w:ilvl w:val="0"/>
          <w:numId w:val="3"/>
        </w:numPr>
        <w:spacing w:after="80"/>
      </w:pPr>
      <w:r>
        <w:rPr>
          <w:rFonts w:ascii="Calibri" w:cs="Calibri" w:eastAsia="Calibri" w:hAnsi="Calibri"/>
          <w:color w:val="23282A"/>
          <w:sz w:val="21"/>
          <w:szCs w:val="21"/>
        </w:rPr>
        <w:t xml:space="preserve">Transition plan (conditional on emissions materiality) — projection output, scenario assumptions, reduction levers with abatement potential and cost</w:t>
      </w:r>
    </w:p>
    <w:p>
      <w:pPr>
        <w:pStyle w:val="ListParagraph"/>
        <w:numPr>
          <w:ilvl w:val="0"/>
          <w:numId w:val="3"/>
        </w:numPr>
        <w:spacing w:after="80"/>
      </w:pPr>
      <w:r>
        <w:rPr>
          <w:rFonts w:ascii="Calibri" w:cs="Calibri" w:eastAsia="Calibri" w:hAnsi="Calibri"/>
          <w:color w:val="23282A"/>
          <w:sz w:val="21"/>
          <w:szCs w:val="21"/>
        </w:rPr>
        <w:t xml:space="preserve">Investment and resourcing — capital and operating expenditure allocated</w:t>
      </w:r>
    </w:p>
    <w:p>
      <w:pPr>
        <w:pStyle w:val="Heading2"/>
        <w:keepNext/>
        <w:spacing w:after="120" w:before="300"/>
      </w:pPr>
      <w:r>
        <w:rPr>
          <w:rFonts w:ascii="Cambria" w:cs="Cambria" w:eastAsia="Cambria" w:hAnsi="Cambria"/>
          <w:b/>
          <w:bCs/>
          <w:color w:val="00647A"/>
          <w:sz w:val="25"/>
          <w:szCs w:val="25"/>
        </w:rPr>
        <w:t xml:space="preserve">7.7 Section 6 — Environmental performance</w:t>
      </w:r>
    </w:p>
    <w:p>
      <w:pPr>
        <w:spacing w:after="140"/>
      </w:pPr>
      <w:r>
        <w:rPr>
          <w:rFonts w:ascii="Calibri" w:cs="Calibri" w:eastAsia="Calibri" w:hAnsi="Calibri"/>
          <w:color w:val="23282A"/>
          <w:sz w:val="21"/>
          <w:szCs w:val="21"/>
        </w:rPr>
        <w:t xml:space="preserve">Each sub-topic renders a metric table, trend chart, commentary, omissions and linked actions: GHG emissions across Scopes 1, 2 and 3 with intensity and base-year policy; energy; water; waste; biodiversity and land use; pollution; environmental supply chain; and just transition. Omitted Scope 3 categories must state why.</w:t>
      </w:r>
    </w:p>
    <w:p>
      <w:pPr>
        <w:pStyle w:val="Heading2"/>
        <w:keepNext/>
        <w:spacing w:after="120" w:before="300"/>
      </w:pPr>
      <w:r>
        <w:rPr>
          <w:rFonts w:ascii="Cambria" w:cs="Cambria" w:eastAsia="Cambria" w:hAnsi="Cambria"/>
          <w:b/>
          <w:bCs/>
          <w:color w:val="00647A"/>
          <w:sz w:val="25"/>
          <w:szCs w:val="25"/>
        </w:rPr>
        <w:t xml:space="preserve">7.8 Section 7 — Social performance</w:t>
      </w:r>
    </w:p>
    <w:p>
      <w:pPr>
        <w:spacing w:after="140"/>
      </w:pPr>
      <w:r>
        <w:rPr>
          <w:rFonts w:ascii="Calibri" w:cs="Calibri" w:eastAsia="Calibri" w:hAnsi="Calibri"/>
          <w:color w:val="23282A"/>
          <w:sz w:val="21"/>
          <w:szCs w:val="21"/>
        </w:rPr>
        <w:t xml:space="preserve">Okiru's second differentiating block, where the South African context bites.</w:t>
      </w:r>
    </w:p>
    <w:p>
      <w:pPr>
        <w:pStyle w:val="ListParagraph"/>
        <w:numPr>
          <w:ilvl w:val="0"/>
          <w:numId w:val="3"/>
        </w:numPr>
        <w:spacing w:after="80"/>
      </w:pPr>
      <w:r>
        <w:rPr>
          <w:rFonts w:ascii="Calibri" w:cs="Calibri" w:eastAsia="Calibri" w:hAnsi="Calibri"/>
          <w:color w:val="23282A"/>
          <w:sz w:val="21"/>
          <w:szCs w:val="21"/>
        </w:rPr>
        <w:t xml:space="preserve">Workforce composition by race, gender, age band, occupational level and employment type, rendered alongside the EE report structure</w:t>
      </w:r>
    </w:p>
    <w:p>
      <w:pPr>
        <w:pStyle w:val="ListParagraph"/>
        <w:numPr>
          <w:ilvl w:val="0"/>
          <w:numId w:val="3"/>
        </w:numPr>
        <w:spacing w:after="80"/>
      </w:pPr>
      <w:r>
        <w:rPr>
          <w:rFonts w:ascii="Calibri" w:cs="Calibri" w:eastAsia="Calibri" w:hAnsi="Calibri"/>
          <w:color w:val="23282A"/>
          <w:sz w:val="21"/>
          <w:szCs w:val="21"/>
        </w:rPr>
        <w:t xml:space="preserve">Diversity, equity and inclusion including progress against EE sector targets</w:t>
      </w:r>
    </w:p>
    <w:p>
      <w:pPr>
        <w:pStyle w:val="ListParagraph"/>
        <w:numPr>
          <w:ilvl w:val="0"/>
          <w:numId w:val="3"/>
        </w:numPr>
        <w:spacing w:after="80"/>
      </w:pPr>
      <w:r>
        <w:rPr>
          <w:rFonts w:ascii="Calibri" w:cs="Calibri" w:eastAsia="Calibri" w:hAnsi="Calibri"/>
          <w:color w:val="23282A"/>
          <w:sz w:val="21"/>
          <w:szCs w:val="21"/>
        </w:rPr>
        <w:t xml:space="preserve">Pay equality — CEO-to-median, top and bottom decile, gender and race ratios, living wage position</w:t>
      </w:r>
    </w:p>
    <w:p>
      <w:pPr>
        <w:pStyle w:val="ListParagraph"/>
        <w:numPr>
          <w:ilvl w:val="0"/>
          <w:numId w:val="3"/>
        </w:numPr>
        <w:spacing w:after="80"/>
      </w:pPr>
      <w:r>
        <w:rPr>
          <w:rFonts w:ascii="Calibri" w:cs="Calibri" w:eastAsia="Calibri" w:hAnsi="Calibri"/>
          <w:color w:val="23282A"/>
          <w:sz w:val="21"/>
          <w:szCs w:val="21"/>
        </w:rPr>
        <w:t xml:space="preserve">Skills development — spend, learnerships, beneficiary demographics, B-BBEE skills element, SETA alignment</w:t>
      </w:r>
    </w:p>
    <w:p>
      <w:pPr>
        <w:pStyle w:val="ListParagraph"/>
        <w:numPr>
          <w:ilvl w:val="0"/>
          <w:numId w:val="3"/>
        </w:numPr>
        <w:spacing w:after="80"/>
      </w:pPr>
      <w:r>
        <w:rPr>
          <w:rFonts w:ascii="Calibri" w:cs="Calibri" w:eastAsia="Calibri" w:hAnsi="Calibri"/>
          <w:color w:val="23282A"/>
          <w:sz w:val="21"/>
          <w:szCs w:val="21"/>
        </w:rPr>
        <w:t xml:space="preserve">Enterprise and supplier development — beneficiaries, spend, outcomes, jobs supported</w:t>
      </w:r>
    </w:p>
    <w:p>
      <w:pPr>
        <w:pStyle w:val="ListParagraph"/>
        <w:numPr>
          <w:ilvl w:val="0"/>
          <w:numId w:val="3"/>
        </w:numPr>
        <w:spacing w:after="80"/>
      </w:pPr>
      <w:r>
        <w:rPr>
          <w:rFonts w:ascii="Calibri" w:cs="Calibri" w:eastAsia="Calibri" w:hAnsi="Calibri"/>
          <w:color w:val="23282A"/>
          <w:sz w:val="21"/>
          <w:szCs w:val="21"/>
        </w:rPr>
        <w:t xml:space="preserve">Health and safety; labour relations; community and human rights; socio-economic development and value added; social supply chain; customer responsibility</w:t>
      </w:r>
    </w:p>
    <w:p>
      <w:pPr>
        <w:pStyle w:val="Heading2"/>
        <w:keepNext/>
        <w:spacing w:after="120" w:before="300"/>
      </w:pPr>
      <w:r>
        <w:rPr>
          <w:rFonts w:ascii="Cambria" w:cs="Cambria" w:eastAsia="Cambria" w:hAnsi="Cambria"/>
          <w:b/>
          <w:bCs/>
          <w:color w:val="00647A"/>
          <w:sz w:val="25"/>
          <w:szCs w:val="25"/>
        </w:rPr>
        <w:t xml:space="preserve">7.9 Section 8 — Governance metrics</w:t>
      </w:r>
    </w:p>
    <w:p>
      <w:pPr>
        <w:spacing w:after="140"/>
      </w:pPr>
      <w:r>
        <w:rPr>
          <w:rFonts w:ascii="Calibri" w:cs="Calibri" w:eastAsia="Calibri" w:hAnsi="Calibri"/>
          <w:color w:val="23282A"/>
          <w:sz w:val="21"/>
          <w:szCs w:val="21"/>
        </w:rPr>
        <w:t xml:space="preserve">Board composition; ethics and anti-corruption including training coverage and whistle-blowing outcomes; compliance incidents, fines and penalties; tax transparency; political contributions and lobbying.</w:t>
      </w:r>
    </w:p>
    <w:p>
      <w:pPr>
        <w:pStyle w:val="Heading2"/>
        <w:keepNext/>
        <w:spacing w:after="120" w:before="300"/>
      </w:pPr>
      <w:r>
        <w:rPr>
          <w:rFonts w:ascii="Cambria" w:cs="Cambria" w:eastAsia="Cambria" w:hAnsi="Cambria"/>
          <w:b/>
          <w:bCs/>
          <w:color w:val="00647A"/>
          <w:sz w:val="25"/>
          <w:szCs w:val="25"/>
        </w:rPr>
        <w:t xml:space="preserve">7.10 Section 9 — Metrics, targets and performance</w:t>
      </w:r>
    </w:p>
    <w:p>
      <w:pPr>
        <w:spacing w:after="140"/>
      </w:pPr>
      <w:r>
        <w:rPr>
          <w:rFonts w:ascii="Calibri" w:cs="Calibri" w:eastAsia="Calibri" w:hAnsi="Calibri"/>
          <w:color w:val="23282A"/>
          <w:sz w:val="21"/>
          <w:szCs w:val="21"/>
        </w:rPr>
        <w:t xml:space="preserve">Consolidated KPI table, one row per tracked metric, grouped by E, S and G. This is the page a funder or customer photographs.</w:t>
      </w:r>
    </w:p>
    <w:p>
      <w:pPr>
        <w:spacing w:after="140"/>
      </w:pPr>
      <w:r>
        <w:rPr>
          <w:rFonts w:ascii="Courier New" w:cs="Courier New" w:eastAsia="Courier New" w:hAnsi="Courier New"/>
          <w:color w:val="101820"/>
          <w:sz w:val="18"/>
          <w:szCs w:val="18"/>
        </w:rPr>
        <w:t xml:space="preserve">Metric | Baseline | Prior year | Current | Target | Target year | Trajectory | RAG | Data quality | Assurance | Owner</w:t>
      </w:r>
    </w:p>
    <w:p>
      <w:pPr>
        <w:pStyle w:val="Heading2"/>
        <w:keepNext/>
        <w:spacing w:after="120" w:before="300"/>
      </w:pPr>
      <w:r>
        <w:rPr>
          <w:rFonts w:ascii="Cambria" w:cs="Cambria" w:eastAsia="Cambria" w:hAnsi="Cambria"/>
          <w:b/>
          <w:bCs/>
          <w:color w:val="00647A"/>
          <w:sz w:val="25"/>
          <w:szCs w:val="25"/>
        </w:rPr>
        <w:t xml:space="preserve">7.11 Section 10 — Gap register and assurance readiness</w:t>
      </w:r>
    </w:p>
    <w:p>
      <w:pPr>
        <w:spacing w:after="140"/>
      </w:pPr>
      <w:r>
        <w:rPr>
          <w:rFonts w:ascii="Calibri" w:cs="Calibri" w:eastAsia="Calibri" w:hAnsi="Calibri"/>
          <w:color w:val="23282A"/>
          <w:sz w:val="21"/>
          <w:szCs w:val="21"/>
        </w:rPr>
        <w:t xml:space="preserve">Generated from every omission, grey RAG and data quality score of 3 or below.</w:t>
      </w:r>
    </w:p>
    <w:p>
      <w:pPr>
        <w:spacing w:after="140"/>
      </w:pPr>
      <w:r>
        <w:rPr>
          <w:rFonts w:ascii="Courier New" w:cs="Courier New" w:eastAsia="Courier New" w:hAnsi="Courier New"/>
          <w:color w:val="101820"/>
          <w:sz w:val="18"/>
          <w:szCs w:val="18"/>
        </w:rPr>
        <w:t xml:space="preserve">Gap ID | Metric | Nature of gap | Requirement not met | Risk | Effort band | Cost band | Owner | Target close | Roadmap ref</w:t>
      </w:r>
    </w:p>
    <w:p>
      <w:pPr>
        <w:spacing w:after="140"/>
      </w:pPr>
      <w:r>
        <w:rPr>
          <w:rFonts w:ascii="Calibri" w:cs="Calibri" w:eastAsia="Calibri" w:hAnsi="Calibri"/>
          <w:color w:val="23282A"/>
          <w:sz w:val="21"/>
          <w:szCs w:val="21"/>
        </w:rPr>
        <w:t xml:space="preserve">Assurance readiness is rated per topic and stated plainly. A client who can see they are two data-quality steps from assurable will buy those two steps. The top five gaps by risk-weighted effort are pulled out as priority remediation.</w:t>
      </w:r>
    </w:p>
    <w:p>
      <w:pPr>
        <w:pStyle w:val="Heading2"/>
        <w:keepNext/>
        <w:spacing w:after="120" w:before="300"/>
      </w:pPr>
      <w:r>
        <w:rPr>
          <w:rFonts w:ascii="Cambria" w:cs="Cambria" w:eastAsia="Cambria" w:hAnsi="Cambria"/>
          <w:b/>
          <w:bCs/>
          <w:color w:val="00647A"/>
          <w:sz w:val="25"/>
          <w:szCs w:val="25"/>
        </w:rPr>
        <w:t xml:space="preserve">7.12 Section 11 — Roadmap</w:t>
      </w:r>
    </w:p>
    <w:p>
      <w:pPr>
        <w:spacing w:after="140"/>
      </w:pPr>
      <w:r>
        <w:rPr>
          <w:rFonts w:ascii="Calibri" w:cs="Calibri" w:eastAsia="Calibri" w:hAnsi="Calibri"/>
          <w:color w:val="23282A"/>
          <w:sz w:val="21"/>
          <w:szCs w:val="21"/>
        </w:rPr>
        <w:t xml:space="preserve">Time-bound actions with owners, drawn from the gap register and the strategy, grouped 0 to 6 months, 6 to 18 months and 18 to 36 months, with a dependency map.</w:t>
      </w:r>
    </w:p>
    <w:p>
      <w:pPr>
        <w:spacing w:after="140"/>
      </w:pPr>
      <w:r>
        <w:rPr>
          <w:rFonts w:ascii="Courier New" w:cs="Courier New" w:eastAsia="Courier New" w:hAnsi="Courier New"/>
          <w:color w:val="101820"/>
          <w:sz w:val="18"/>
          <w:szCs w:val="18"/>
        </w:rPr>
        <w:t xml:space="preserve">Action | Material matter | Metric | Owner | Start | Due | Dependencies | Effort | Cost band | Expected outcome | Status</w:t>
      </w:r>
    </w:p>
    <w:p>
      <w:pPr>
        <w:spacing w:after="140"/>
      </w:pPr>
      <w:r>
        <w:rPr>
          <w:rFonts w:ascii="Calibri" w:cs="Calibri" w:eastAsia="Calibri" w:hAnsi="Calibri"/>
          <w:color w:val="23282A"/>
          <w:sz w:val="21"/>
          <w:szCs w:val="21"/>
        </w:rPr>
        <w:t xml:space="preserve">A board KPI milestone tracker carries forward each period so progress is visible year on year.</w:t>
      </w:r>
    </w:p>
    <w:p>
      <w:pPr>
        <w:pStyle w:val="Heading2"/>
        <w:keepNext/>
        <w:spacing w:after="120" w:before="300"/>
      </w:pPr>
      <w:r>
        <w:rPr>
          <w:rFonts w:ascii="Cambria" w:cs="Cambria" w:eastAsia="Cambria" w:hAnsi="Cambria"/>
          <w:b/>
          <w:bCs/>
          <w:color w:val="00647A"/>
          <w:sz w:val="25"/>
          <w:szCs w:val="25"/>
        </w:rPr>
        <w:t xml:space="preserve">7.13 Appendices</w:t>
      </w:r>
    </w:p>
    <w:p>
      <w:pPr>
        <w:pStyle w:val="ListParagraph"/>
        <w:numPr>
          <w:ilvl w:val="0"/>
          <w:numId w:val="3"/>
        </w:numPr>
        <w:spacing w:after="80"/>
      </w:pPr>
      <w:r>
        <w:rPr>
          <w:rFonts w:ascii="Calibri" w:cs="Calibri" w:eastAsia="Calibri" w:hAnsi="Calibri"/>
          <w:color w:val="23282A"/>
          <w:sz w:val="21"/>
          <w:szCs w:val="21"/>
        </w:rPr>
        <w:t xml:space="preserve">A. Methodology — scoring model, weighting, thresholds, projection assumptions</w:t>
      </w:r>
    </w:p>
    <w:p>
      <w:pPr>
        <w:pStyle w:val="ListParagraph"/>
        <w:numPr>
          <w:ilvl w:val="0"/>
          <w:numId w:val="3"/>
        </w:numPr>
        <w:spacing w:after="80"/>
      </w:pPr>
      <w:r>
        <w:rPr>
          <w:rFonts w:ascii="Calibri" w:cs="Calibri" w:eastAsia="Calibri" w:hAnsi="Calibri"/>
          <w:color w:val="23282A"/>
          <w:sz w:val="21"/>
          <w:szCs w:val="21"/>
        </w:rPr>
        <w:t xml:space="preserve">B. Emission factors and sources, with versions and dates</w:t>
      </w:r>
    </w:p>
    <w:p>
      <w:pPr>
        <w:pStyle w:val="ListParagraph"/>
        <w:numPr>
          <w:ilvl w:val="0"/>
          <w:numId w:val="3"/>
        </w:numPr>
        <w:spacing w:after="80"/>
      </w:pPr>
      <w:r>
        <w:rPr>
          <w:rFonts w:ascii="Calibri" w:cs="Calibri" w:eastAsia="Calibri" w:hAnsi="Calibri"/>
          <w:color w:val="23282A"/>
          <w:sz w:val="21"/>
          <w:szCs w:val="21"/>
        </w:rPr>
        <w:t xml:space="preserve">C. Full metric register — the Data Book, or a pointer to it</w:t>
      </w:r>
    </w:p>
    <w:p>
      <w:pPr>
        <w:pStyle w:val="ListParagraph"/>
        <w:numPr>
          <w:ilvl w:val="0"/>
          <w:numId w:val="3"/>
        </w:numPr>
        <w:spacing w:after="80"/>
      </w:pPr>
      <w:r>
        <w:rPr>
          <w:rFonts w:ascii="Calibri" w:cs="Calibri" w:eastAsia="Calibri" w:hAnsi="Calibri"/>
          <w:color w:val="23282A"/>
          <w:sz w:val="21"/>
          <w:szCs w:val="21"/>
        </w:rPr>
        <w:t xml:space="preserve">D. Framework index — JSE, IFRS S1 and S2, GRI, FSC and SDG, with cross-walk version</w:t>
      </w:r>
    </w:p>
    <w:p>
      <w:pPr>
        <w:pStyle w:val="ListParagraph"/>
        <w:numPr>
          <w:ilvl w:val="0"/>
          <w:numId w:val="3"/>
        </w:numPr>
        <w:spacing w:after="80"/>
      </w:pPr>
      <w:r>
        <w:rPr>
          <w:rFonts w:ascii="Calibri" w:cs="Calibri" w:eastAsia="Calibri" w:hAnsi="Calibri"/>
          <w:color w:val="23282A"/>
          <w:sz w:val="21"/>
          <w:szCs w:val="21"/>
        </w:rPr>
        <w:t xml:space="preserve">E. Restatements · F. Stakeholder engagement log · G. Glossary · H. Legal and disclaimers</w:t>
      </w:r>
    </w:p>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8. Generation rules</w:t>
      </w:r>
    </w:p>
    <w:p>
      <w:pPr>
        <w:spacing w:after="140"/>
      </w:pPr>
      <w:r>
        <w:rPr>
          <w:rFonts w:ascii="Calibri" w:cs="Calibri" w:eastAsia="Calibri" w:hAnsi="Calibri"/>
          <w:color w:val="23282A"/>
          <w:sz w:val="21"/>
          <w:szCs w:val="21"/>
        </w:rPr>
        <w:t xml:space="preserve">These are build constraints, not guidelines. Each one removes a specific failure mode.</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468"/>
        <w:gridCol w:w="5148"/>
        <w:gridCol w:w="3744"/>
      </w:tblGrid>
      <w:tr>
        <w:trPr>
          <w:cantSplit/>
          <w:tblHeader/>
        </w:trPr>
        <w:tc>
          <w:tcPr>
            <w:tcW w:type="dxa" w:w="46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w:t>
            </w:r>
          </w:p>
        </w:tc>
        <w:tc>
          <w:tcPr>
            <w:tcW w:type="dxa" w:w="514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Rule</w:t>
            </w:r>
          </w:p>
        </w:tc>
        <w:tc>
          <w:tcPr>
            <w:tcW w:type="dxa" w:w="3744"/>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What it prevents</w:t>
            </w:r>
          </w:p>
        </w:tc>
      </w:tr>
      <w:tr>
        <w:trPr>
          <w:cantSplit/>
        </w:trPr>
        <w:tc>
          <w:tcPr>
            <w:tcW w:type="dxa" w:w="468"/>
            <w:shd w:fill="FFFFFF" w:val="clear"/>
            <w:tcMar>
              <w:top w:type="dxa" w:w="90"/>
              <w:left w:type="dxa" w:w="130"/>
              <w:bottom w:type="dxa" w:w="90"/>
              <w:right w:type="dxa" w:w="130"/>
            </w:tcMar>
          </w:tcPr>
          <w:p>
            <w:r>
              <w:rPr>
                <w:rFonts w:ascii="Calibri" w:cs="Calibri" w:eastAsia="Calibri" w:hAnsi="Calibri"/>
                <w:color w:val="23282A"/>
                <w:sz w:val="19"/>
                <w:szCs w:val="19"/>
              </w:rPr>
              <w:t xml:space="preserve">1</w:t>
            </w:r>
          </w:p>
        </w:tc>
        <w:tc>
          <w:tcPr>
            <w:tcW w:type="dxa" w:w="5148"/>
            <w:shd w:fill="FFFFFF" w:val="clear"/>
            <w:tcMar>
              <w:top w:type="dxa" w:w="90"/>
              <w:left w:type="dxa" w:w="130"/>
              <w:bottom w:type="dxa" w:w="90"/>
              <w:right w:type="dxa" w:w="130"/>
            </w:tcMar>
          </w:tcPr>
          <w:p>
            <w:r>
              <w:rPr>
                <w:rFonts w:ascii="Calibri" w:cs="Calibri" w:eastAsia="Calibri" w:hAnsi="Calibri"/>
                <w:color w:val="23282A"/>
                <w:sz w:val="19"/>
                <w:szCs w:val="19"/>
              </w:rPr>
              <w:t xml:space="preserve">Nothing renders empty — a section with no data renders an omission statement, never a blank or a placeholder</w:t>
            </w:r>
          </w:p>
        </w:tc>
        <w:tc>
          <w:tcPr>
            <w:tcW w:type="dxa" w:w="3744"/>
            <w:shd w:fill="FFFFFF" w:val="clear"/>
            <w:tcMar>
              <w:top w:type="dxa" w:w="90"/>
              <w:left w:type="dxa" w:w="130"/>
              <w:bottom w:type="dxa" w:w="90"/>
              <w:right w:type="dxa" w:w="130"/>
            </w:tcMar>
          </w:tcPr>
          <w:p>
            <w:r>
              <w:rPr>
                <w:rFonts w:ascii="Calibri" w:cs="Calibri" w:eastAsia="Calibri" w:hAnsi="Calibri"/>
                <w:color w:val="23282A"/>
                <w:sz w:val="19"/>
                <w:szCs w:val="19"/>
              </w:rPr>
              <w:t xml:space="preserve">A gap reading as an oversight</w:t>
            </w:r>
          </w:p>
        </w:tc>
      </w:tr>
      <w:tr>
        <w:trPr>
          <w:cantSplit/>
        </w:trPr>
        <w:tc>
          <w:tcPr>
            <w:tcW w:type="dxa" w:w="468"/>
            <w:shd w:fill="F4F8F9" w:val="clear"/>
            <w:tcMar>
              <w:top w:type="dxa" w:w="90"/>
              <w:left w:type="dxa" w:w="130"/>
              <w:bottom w:type="dxa" w:w="90"/>
              <w:right w:type="dxa" w:w="130"/>
            </w:tcMar>
          </w:tcPr>
          <w:p>
            <w:r>
              <w:rPr>
                <w:rFonts w:ascii="Calibri" w:cs="Calibri" w:eastAsia="Calibri" w:hAnsi="Calibri"/>
                <w:color w:val="23282A"/>
                <w:sz w:val="19"/>
                <w:szCs w:val="19"/>
              </w:rPr>
              <w:t xml:space="preserve">2</w:t>
            </w:r>
          </w:p>
        </w:tc>
        <w:tc>
          <w:tcPr>
            <w:tcW w:type="dxa" w:w="5148"/>
            <w:shd w:fill="F4F8F9" w:val="clear"/>
            <w:tcMar>
              <w:top w:type="dxa" w:w="90"/>
              <w:left w:type="dxa" w:w="130"/>
              <w:bottom w:type="dxa" w:w="90"/>
              <w:right w:type="dxa" w:w="130"/>
            </w:tcMar>
          </w:tcPr>
          <w:p>
            <w:r>
              <w:rPr>
                <w:rFonts w:ascii="Calibri" w:cs="Calibri" w:eastAsia="Calibri" w:hAnsi="Calibri"/>
                <w:color w:val="23282A"/>
                <w:sz w:val="19"/>
                <w:szCs w:val="19"/>
              </w:rPr>
              <w:t xml:space="preserve">Draft until signed — full-page DRAFT watermark until the client sign-off field is populated, no override</w:t>
            </w:r>
          </w:p>
        </w:tc>
        <w:tc>
          <w:tcPr>
            <w:tcW w:type="dxa" w:w="3744"/>
            <w:shd w:fill="F4F8F9" w:val="clear"/>
            <w:tcMar>
              <w:top w:type="dxa" w:w="90"/>
              <w:left w:type="dxa" w:w="130"/>
              <w:bottom w:type="dxa" w:w="90"/>
              <w:right w:type="dxa" w:w="130"/>
            </w:tcMar>
          </w:tcPr>
          <w:p>
            <w:r>
              <w:rPr>
                <w:rFonts w:ascii="Calibri" w:cs="Calibri" w:eastAsia="Calibri" w:hAnsi="Calibri"/>
                <w:color w:val="23282A"/>
                <w:sz w:val="19"/>
                <w:szCs w:val="19"/>
              </w:rPr>
              <w:t xml:space="preserve">Okiru carrying liability for an unapproved disclosure</w:t>
            </w:r>
          </w:p>
        </w:tc>
      </w:tr>
      <w:tr>
        <w:trPr>
          <w:cantSplit/>
        </w:trPr>
        <w:tc>
          <w:tcPr>
            <w:tcW w:type="dxa" w:w="468"/>
            <w:shd w:fill="FFFFFF" w:val="clear"/>
            <w:tcMar>
              <w:top w:type="dxa" w:w="90"/>
              <w:left w:type="dxa" w:w="130"/>
              <w:bottom w:type="dxa" w:w="90"/>
              <w:right w:type="dxa" w:w="130"/>
            </w:tcMar>
          </w:tcPr>
          <w:p>
            <w:r>
              <w:rPr>
                <w:rFonts w:ascii="Calibri" w:cs="Calibri" w:eastAsia="Calibri" w:hAnsi="Calibri"/>
                <w:color w:val="23282A"/>
                <w:sz w:val="19"/>
                <w:szCs w:val="19"/>
              </w:rPr>
              <w:t xml:space="preserve">3</w:t>
            </w:r>
          </w:p>
        </w:tc>
        <w:tc>
          <w:tcPr>
            <w:tcW w:type="dxa" w:w="5148"/>
            <w:shd w:fill="FFFFFF" w:val="clear"/>
            <w:tcMar>
              <w:top w:type="dxa" w:w="90"/>
              <w:left w:type="dxa" w:w="130"/>
              <w:bottom w:type="dxa" w:w="90"/>
              <w:right w:type="dxa" w:w="130"/>
            </w:tcMar>
          </w:tcPr>
          <w:p>
            <w:r>
              <w:rPr>
                <w:rFonts w:ascii="Calibri" w:cs="Calibri" w:eastAsia="Calibri" w:hAnsi="Calibri"/>
                <w:color w:val="23282A"/>
                <w:sz w:val="19"/>
                <w:szCs w:val="19"/>
              </w:rPr>
              <w:t xml:space="preserve">Claims are evidence-bound, tiered A to D, and paired with a figure</w:t>
            </w:r>
          </w:p>
        </w:tc>
        <w:tc>
          <w:tcPr>
            <w:tcW w:type="dxa" w:w="3744"/>
            <w:shd w:fill="FFFFFF" w:val="clear"/>
            <w:tcMar>
              <w:top w:type="dxa" w:w="90"/>
              <w:left w:type="dxa" w:w="130"/>
              <w:bottom w:type="dxa" w:w="90"/>
              <w:right w:type="dxa" w:w="130"/>
            </w:tcMar>
          </w:tcPr>
          <w:p>
            <w:r>
              <w:rPr>
                <w:rFonts w:ascii="Calibri" w:cs="Calibri" w:eastAsia="Calibri" w:hAnsi="Calibri"/>
                <w:color w:val="23282A"/>
                <w:sz w:val="19"/>
                <w:szCs w:val="19"/>
              </w:rPr>
              <w:t xml:space="preserve">Greenwashing exposure</w:t>
            </w:r>
          </w:p>
        </w:tc>
      </w:tr>
      <w:tr>
        <w:trPr>
          <w:cantSplit/>
        </w:trPr>
        <w:tc>
          <w:tcPr>
            <w:tcW w:type="dxa" w:w="468"/>
            <w:shd w:fill="F4F8F9" w:val="clear"/>
            <w:tcMar>
              <w:top w:type="dxa" w:w="90"/>
              <w:left w:type="dxa" w:w="130"/>
              <w:bottom w:type="dxa" w:w="90"/>
              <w:right w:type="dxa" w:w="130"/>
            </w:tcMar>
          </w:tcPr>
          <w:p>
            <w:r>
              <w:rPr>
                <w:rFonts w:ascii="Calibri" w:cs="Calibri" w:eastAsia="Calibri" w:hAnsi="Calibri"/>
                <w:color w:val="23282A"/>
                <w:sz w:val="19"/>
                <w:szCs w:val="19"/>
              </w:rPr>
              <w:t xml:space="preserve">4</w:t>
            </w:r>
          </w:p>
        </w:tc>
        <w:tc>
          <w:tcPr>
            <w:tcW w:type="dxa" w:w="5148"/>
            <w:shd w:fill="F4F8F9" w:val="clear"/>
            <w:tcMar>
              <w:top w:type="dxa" w:w="90"/>
              <w:left w:type="dxa" w:w="130"/>
              <w:bottom w:type="dxa" w:w="90"/>
              <w:right w:type="dxa" w:w="130"/>
            </w:tcMar>
          </w:tcPr>
          <w:p>
            <w:r>
              <w:rPr>
                <w:rFonts w:ascii="Calibri" w:cs="Calibri" w:eastAsia="Calibri" w:hAnsi="Calibri"/>
                <w:color w:val="23282A"/>
                <w:sz w:val="19"/>
                <w:szCs w:val="19"/>
              </w:rPr>
              <w:t xml:space="preserve">Suppression is visible — sections omitted as immaterial still appear in the disclosure index with the reason</w:t>
            </w:r>
          </w:p>
        </w:tc>
        <w:tc>
          <w:tcPr>
            <w:tcW w:type="dxa" w:w="3744"/>
            <w:shd w:fill="F4F8F9" w:val="clear"/>
            <w:tcMar>
              <w:top w:type="dxa" w:w="90"/>
              <w:left w:type="dxa" w:w="130"/>
              <w:bottom w:type="dxa" w:w="90"/>
              <w:right w:type="dxa" w:w="130"/>
            </w:tcMar>
          </w:tcPr>
          <w:p>
            <w:r>
              <w:rPr>
                <w:rFonts w:ascii="Calibri" w:cs="Calibri" w:eastAsia="Calibri" w:hAnsi="Calibri"/>
                <w:color w:val="23282A"/>
                <w:sz w:val="19"/>
                <w:szCs w:val="19"/>
              </w:rPr>
              <w:t xml:space="preserve">Silent removal of an inconvenient topic</w:t>
            </w:r>
          </w:p>
        </w:tc>
      </w:tr>
      <w:tr>
        <w:trPr>
          <w:cantSplit/>
        </w:trPr>
        <w:tc>
          <w:tcPr>
            <w:tcW w:type="dxa" w:w="468"/>
            <w:shd w:fill="FFFFFF" w:val="clear"/>
            <w:tcMar>
              <w:top w:type="dxa" w:w="90"/>
              <w:left w:type="dxa" w:w="130"/>
              <w:bottom w:type="dxa" w:w="90"/>
              <w:right w:type="dxa" w:w="130"/>
            </w:tcMar>
          </w:tcPr>
          <w:p>
            <w:r>
              <w:rPr>
                <w:rFonts w:ascii="Calibri" w:cs="Calibri" w:eastAsia="Calibri" w:hAnsi="Calibri"/>
                <w:color w:val="23282A"/>
                <w:sz w:val="19"/>
                <w:szCs w:val="19"/>
              </w:rPr>
              <w:t xml:space="preserve">5</w:t>
            </w:r>
          </w:p>
        </w:tc>
        <w:tc>
          <w:tcPr>
            <w:tcW w:type="dxa" w:w="5148"/>
            <w:shd w:fill="FFFFFF" w:val="clear"/>
            <w:tcMar>
              <w:top w:type="dxa" w:w="90"/>
              <w:left w:type="dxa" w:w="130"/>
              <w:bottom w:type="dxa" w:w="90"/>
              <w:right w:type="dxa" w:w="130"/>
            </w:tcMar>
          </w:tcPr>
          <w:p>
            <w:r>
              <w:rPr>
                <w:rFonts w:ascii="Calibri" w:cs="Calibri" w:eastAsia="Calibri" w:hAnsi="Calibri"/>
                <w:color w:val="23282A"/>
                <w:sz w:val="19"/>
                <w:szCs w:val="19"/>
              </w:rPr>
              <w:t xml:space="preserve">Version stamping — toolkit, cross-walk, extract date and report version on every output</w:t>
            </w:r>
          </w:p>
        </w:tc>
        <w:tc>
          <w:tcPr>
            <w:tcW w:type="dxa" w:w="3744"/>
            <w:shd w:fill="FFFFFF" w:val="clear"/>
            <w:tcMar>
              <w:top w:type="dxa" w:w="90"/>
              <w:left w:type="dxa" w:w="130"/>
              <w:bottom w:type="dxa" w:w="90"/>
              <w:right w:type="dxa" w:w="130"/>
            </w:tcMar>
          </w:tcPr>
          <w:p>
            <w:r>
              <w:rPr>
                <w:rFonts w:ascii="Calibri" w:cs="Calibri" w:eastAsia="Calibri" w:hAnsi="Calibri"/>
                <w:color w:val="23282A"/>
                <w:sz w:val="19"/>
                <w:szCs w:val="19"/>
              </w:rPr>
              <w:t xml:space="preserve">Inability to reconstruct how a figure was produced</w:t>
            </w:r>
          </w:p>
        </w:tc>
      </w:tr>
      <w:tr>
        <w:trPr>
          <w:cantSplit/>
        </w:trPr>
        <w:tc>
          <w:tcPr>
            <w:tcW w:type="dxa" w:w="468"/>
            <w:shd w:fill="F4F8F9" w:val="clear"/>
            <w:tcMar>
              <w:top w:type="dxa" w:w="90"/>
              <w:left w:type="dxa" w:w="130"/>
              <w:bottom w:type="dxa" w:w="90"/>
              <w:right w:type="dxa" w:w="130"/>
            </w:tcMar>
          </w:tcPr>
          <w:p>
            <w:r>
              <w:rPr>
                <w:rFonts w:ascii="Calibri" w:cs="Calibri" w:eastAsia="Calibri" w:hAnsi="Calibri"/>
                <w:color w:val="23282A"/>
                <w:sz w:val="19"/>
                <w:szCs w:val="19"/>
              </w:rPr>
              <w:t xml:space="preserve">6</w:t>
            </w:r>
          </w:p>
        </w:tc>
        <w:tc>
          <w:tcPr>
            <w:tcW w:type="dxa" w:w="5148"/>
            <w:shd w:fill="F4F8F9" w:val="clear"/>
            <w:tcMar>
              <w:top w:type="dxa" w:w="90"/>
              <w:left w:type="dxa" w:w="130"/>
              <w:bottom w:type="dxa" w:w="90"/>
              <w:right w:type="dxa" w:w="130"/>
            </w:tcMar>
          </w:tcPr>
          <w:p>
            <w:r>
              <w:rPr>
                <w:rFonts w:ascii="Calibri" w:cs="Calibri" w:eastAsia="Calibri" w:hAnsi="Calibri"/>
                <w:color w:val="23282A"/>
                <w:sz w:val="19"/>
                <w:szCs w:val="19"/>
              </w:rPr>
              <w:t xml:space="preserve">Restatement is automatic — any changed prior-year figure triggers a footnote and an appendix row</w:t>
            </w:r>
          </w:p>
        </w:tc>
        <w:tc>
          <w:tcPr>
            <w:tcW w:type="dxa" w:w="3744"/>
            <w:shd w:fill="F4F8F9" w:val="clear"/>
            <w:tcMar>
              <w:top w:type="dxa" w:w="90"/>
              <w:left w:type="dxa" w:w="130"/>
              <w:bottom w:type="dxa" w:w="90"/>
              <w:right w:type="dxa" w:w="130"/>
            </w:tcMar>
          </w:tcPr>
          <w:p>
            <w:r>
              <w:rPr>
                <w:rFonts w:ascii="Calibri" w:cs="Calibri" w:eastAsia="Calibri" w:hAnsi="Calibri"/>
                <w:color w:val="23282A"/>
                <w:sz w:val="19"/>
                <w:szCs w:val="19"/>
              </w:rPr>
              <w:t xml:space="preserve">Silent restatement</w:t>
            </w:r>
          </w:p>
        </w:tc>
      </w:tr>
      <w:tr>
        <w:trPr>
          <w:cantSplit/>
        </w:trPr>
        <w:tc>
          <w:tcPr>
            <w:tcW w:type="dxa" w:w="468"/>
            <w:shd w:fill="FFFFFF" w:val="clear"/>
            <w:tcMar>
              <w:top w:type="dxa" w:w="90"/>
              <w:left w:type="dxa" w:w="130"/>
              <w:bottom w:type="dxa" w:w="90"/>
              <w:right w:type="dxa" w:w="130"/>
            </w:tcMar>
          </w:tcPr>
          <w:p>
            <w:r>
              <w:rPr>
                <w:rFonts w:ascii="Calibri" w:cs="Calibri" w:eastAsia="Calibri" w:hAnsi="Calibri"/>
                <w:color w:val="23282A"/>
                <w:sz w:val="19"/>
                <w:szCs w:val="19"/>
              </w:rPr>
              <w:t xml:space="preserve">7</w:t>
            </w:r>
          </w:p>
        </w:tc>
        <w:tc>
          <w:tcPr>
            <w:tcW w:type="dxa" w:w="5148"/>
            <w:shd w:fill="FFFFFF" w:val="clear"/>
            <w:tcMar>
              <w:top w:type="dxa" w:w="90"/>
              <w:left w:type="dxa" w:w="130"/>
              <w:bottom w:type="dxa" w:w="90"/>
              <w:right w:type="dxa" w:w="130"/>
            </w:tcMar>
          </w:tcPr>
          <w:p>
            <w:r>
              <w:rPr>
                <w:rFonts w:ascii="Calibri" w:cs="Calibri" w:eastAsia="Calibri" w:hAnsi="Calibri"/>
                <w:color w:val="23282A"/>
                <w:sz w:val="19"/>
                <w:szCs w:val="19"/>
              </w:rPr>
              <w:t xml:space="preserve">Length control — past 60 pages, detail moves to the Data Book</w:t>
            </w:r>
          </w:p>
        </w:tc>
        <w:tc>
          <w:tcPr>
            <w:tcW w:type="dxa" w:w="3744"/>
            <w:shd w:fill="FFFFFF" w:val="clear"/>
            <w:tcMar>
              <w:top w:type="dxa" w:w="90"/>
              <w:left w:type="dxa" w:w="130"/>
              <w:bottom w:type="dxa" w:w="90"/>
              <w:right w:type="dxa" w:w="130"/>
            </w:tcMar>
          </w:tcPr>
          <w:p>
            <w:r>
              <w:rPr>
                <w:rFonts w:ascii="Calibri" w:cs="Calibri" w:eastAsia="Calibri" w:hAnsi="Calibri"/>
                <w:color w:val="23282A"/>
                <w:sz w:val="19"/>
                <w:szCs w:val="19"/>
              </w:rPr>
              <w:t xml:space="preserve">Length substituting for rigour</w:t>
            </w:r>
          </w:p>
        </w:tc>
      </w:tr>
      <w:tr>
        <w:trPr>
          <w:cantSplit/>
        </w:trPr>
        <w:tc>
          <w:tcPr>
            <w:tcW w:type="dxa" w:w="468"/>
            <w:shd w:fill="F4F8F9" w:val="clear"/>
            <w:tcMar>
              <w:top w:type="dxa" w:w="90"/>
              <w:left w:type="dxa" w:w="130"/>
              <w:bottom w:type="dxa" w:w="90"/>
              <w:right w:type="dxa" w:w="130"/>
            </w:tcMar>
          </w:tcPr>
          <w:p>
            <w:r>
              <w:rPr>
                <w:rFonts w:ascii="Calibri" w:cs="Calibri" w:eastAsia="Calibri" w:hAnsi="Calibri"/>
                <w:color w:val="23282A"/>
                <w:sz w:val="19"/>
                <w:szCs w:val="19"/>
              </w:rPr>
              <w:t xml:space="preserve">8</w:t>
            </w:r>
          </w:p>
        </w:tc>
        <w:tc>
          <w:tcPr>
            <w:tcW w:type="dxa" w:w="5148"/>
            <w:shd w:fill="F4F8F9" w:val="clear"/>
            <w:tcMar>
              <w:top w:type="dxa" w:w="90"/>
              <w:left w:type="dxa" w:w="130"/>
              <w:bottom w:type="dxa" w:w="90"/>
              <w:right w:type="dxa" w:w="130"/>
            </w:tcMar>
          </w:tcPr>
          <w:p>
            <w:r>
              <w:rPr>
                <w:rFonts w:ascii="Calibri" w:cs="Calibri" w:eastAsia="Calibri" w:hAnsi="Calibri"/>
                <w:color w:val="23282A"/>
                <w:sz w:val="19"/>
                <w:szCs w:val="19"/>
              </w:rPr>
              <w:t xml:space="preserve">One chart specification — no chart without axis units and a source note naming the metric ID</w:t>
            </w:r>
          </w:p>
        </w:tc>
        <w:tc>
          <w:tcPr>
            <w:tcW w:type="dxa" w:w="3744"/>
            <w:shd w:fill="F4F8F9" w:val="clear"/>
            <w:tcMar>
              <w:top w:type="dxa" w:w="90"/>
              <w:left w:type="dxa" w:w="130"/>
              <w:bottom w:type="dxa" w:w="90"/>
              <w:right w:type="dxa" w:w="130"/>
            </w:tcMar>
          </w:tcPr>
          <w:p>
            <w:r>
              <w:rPr>
                <w:rFonts w:ascii="Calibri" w:cs="Calibri" w:eastAsia="Calibri" w:hAnsi="Calibri"/>
                <w:color w:val="23282A"/>
                <w:sz w:val="19"/>
                <w:szCs w:val="19"/>
              </w:rPr>
              <w:t xml:space="preserve">Unattributable visuals</w:t>
            </w:r>
          </w:p>
        </w:tc>
      </w:tr>
    </w:tbl>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9. Commercial structure</w:t>
      </w:r>
    </w:p>
    <w:p>
      <w:pPr>
        <w:pStyle w:val="Heading2"/>
        <w:keepNext/>
        <w:spacing w:after="120" w:before="300"/>
      </w:pPr>
      <w:r>
        <w:rPr>
          <w:rFonts w:ascii="Cambria" w:cs="Cambria" w:eastAsia="Cambria" w:hAnsi="Cambria"/>
          <w:b/>
          <w:bCs/>
          <w:color w:val="00647A"/>
          <w:sz w:val="25"/>
          <w:szCs w:val="25"/>
        </w:rPr>
        <w:t xml:space="preserve">9.1 Tiering</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2059"/>
        <w:gridCol w:w="3744"/>
        <w:gridCol w:w="1778"/>
        <w:gridCol w:w="1778"/>
      </w:tblGrid>
      <w:tr>
        <w:trPr>
          <w:cantSplit/>
          <w:tblHeader/>
        </w:trPr>
        <w:tc>
          <w:tcPr>
            <w:tcW w:type="dxa" w:w="2059"/>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Tier</w:t>
            </w:r>
          </w:p>
        </w:tc>
        <w:tc>
          <w:tcPr>
            <w:tcW w:type="dxa" w:w="3744"/>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Contents</w:t>
            </w:r>
          </w:p>
        </w:tc>
        <w:tc>
          <w:tcPr>
            <w:tcW w:type="dxa" w:w="177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Delivery</w:t>
            </w:r>
          </w:p>
        </w:tc>
        <w:tc>
          <w:tcPr>
            <w:tcW w:type="dxa" w:w="177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Position</w:t>
            </w:r>
          </w:p>
        </w:tc>
      </w:tr>
      <w:tr>
        <w:trPr>
          <w:cantSplit/>
        </w:trPr>
        <w:tc>
          <w:tcPr>
            <w:tcW w:type="dxa" w:w="2059"/>
            <w:shd w:fill="FFFFFF" w:val="clear"/>
            <w:tcMar>
              <w:top w:type="dxa" w:w="90"/>
              <w:left w:type="dxa" w:w="130"/>
              <w:bottom w:type="dxa" w:w="90"/>
              <w:right w:type="dxa" w:w="130"/>
            </w:tcMar>
          </w:tcPr>
          <w:p>
            <w:r>
              <w:rPr>
                <w:rFonts w:ascii="Calibri" w:cs="Calibri" w:eastAsia="Calibri" w:hAnsi="Calibri"/>
                <w:color w:val="23282A"/>
                <w:sz w:val="19"/>
                <w:szCs w:val="19"/>
              </w:rPr>
              <w:t xml:space="preserve">Tier 1 — Disclosure Pack</w:t>
            </w:r>
          </w:p>
        </w:tc>
        <w:tc>
          <w:tcPr>
            <w:tcW w:type="dxa" w:w="3744"/>
            <w:shd w:fill="FFFFFF" w:val="clear"/>
            <w:tcMar>
              <w:top w:type="dxa" w:w="90"/>
              <w:left w:type="dxa" w:w="130"/>
              <w:bottom w:type="dxa" w:w="90"/>
              <w:right w:type="dxa" w:w="130"/>
            </w:tcMar>
          </w:tcPr>
          <w:p>
            <w:r>
              <w:rPr>
                <w:rFonts w:ascii="Calibri" w:cs="Calibri" w:eastAsia="Calibri" w:hAnsi="Calibri"/>
                <w:color w:val="23282A"/>
                <w:sz w:val="19"/>
                <w:szCs w:val="19"/>
              </w:rPr>
              <w:t xml:space="preserve">Renderings A and D, automated, light analyst QA</w:t>
            </w:r>
          </w:p>
        </w:tc>
        <w:tc>
          <w:tcPr>
            <w:tcW w:type="dxa" w:w="1778"/>
            <w:shd w:fill="FFFFFF" w:val="clear"/>
            <w:tcMar>
              <w:top w:type="dxa" w:w="90"/>
              <w:left w:type="dxa" w:w="130"/>
              <w:bottom w:type="dxa" w:w="90"/>
              <w:right w:type="dxa" w:w="130"/>
            </w:tcMar>
          </w:tcPr>
          <w:p>
            <w:r>
              <w:rPr>
                <w:rFonts w:ascii="Calibri" w:cs="Calibri" w:eastAsia="Calibri" w:hAnsi="Calibri"/>
                <w:color w:val="23282A"/>
                <w:sz w:val="19"/>
                <w:szCs w:val="19"/>
              </w:rPr>
              <w:t xml:space="preserve">5 working days from data receipt</w:t>
            </w:r>
          </w:p>
        </w:tc>
        <w:tc>
          <w:tcPr>
            <w:tcW w:type="dxa" w:w="1778"/>
            <w:shd w:fill="FFFFFF" w:val="clear"/>
            <w:tcMar>
              <w:top w:type="dxa" w:w="90"/>
              <w:left w:type="dxa" w:w="130"/>
              <w:bottom w:type="dxa" w:w="90"/>
              <w:right w:type="dxa" w:w="130"/>
            </w:tcMar>
          </w:tcPr>
          <w:p>
            <w:r>
              <w:rPr>
                <w:rFonts w:ascii="Calibri" w:cs="Calibri" w:eastAsia="Calibri" w:hAnsi="Calibri"/>
                <w:color w:val="23282A"/>
                <w:sz w:val="19"/>
                <w:szCs w:val="19"/>
              </w:rPr>
              <w:t xml:space="preserve">Entry point, compliance-driven</w:t>
            </w:r>
          </w:p>
        </w:tc>
      </w:tr>
      <w:tr>
        <w:trPr>
          <w:cantSplit/>
        </w:trPr>
        <w:tc>
          <w:tcPr>
            <w:tcW w:type="dxa" w:w="2059"/>
            <w:shd w:fill="F4F8F9" w:val="clear"/>
            <w:tcMar>
              <w:top w:type="dxa" w:w="90"/>
              <w:left w:type="dxa" w:w="130"/>
              <w:bottom w:type="dxa" w:w="90"/>
              <w:right w:type="dxa" w:w="130"/>
            </w:tcMar>
          </w:tcPr>
          <w:p>
            <w:r>
              <w:rPr>
                <w:rFonts w:ascii="Calibri" w:cs="Calibri" w:eastAsia="Calibri" w:hAnsi="Calibri"/>
                <w:color w:val="23282A"/>
                <w:sz w:val="19"/>
                <w:szCs w:val="19"/>
              </w:rPr>
              <w:t xml:space="preserve">Tier 2 — Strategy Pack</w:t>
            </w:r>
          </w:p>
        </w:tc>
        <w:tc>
          <w:tcPr>
            <w:tcW w:type="dxa" w:w="3744"/>
            <w:shd w:fill="F4F8F9" w:val="clear"/>
            <w:tcMar>
              <w:top w:type="dxa" w:w="90"/>
              <w:left w:type="dxa" w:w="130"/>
              <w:bottom w:type="dxa" w:w="90"/>
              <w:right w:type="dxa" w:w="130"/>
            </w:tcMar>
          </w:tcPr>
          <w:p>
            <w:r>
              <w:rPr>
                <w:rFonts w:ascii="Calibri" w:cs="Calibri" w:eastAsia="Calibri" w:hAnsi="Calibri"/>
                <w:color w:val="23282A"/>
                <w:sz w:val="19"/>
                <w:szCs w:val="19"/>
              </w:rPr>
              <w:t xml:space="preserve">Tier 1 plus Renderings B and C, analyst-authored strategy and roadmap, board presentation</w:t>
            </w:r>
          </w:p>
        </w:tc>
        <w:tc>
          <w:tcPr>
            <w:tcW w:type="dxa" w:w="1778"/>
            <w:shd w:fill="F4F8F9" w:val="clear"/>
            <w:tcMar>
              <w:top w:type="dxa" w:w="90"/>
              <w:left w:type="dxa" w:w="130"/>
              <w:bottom w:type="dxa" w:w="90"/>
              <w:right w:type="dxa" w:w="130"/>
            </w:tcMar>
          </w:tcPr>
          <w:p>
            <w:r>
              <w:rPr>
                <w:rFonts w:ascii="Calibri" w:cs="Calibri" w:eastAsia="Calibri" w:hAnsi="Calibri"/>
                <w:color w:val="23282A"/>
                <w:sz w:val="19"/>
                <w:szCs w:val="19"/>
              </w:rPr>
              <w:t xml:space="preserve">15 working days</w:t>
            </w:r>
          </w:p>
        </w:tc>
        <w:tc>
          <w:tcPr>
            <w:tcW w:type="dxa" w:w="1778"/>
            <w:shd w:fill="F4F8F9" w:val="clear"/>
            <w:tcMar>
              <w:top w:type="dxa" w:w="90"/>
              <w:left w:type="dxa" w:w="130"/>
              <w:bottom w:type="dxa" w:w="90"/>
              <w:right w:type="dxa" w:w="130"/>
            </w:tcMar>
          </w:tcPr>
          <w:p>
            <w:r>
              <w:rPr>
                <w:rFonts w:ascii="Calibri" w:cs="Calibri" w:eastAsia="Calibri" w:hAnsi="Calibri"/>
                <w:color w:val="23282A"/>
                <w:sz w:val="19"/>
                <w:szCs w:val="19"/>
              </w:rPr>
              <w:t xml:space="preserve">The core sale</w:t>
            </w:r>
          </w:p>
        </w:tc>
      </w:tr>
      <w:tr>
        <w:trPr>
          <w:cantSplit/>
        </w:trPr>
        <w:tc>
          <w:tcPr>
            <w:tcW w:type="dxa" w:w="2059"/>
            <w:shd w:fill="FFFFFF" w:val="clear"/>
            <w:tcMar>
              <w:top w:type="dxa" w:w="90"/>
              <w:left w:type="dxa" w:w="130"/>
              <w:bottom w:type="dxa" w:w="90"/>
              <w:right w:type="dxa" w:w="130"/>
            </w:tcMar>
          </w:tcPr>
          <w:p>
            <w:r>
              <w:rPr>
                <w:rFonts w:ascii="Calibri" w:cs="Calibri" w:eastAsia="Calibri" w:hAnsi="Calibri"/>
                <w:color w:val="23282A"/>
                <w:sz w:val="19"/>
                <w:szCs w:val="19"/>
              </w:rPr>
              <w:t xml:space="preserve">Tier 3 — Assurance-Ready Pack</w:t>
            </w:r>
          </w:p>
        </w:tc>
        <w:tc>
          <w:tcPr>
            <w:tcW w:type="dxa" w:w="3744"/>
            <w:shd w:fill="FFFFFF" w:val="clear"/>
            <w:tcMar>
              <w:top w:type="dxa" w:w="90"/>
              <w:left w:type="dxa" w:w="130"/>
              <w:bottom w:type="dxa" w:w="90"/>
              <w:right w:type="dxa" w:w="130"/>
            </w:tcMar>
          </w:tcPr>
          <w:p>
            <w:r>
              <w:rPr>
                <w:rFonts w:ascii="Calibri" w:cs="Calibri" w:eastAsia="Calibri" w:hAnsi="Calibri"/>
                <w:color w:val="23282A"/>
                <w:sz w:val="19"/>
                <w:szCs w:val="19"/>
              </w:rPr>
              <w:t xml:space="preserve">Tier 2 plus gap remediation, evidence file construction, assurance provider liaison</w:t>
            </w:r>
          </w:p>
        </w:tc>
        <w:tc>
          <w:tcPr>
            <w:tcW w:type="dxa" w:w="1778"/>
            <w:shd w:fill="FFFFFF" w:val="clear"/>
            <w:tcMar>
              <w:top w:type="dxa" w:w="90"/>
              <w:left w:type="dxa" w:w="130"/>
              <w:bottom w:type="dxa" w:w="90"/>
              <w:right w:type="dxa" w:w="130"/>
            </w:tcMar>
          </w:tcPr>
          <w:p>
            <w:r>
              <w:rPr>
                <w:rFonts w:ascii="Calibri" w:cs="Calibri" w:eastAsia="Calibri" w:hAnsi="Calibri"/>
                <w:color w:val="23282A"/>
                <w:sz w:val="19"/>
                <w:szCs w:val="19"/>
              </w:rPr>
              <w:t xml:space="preserve">Engagement-based</w:t>
            </w:r>
          </w:p>
        </w:tc>
        <w:tc>
          <w:tcPr>
            <w:tcW w:type="dxa" w:w="1778"/>
            <w:shd w:fill="FFFFFF" w:val="clear"/>
            <w:tcMar>
              <w:top w:type="dxa" w:w="90"/>
              <w:left w:type="dxa" w:w="130"/>
              <w:bottom w:type="dxa" w:w="90"/>
              <w:right w:type="dxa" w:w="130"/>
            </w:tcMar>
          </w:tcPr>
          <w:p>
            <w:r>
              <w:rPr>
                <w:rFonts w:ascii="Calibri" w:cs="Calibri" w:eastAsia="Calibri" w:hAnsi="Calibri"/>
                <w:color w:val="23282A"/>
                <w:sz w:val="19"/>
                <w:szCs w:val="19"/>
              </w:rPr>
              <w:t xml:space="preserve">Highest value, natural retainer</w:t>
            </w:r>
          </w:p>
        </w:tc>
      </w:tr>
    </w:tbl>
    <w:p>
      <w:pPr>
        <w:spacing w:after="160"/>
      </w:pPr>
    </w:p>
    <w:p>
      <w:pPr>
        <w:pStyle w:val="Heading2"/>
        <w:keepNext/>
        <w:spacing w:after="120" w:before="300"/>
      </w:pPr>
      <w:r>
        <w:rPr>
          <w:rFonts w:ascii="Cambria" w:cs="Cambria" w:eastAsia="Cambria" w:hAnsi="Cambria"/>
          <w:b/>
          <w:bCs/>
          <w:color w:val="00647A"/>
          <w:sz w:val="25"/>
          <w:szCs w:val="25"/>
        </w:rPr>
        <w:t xml:space="preserve">9.2 Revenue mechanics</w:t>
      </w:r>
    </w:p>
    <w:p>
      <w:pPr>
        <w:pStyle w:val="ListParagraph"/>
        <w:numPr>
          <w:ilvl w:val="0"/>
          <w:numId w:val="3"/>
        </w:numPr>
        <w:spacing w:after="80"/>
      </w:pPr>
      <w:r>
        <w:rPr>
          <w:rFonts w:ascii="Calibri" w:cs="Calibri" w:eastAsia="Calibri" w:hAnsi="Calibri"/>
          <w:color w:val="23282A"/>
          <w:sz w:val="21"/>
          <w:szCs w:val="21"/>
        </w:rPr>
        <w:t xml:space="preserve">Every Tier 1 report ships with a costed remediation schedule. Conversion from Tier 1 to remediation work is the primary metric to track for this product.</w:t>
      </w:r>
    </w:p>
    <w:p>
      <w:pPr>
        <w:pStyle w:val="ListParagraph"/>
        <w:numPr>
          <w:ilvl w:val="0"/>
          <w:numId w:val="3"/>
        </w:numPr>
        <w:spacing w:after="80"/>
      </w:pPr>
      <w:r>
        <w:rPr>
          <w:rFonts w:ascii="Calibri" w:cs="Calibri" w:eastAsia="Calibri" w:hAnsi="Calibri"/>
          <w:color w:val="23282A"/>
          <w:sz w:val="21"/>
          <w:szCs w:val="21"/>
        </w:rPr>
        <w:t xml:space="preserve">The report is annual by nature. Price year two at a discount to lock the cycle; it costs far less to produce because the spine is populated and only deltas change.</w:t>
      </w:r>
    </w:p>
    <w:p>
      <w:pPr>
        <w:pStyle w:val="ListParagraph"/>
        <w:numPr>
          <w:ilvl w:val="0"/>
          <w:numId w:val="3"/>
        </w:numPr>
        <w:spacing w:after="80"/>
      </w:pPr>
      <w:r>
        <w:rPr>
          <w:rFonts w:ascii="Calibri" w:cs="Calibri" w:eastAsia="Calibri" w:hAnsi="Calibri"/>
          <w:color w:val="23282A"/>
          <w:sz w:val="21"/>
          <w:szCs w:val="21"/>
        </w:rPr>
        <w:t xml:space="preserve">Renderings C and D are cheap upsells. The stakeholder one-pager sells itself to any client answering customer ESG questionnaires or bidding on ESG-scored tenders.</w:t>
      </w:r>
    </w:p>
    <w:p>
      <w:pPr>
        <w:pStyle w:val="ListParagraph"/>
        <w:numPr>
          <w:ilvl w:val="0"/>
          <w:numId w:val="3"/>
        </w:numPr>
        <w:spacing w:after="80"/>
      </w:pPr>
      <w:r>
        <w:rPr>
          <w:rFonts w:ascii="Calibri" w:cs="Calibri" w:eastAsia="Calibri" w:hAnsi="Calibri"/>
          <w:color w:val="23282A"/>
          <w:sz w:val="21"/>
          <w:szCs w:val="21"/>
        </w:rPr>
        <w:t xml:space="preserve">The Social and Ethics Committee report attaches at near-zero marginal cost, with its own buyer and its own statutory deadline.</w:t>
      </w:r>
    </w:p>
    <w:p>
      <w:pPr>
        <w:spacing w:after="120"/>
      </w:pPr>
    </w:p>
    <w:tbl>
      <w:tblPr>
        <w:tblW w:type="dxa" w:w="9360"/>
        <w:tblBorders>
          <w:top w:val="single" w:color="0091A8" w:sz="2"/>
          <w:left w:val="single" w:color="0091A8" w:sz="18"/>
          <w:bottom w:val="single" w:color="0091A8" w:sz="2"/>
          <w:right w:val="single" w:color="0091A8" w:sz="2"/>
          <w:insideH w:val="none"/>
          <w:insideV w:val="none"/>
        </w:tblBorders>
      </w:tblPr>
      <w:tblGrid>
        <w:gridCol w:w="9360"/>
      </w:tblGrid>
      <w:tr>
        <w:trPr>
          <w:cantSplit/>
        </w:trPr>
        <w:tc>
          <w:tcPr>
            <w:tcW w:type="dxa" w:w="9360"/>
            <w:shd w:fill="E9F3F5" w:val="clear"/>
            <w:tcMar>
              <w:top w:type="dxa" w:w="160"/>
              <w:left w:type="dxa" w:w="220"/>
              <w:bottom w:type="dxa" w:w="160"/>
              <w:right w:type="dxa" w:w="220"/>
            </w:tcMar>
          </w:tcPr>
          <w:p>
            <w:pPr>
              <w:spacing w:after="60"/>
            </w:pPr>
            <w:r>
              <w:rPr>
                <w:rFonts w:ascii="Calibri" w:cs="Calibri" w:eastAsia="Calibri" w:hAnsi="Calibri"/>
                <w:b/>
                <w:bCs/>
                <w:color w:val="00647A"/>
                <w:spacing w:val="30"/>
                <w:sz w:val="17"/>
                <w:szCs w:val="17"/>
              </w:rPr>
              <w:t xml:space="preserve">POSITIONING</w:t>
            </w:r>
          </w:p>
          <w:p>
            <w:r>
              <w:rPr>
                <w:rFonts w:ascii="Cambria" w:cs="Cambria" w:eastAsia="Cambria" w:hAnsi="Cambria"/>
                <w:color w:val="101820"/>
                <w:sz w:val="22"/>
                <w:szCs w:val="22"/>
              </w:rPr>
              <w:t xml:space="preserve">Not “we produce sustainability reports.” Rather: we produce the disclosure record you can defend — every figure sourced, every gap named, and a costed plan to close them.</w:t>
            </w:r>
          </w:p>
        </w:tc>
      </w:tr>
    </w:tbl>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10. Risk and controls</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1498"/>
        <w:gridCol w:w="2995"/>
        <w:gridCol w:w="3370"/>
        <w:gridCol w:w="1498"/>
      </w:tblGrid>
      <w:tr>
        <w:trPr>
          <w:cantSplit/>
          <w:tblHeader/>
        </w:trPr>
        <w:tc>
          <w:tcPr>
            <w:tcW w:type="dxa" w:w="149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Risk</w:t>
            </w:r>
          </w:p>
        </w:tc>
        <w:tc>
          <w:tcPr>
            <w:tcW w:type="dxa" w:w="2995"/>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Exposure</w:t>
            </w:r>
          </w:p>
        </w:tc>
        <w:tc>
          <w:tcPr>
            <w:tcW w:type="dxa" w:w="3370"/>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Control</w:t>
            </w:r>
          </w:p>
        </w:tc>
        <w:tc>
          <w:tcPr>
            <w:tcW w:type="dxa" w:w="149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Owner</w:t>
            </w:r>
          </w:p>
        </w:tc>
      </w:tr>
      <w:tr>
        <w:trPr>
          <w:cantSplit/>
        </w:trPr>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Liability</w:t>
            </w:r>
          </w:p>
        </w:tc>
        <w:tc>
          <w:tcPr>
            <w:tcW w:type="dxa" w:w="2995"/>
            <w:shd w:fill="FFFFFF" w:val="clear"/>
            <w:tcMar>
              <w:top w:type="dxa" w:w="90"/>
              <w:left w:type="dxa" w:w="130"/>
              <w:bottom w:type="dxa" w:w="90"/>
              <w:right w:type="dxa" w:w="130"/>
            </w:tcMar>
          </w:tcPr>
          <w:p>
            <w:r>
              <w:rPr>
                <w:rFonts w:ascii="Calibri" w:cs="Calibri" w:eastAsia="Calibri" w:hAnsi="Calibri"/>
                <w:color w:val="23282A"/>
                <w:sz w:val="19"/>
                <w:szCs w:val="19"/>
              </w:rPr>
              <w:t xml:space="preserve">An auto-generated document asserting disclosure facts on Okiru letterhead, from client data Okiru has not verified.</w:t>
            </w:r>
          </w:p>
        </w:tc>
        <w:tc>
          <w:tcPr>
            <w:tcW w:type="dxa" w:w="3370"/>
            <w:shd w:fill="FFFFFF" w:val="clear"/>
            <w:tcMar>
              <w:top w:type="dxa" w:w="90"/>
              <w:left w:type="dxa" w:w="130"/>
              <w:bottom w:type="dxa" w:w="90"/>
              <w:right w:type="dxa" w:w="130"/>
            </w:tcMar>
          </w:tcPr>
          <w:p>
            <w:r>
              <w:rPr>
                <w:rFonts w:ascii="Calibri" w:cs="Calibri" w:eastAsia="Calibri" w:hAnsi="Calibri"/>
                <w:color w:val="23282A"/>
                <w:sz w:val="19"/>
                <w:szCs w:val="19"/>
              </w:rPr>
              <w:t xml:space="preserve">Basis of preparation, data provenance statement and a hard client sign-off gate. DRAFT watermark until a named officer signs.</w:t>
            </w:r>
          </w:p>
        </w:tc>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Legal reviewer</w:t>
            </w:r>
          </w:p>
        </w:tc>
      </w:tr>
      <w:tr>
        <w:trPr>
          <w:cantSplit/>
        </w:trPr>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Greenwashing exposure</w:t>
            </w:r>
          </w:p>
        </w:tc>
        <w:tc>
          <w:tcPr>
            <w:tcW w:type="dxa" w:w="2995"/>
            <w:shd w:fill="F4F8F9" w:val="clear"/>
            <w:tcMar>
              <w:top w:type="dxa" w:w="90"/>
              <w:left w:type="dxa" w:w="130"/>
              <w:bottom w:type="dxa" w:w="90"/>
              <w:right w:type="dxa" w:w="130"/>
            </w:tcMar>
          </w:tcPr>
          <w:p>
            <w:r>
              <w:rPr>
                <w:rFonts w:ascii="Calibri" w:cs="Calibri" w:eastAsia="Calibri" w:hAnsi="Calibri"/>
                <w:color w:val="23282A"/>
                <w:sz w:val="19"/>
                <w:szCs w:val="19"/>
              </w:rPr>
              <w:t xml:space="preserve">The FSCA is developing guidance explicitly targeting greenwashing, social washing and impact washing.</w:t>
            </w:r>
          </w:p>
        </w:tc>
        <w:tc>
          <w:tcPr>
            <w:tcW w:type="dxa" w:w="3370"/>
            <w:shd w:fill="F4F8F9" w:val="clear"/>
            <w:tcMar>
              <w:top w:type="dxa" w:w="90"/>
              <w:left w:type="dxa" w:w="130"/>
              <w:bottom w:type="dxa" w:w="90"/>
              <w:right w:type="dxa" w:w="130"/>
            </w:tcMar>
          </w:tcPr>
          <w:p>
            <w:r>
              <w:rPr>
                <w:rFonts w:ascii="Calibri" w:cs="Calibri" w:eastAsia="Calibri" w:hAnsi="Calibri"/>
                <w:color w:val="23282A"/>
                <w:sz w:val="19"/>
                <w:szCs w:val="19"/>
              </w:rPr>
              <w:t xml:space="preserve">Claim tiering and evidence binding. A claim with no bound evidence does not render.</w:t>
            </w:r>
          </w:p>
        </w:tc>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ESG analyst</w:t>
            </w:r>
          </w:p>
        </w:tc>
      </w:tr>
      <w:tr>
        <w:trPr>
          <w:cantSplit/>
        </w:trPr>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Framework drift</w:t>
            </w:r>
          </w:p>
        </w:tc>
        <w:tc>
          <w:tcPr>
            <w:tcW w:type="dxa" w:w="2995"/>
            <w:shd w:fill="FFFFFF" w:val="clear"/>
            <w:tcMar>
              <w:top w:type="dxa" w:w="90"/>
              <w:left w:type="dxa" w:w="130"/>
              <w:bottom w:type="dxa" w:w="90"/>
              <w:right w:type="dxa" w:w="130"/>
            </w:tcMar>
          </w:tcPr>
          <w:p>
            <w:r>
              <w:rPr>
                <w:rFonts w:ascii="Calibri" w:cs="Calibri" w:eastAsia="Calibri" w:hAnsi="Calibri"/>
                <w:color w:val="23282A"/>
                <w:sz w:val="19"/>
                <w:szCs w:val="19"/>
              </w:rPr>
              <w:t xml:space="preserve">Hard-coded JSE or GRI references break every client report the moment a standard updates.</w:t>
            </w:r>
          </w:p>
        </w:tc>
        <w:tc>
          <w:tcPr>
            <w:tcW w:type="dxa" w:w="3370"/>
            <w:shd w:fill="FFFFFF" w:val="clear"/>
            <w:tcMar>
              <w:top w:type="dxa" w:w="90"/>
              <w:left w:type="dxa" w:w="130"/>
              <w:bottom w:type="dxa" w:w="90"/>
              <w:right w:type="dxa" w:w="130"/>
            </w:tcMar>
          </w:tcPr>
          <w:p>
            <w:r>
              <w:rPr>
                <w:rFonts w:ascii="Calibri" w:cs="Calibri" w:eastAsia="Calibri" w:hAnsi="Calibri"/>
                <w:color w:val="23282A"/>
                <w:sz w:val="19"/>
                <w:szCs w:val="19"/>
              </w:rPr>
              <w:t xml:space="preserve">Versioned cross-walk table held outside the template; reports record the version used.</w:t>
            </w:r>
          </w:p>
        </w:tc>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Development lead</w:t>
            </w:r>
          </w:p>
        </w:tc>
      </w:tr>
      <w:tr>
        <w:trPr>
          <w:cantSplit/>
        </w:trPr>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Scope creep into analyst time</w:t>
            </w:r>
          </w:p>
        </w:tc>
        <w:tc>
          <w:tcPr>
            <w:tcW w:type="dxa" w:w="2995"/>
            <w:shd w:fill="F4F8F9" w:val="clear"/>
            <w:tcMar>
              <w:top w:type="dxa" w:w="90"/>
              <w:left w:type="dxa" w:w="130"/>
              <w:bottom w:type="dxa" w:w="90"/>
              <w:right w:type="dxa" w:w="130"/>
            </w:tcMar>
          </w:tcPr>
          <w:p>
            <w:r>
              <w:rPr>
                <w:rFonts w:ascii="Calibri" w:cs="Calibri" w:eastAsia="Calibri" w:hAnsi="Calibri"/>
                <w:color w:val="23282A"/>
                <w:sz w:val="19"/>
                <w:szCs w:val="19"/>
              </w:rPr>
              <w:t xml:space="preserve">Automation quietly absorbing the strategy and roadmap sections, eroding Tier 2 differentiation.</w:t>
            </w:r>
          </w:p>
        </w:tc>
        <w:tc>
          <w:tcPr>
            <w:tcW w:type="dxa" w:w="3370"/>
            <w:shd w:fill="F4F8F9" w:val="clear"/>
            <w:tcMar>
              <w:top w:type="dxa" w:w="90"/>
              <w:left w:type="dxa" w:w="130"/>
              <w:bottom w:type="dxa" w:w="90"/>
              <w:right w:type="dxa" w:w="130"/>
            </w:tcMar>
          </w:tcPr>
          <w:p>
            <w:r>
              <w:rPr>
                <w:rFonts w:ascii="Calibri" w:cs="Calibri" w:eastAsia="Calibri" w:hAnsi="Calibri"/>
                <w:color w:val="23282A"/>
                <w:sz w:val="19"/>
                <w:szCs w:val="19"/>
              </w:rPr>
              <w:t xml:space="preserve">Analyst-authored sections defined in the specification and excluded from the generator.</w:t>
            </w:r>
          </w:p>
        </w:tc>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Managing Director</w:t>
            </w:r>
          </w:p>
        </w:tc>
      </w:tr>
    </w:tbl>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11. Execution plan</w:t>
      </w:r>
    </w:p>
    <w:p>
      <w:pPr>
        <w:spacing w:after="140"/>
      </w:pPr>
      <w:r>
        <w:rPr>
          <w:rFonts w:ascii="Calibri" w:cs="Calibri" w:eastAsia="Calibri" w:hAnsi="Calibri"/>
          <w:color w:val="23282A"/>
          <w:sz w:val="21"/>
          <w:szCs w:val="21"/>
        </w:rPr>
        <w:t xml:space="preserve">Ten weeks from start to a priced product, assuming the SG Consumer dataset is available for the pilot.</w:t>
      </w:r>
    </w:p>
    <w:tbl>
      <w:tblPr>
        <w:tblW w:type="dxa" w:w="9360"/>
        <w:tblBorders>
          <w:top w:val="single" w:color="D5DEE0" w:sz="2"/>
          <w:left w:val="single" w:color="D5DEE0" w:sz="2"/>
          <w:bottom w:val="single" w:color="D5DEE0" w:sz="2"/>
          <w:right w:val="single" w:color="D5DEE0" w:sz="2"/>
          <w:insideH w:val="single" w:color="D5DEE0" w:sz="2"/>
          <w:insideV w:val="single" w:color="D5DEE0" w:sz="2"/>
        </w:tblBorders>
      </w:tblPr>
      <w:tblGrid>
        <w:gridCol w:w="562"/>
        <w:gridCol w:w="3182"/>
        <w:gridCol w:w="4118"/>
        <w:gridCol w:w="1498"/>
      </w:tblGrid>
      <w:tr>
        <w:trPr>
          <w:cantSplit/>
          <w:tblHeader/>
        </w:trPr>
        <w:tc>
          <w:tcPr>
            <w:tcW w:type="dxa" w:w="562"/>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w:t>
            </w:r>
          </w:p>
        </w:tc>
        <w:tc>
          <w:tcPr>
            <w:tcW w:type="dxa" w:w="3182"/>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Task</w:t>
            </w:r>
          </w:p>
        </w:tc>
        <w:tc>
          <w:tcPr>
            <w:tcW w:type="dxa" w:w="411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Rationale</w:t>
            </w:r>
          </w:p>
        </w:tc>
        <w:tc>
          <w:tcPr>
            <w:tcW w:type="dxa" w:w="1498"/>
            <w:shd w:fill="00647A" w:val="clear"/>
            <w:tcMar>
              <w:top w:type="dxa" w:w="90"/>
              <w:left w:type="dxa" w:w="130"/>
              <w:bottom w:type="dxa" w:w="90"/>
              <w:right w:type="dxa" w:w="130"/>
            </w:tcMar>
          </w:tcPr>
          <w:p>
            <w:r>
              <w:rPr>
                <w:rFonts w:ascii="Calibri" w:cs="Calibri" w:eastAsia="Calibri" w:hAnsi="Calibri"/>
                <w:b/>
                <w:bCs/>
                <w:color w:val="FFFFFF"/>
                <w:sz w:val="19"/>
                <w:szCs w:val="19"/>
              </w:rPr>
              <w:t xml:space="preserve">Depends on</w:t>
            </w:r>
          </w:p>
        </w:tc>
      </w:tr>
      <w:tr>
        <w:trPr>
          <w:cantSplit/>
        </w:trPr>
        <w:tc>
          <w:tcPr>
            <w:tcW w:type="dxa" w:w="562"/>
            <w:shd w:fill="FFFFFF" w:val="clear"/>
            <w:tcMar>
              <w:top w:type="dxa" w:w="90"/>
              <w:left w:type="dxa" w:w="130"/>
              <w:bottom w:type="dxa" w:w="90"/>
              <w:right w:type="dxa" w:w="130"/>
            </w:tcMar>
          </w:tcPr>
          <w:p>
            <w:r>
              <w:rPr>
                <w:rFonts w:ascii="Calibri" w:cs="Calibri" w:eastAsia="Calibri" w:hAnsi="Calibri"/>
                <w:color w:val="23282A"/>
                <w:sz w:val="19"/>
                <w:szCs w:val="19"/>
              </w:rPr>
              <w:t xml:space="preserve">1</w:t>
            </w:r>
          </w:p>
        </w:tc>
        <w:tc>
          <w:tcPr>
            <w:tcW w:type="dxa" w:w="3182"/>
            <w:shd w:fill="FFFFFF" w:val="clear"/>
            <w:tcMar>
              <w:top w:type="dxa" w:w="90"/>
              <w:left w:type="dxa" w:w="130"/>
              <w:bottom w:type="dxa" w:w="90"/>
              <w:right w:type="dxa" w:w="130"/>
            </w:tcMar>
          </w:tcPr>
          <w:p>
            <w:r>
              <w:rPr>
                <w:rFonts w:ascii="Calibri" w:cs="Calibri" w:eastAsia="Calibri" w:hAnsi="Calibri"/>
                <w:color w:val="23282A"/>
                <w:sz w:val="19"/>
                <w:szCs w:val="19"/>
              </w:rPr>
              <w:t xml:space="preserve">Lock metric taxonomy (JSE tree)</w:t>
            </w:r>
          </w:p>
        </w:tc>
        <w:tc>
          <w:tcPr>
            <w:tcW w:type="dxa" w:w="4118"/>
            <w:shd w:fill="FFFFFF" w:val="clear"/>
            <w:tcMar>
              <w:top w:type="dxa" w:w="90"/>
              <w:left w:type="dxa" w:w="130"/>
              <w:bottom w:type="dxa" w:w="90"/>
              <w:right w:type="dxa" w:w="130"/>
            </w:tcMar>
          </w:tcPr>
          <w:p>
            <w:r>
              <w:rPr>
                <w:rFonts w:ascii="Calibri" w:cs="Calibri" w:eastAsia="Calibri" w:hAnsi="Calibri"/>
                <w:color w:val="23282A"/>
                <w:sz w:val="19"/>
                <w:szCs w:val="19"/>
              </w:rPr>
              <w:t xml:space="preserve">Spine for everything downstream</w:t>
            </w:r>
          </w:p>
        </w:tc>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w:t>
            </w:r>
          </w:p>
        </w:tc>
      </w:tr>
      <w:tr>
        <w:trPr>
          <w:cantSplit/>
        </w:trPr>
        <w:tc>
          <w:tcPr>
            <w:tcW w:type="dxa" w:w="562"/>
            <w:shd w:fill="F4F8F9" w:val="clear"/>
            <w:tcMar>
              <w:top w:type="dxa" w:w="90"/>
              <w:left w:type="dxa" w:w="130"/>
              <w:bottom w:type="dxa" w:w="90"/>
              <w:right w:type="dxa" w:w="130"/>
            </w:tcMar>
          </w:tcPr>
          <w:p>
            <w:r>
              <w:rPr>
                <w:rFonts w:ascii="Calibri" w:cs="Calibri" w:eastAsia="Calibri" w:hAnsi="Calibri"/>
                <w:color w:val="23282A"/>
                <w:sz w:val="19"/>
                <w:szCs w:val="19"/>
              </w:rPr>
              <w:t xml:space="preserve">2</w:t>
            </w:r>
          </w:p>
        </w:tc>
        <w:tc>
          <w:tcPr>
            <w:tcW w:type="dxa" w:w="3182"/>
            <w:shd w:fill="F4F8F9" w:val="clear"/>
            <w:tcMar>
              <w:top w:type="dxa" w:w="90"/>
              <w:left w:type="dxa" w:w="130"/>
              <w:bottom w:type="dxa" w:w="90"/>
              <w:right w:type="dxa" w:w="130"/>
            </w:tcMar>
          </w:tcPr>
          <w:p>
            <w:r>
              <w:rPr>
                <w:rFonts w:ascii="Calibri" w:cs="Calibri" w:eastAsia="Calibri" w:hAnsi="Calibri"/>
                <w:color w:val="23282A"/>
                <w:sz w:val="19"/>
                <w:szCs w:val="19"/>
              </w:rPr>
              <w:t xml:space="preserve">Build versioned framework cross-walk table</w:t>
            </w:r>
          </w:p>
        </w:tc>
        <w:tc>
          <w:tcPr>
            <w:tcW w:type="dxa" w:w="4118"/>
            <w:shd w:fill="F4F8F9" w:val="clear"/>
            <w:tcMar>
              <w:top w:type="dxa" w:w="90"/>
              <w:left w:type="dxa" w:w="130"/>
              <w:bottom w:type="dxa" w:w="90"/>
              <w:right w:type="dxa" w:w="130"/>
            </w:tcMar>
          </w:tcPr>
          <w:p>
            <w:r>
              <w:rPr>
                <w:rFonts w:ascii="Calibri" w:cs="Calibri" w:eastAsia="Calibri" w:hAnsi="Calibri"/>
                <w:color w:val="23282A"/>
                <w:sz w:val="19"/>
                <w:szCs w:val="19"/>
              </w:rPr>
              <w:t xml:space="preserve">Prevents standards drift breaking the template</w:t>
            </w:r>
          </w:p>
        </w:tc>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1</w:t>
            </w:r>
          </w:p>
        </w:tc>
      </w:tr>
      <w:tr>
        <w:trPr>
          <w:cantSplit/>
        </w:trPr>
        <w:tc>
          <w:tcPr>
            <w:tcW w:type="dxa" w:w="562"/>
            <w:shd w:fill="FFFFFF" w:val="clear"/>
            <w:tcMar>
              <w:top w:type="dxa" w:w="90"/>
              <w:left w:type="dxa" w:w="130"/>
              <w:bottom w:type="dxa" w:w="90"/>
              <w:right w:type="dxa" w:w="130"/>
            </w:tcMar>
          </w:tcPr>
          <w:p>
            <w:r>
              <w:rPr>
                <w:rFonts w:ascii="Calibri" w:cs="Calibri" w:eastAsia="Calibri" w:hAnsi="Calibri"/>
                <w:color w:val="23282A"/>
                <w:sz w:val="19"/>
                <w:szCs w:val="19"/>
              </w:rPr>
              <w:t xml:space="preserve">3</w:t>
            </w:r>
          </w:p>
        </w:tc>
        <w:tc>
          <w:tcPr>
            <w:tcW w:type="dxa" w:w="3182"/>
            <w:shd w:fill="FFFFFF" w:val="clear"/>
            <w:tcMar>
              <w:top w:type="dxa" w:w="90"/>
              <w:left w:type="dxa" w:w="130"/>
              <w:bottom w:type="dxa" w:w="90"/>
              <w:right w:type="dxa" w:w="130"/>
            </w:tcMar>
          </w:tcPr>
          <w:p>
            <w:r>
              <w:rPr>
                <w:rFonts w:ascii="Calibri" w:cs="Calibri" w:eastAsia="Calibri" w:hAnsi="Calibri"/>
                <w:color w:val="23282A"/>
                <w:sz w:val="19"/>
                <w:szCs w:val="19"/>
              </w:rPr>
              <w:t xml:space="preserve">Define metric record schema</w:t>
            </w:r>
          </w:p>
        </w:tc>
        <w:tc>
          <w:tcPr>
            <w:tcW w:type="dxa" w:w="4118"/>
            <w:shd w:fill="FFFFFF" w:val="clear"/>
            <w:tcMar>
              <w:top w:type="dxa" w:w="90"/>
              <w:left w:type="dxa" w:w="130"/>
              <w:bottom w:type="dxa" w:w="90"/>
              <w:right w:type="dxa" w:w="130"/>
            </w:tcMar>
          </w:tcPr>
          <w:p>
            <w:r>
              <w:rPr>
                <w:rFonts w:ascii="Calibri" w:cs="Calibri" w:eastAsia="Calibri" w:hAnsi="Calibri"/>
                <w:color w:val="23282A"/>
                <w:sz w:val="19"/>
                <w:szCs w:val="19"/>
              </w:rPr>
              <w:t xml:space="preserve">Determines defensibility; expensive to retrofit</w:t>
            </w:r>
          </w:p>
        </w:tc>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1</w:t>
            </w:r>
          </w:p>
        </w:tc>
      </w:tr>
      <w:tr>
        <w:trPr>
          <w:cantSplit/>
        </w:trPr>
        <w:tc>
          <w:tcPr>
            <w:tcW w:type="dxa" w:w="562"/>
            <w:shd w:fill="F4F8F9" w:val="clear"/>
            <w:tcMar>
              <w:top w:type="dxa" w:w="90"/>
              <w:left w:type="dxa" w:w="130"/>
              <w:bottom w:type="dxa" w:w="90"/>
              <w:right w:type="dxa" w:w="130"/>
            </w:tcMar>
          </w:tcPr>
          <w:p>
            <w:r>
              <w:rPr>
                <w:rFonts w:ascii="Calibri" w:cs="Calibri" w:eastAsia="Calibri" w:hAnsi="Calibri"/>
                <w:color w:val="23282A"/>
                <w:sz w:val="19"/>
                <w:szCs w:val="19"/>
              </w:rPr>
              <w:t xml:space="preserve">4</w:t>
            </w:r>
          </w:p>
        </w:tc>
        <w:tc>
          <w:tcPr>
            <w:tcW w:type="dxa" w:w="3182"/>
            <w:shd w:fill="F4F8F9" w:val="clear"/>
            <w:tcMar>
              <w:top w:type="dxa" w:w="90"/>
              <w:left w:type="dxa" w:w="130"/>
              <w:bottom w:type="dxa" w:w="90"/>
              <w:right w:type="dxa" w:w="130"/>
            </w:tcMar>
          </w:tcPr>
          <w:p>
            <w:r>
              <w:rPr>
                <w:rFonts w:ascii="Calibri" w:cs="Calibri" w:eastAsia="Calibri" w:hAnsi="Calibri"/>
                <w:color w:val="23282A"/>
                <w:sz w:val="19"/>
                <w:szCs w:val="19"/>
              </w:rPr>
              <w:t xml:space="preserve">Write fixed-language blocks, legal review once</w:t>
            </w:r>
          </w:p>
        </w:tc>
        <w:tc>
          <w:tcPr>
            <w:tcW w:type="dxa" w:w="4118"/>
            <w:shd w:fill="F4F8F9" w:val="clear"/>
            <w:tcMar>
              <w:top w:type="dxa" w:w="90"/>
              <w:left w:type="dxa" w:w="130"/>
              <w:bottom w:type="dxa" w:w="90"/>
              <w:right w:type="dxa" w:w="130"/>
            </w:tcMar>
          </w:tcPr>
          <w:p>
            <w:r>
              <w:rPr>
                <w:rFonts w:ascii="Calibri" w:cs="Calibri" w:eastAsia="Calibri" w:hAnsi="Calibri"/>
                <w:color w:val="23282A"/>
                <w:sz w:val="19"/>
                <w:szCs w:val="19"/>
              </w:rPr>
              <w:t xml:space="preserve">Basis of preparation, disclaimers, methodology</w:t>
            </w:r>
          </w:p>
        </w:tc>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w:t>
            </w:r>
          </w:p>
        </w:tc>
      </w:tr>
      <w:tr>
        <w:trPr>
          <w:cantSplit/>
        </w:trPr>
        <w:tc>
          <w:tcPr>
            <w:tcW w:type="dxa" w:w="562"/>
            <w:shd w:fill="FFFFFF" w:val="clear"/>
            <w:tcMar>
              <w:top w:type="dxa" w:w="90"/>
              <w:left w:type="dxa" w:w="130"/>
              <w:bottom w:type="dxa" w:w="90"/>
              <w:right w:type="dxa" w:w="130"/>
            </w:tcMar>
          </w:tcPr>
          <w:p>
            <w:r>
              <w:rPr>
                <w:rFonts w:ascii="Calibri" w:cs="Calibri" w:eastAsia="Calibri" w:hAnsi="Calibri"/>
                <w:color w:val="23282A"/>
                <w:sz w:val="19"/>
                <w:szCs w:val="19"/>
              </w:rPr>
              <w:t xml:space="preserve">5</w:t>
            </w:r>
          </w:p>
        </w:tc>
        <w:tc>
          <w:tcPr>
            <w:tcW w:type="dxa" w:w="3182"/>
            <w:shd w:fill="FFFFFF" w:val="clear"/>
            <w:tcMar>
              <w:top w:type="dxa" w:w="90"/>
              <w:left w:type="dxa" w:w="130"/>
              <w:bottom w:type="dxa" w:w="90"/>
              <w:right w:type="dxa" w:w="130"/>
            </w:tcMar>
          </w:tcPr>
          <w:p>
            <w:r>
              <w:rPr>
                <w:rFonts w:ascii="Calibri" w:cs="Calibri" w:eastAsia="Calibri" w:hAnsi="Calibri"/>
                <w:color w:val="23282A"/>
                <w:sz w:val="19"/>
                <w:szCs w:val="19"/>
              </w:rPr>
              <w:t xml:space="preserve">Build claim tier taxonomy and narrative library</w:t>
            </w:r>
          </w:p>
        </w:tc>
        <w:tc>
          <w:tcPr>
            <w:tcW w:type="dxa" w:w="4118"/>
            <w:shd w:fill="FFFFFF" w:val="clear"/>
            <w:tcMar>
              <w:top w:type="dxa" w:w="90"/>
              <w:left w:type="dxa" w:w="130"/>
              <w:bottom w:type="dxa" w:w="90"/>
              <w:right w:type="dxa" w:w="130"/>
            </w:tcMar>
          </w:tcPr>
          <w:p>
            <w:r>
              <w:rPr>
                <w:rFonts w:ascii="Calibri" w:cs="Calibri" w:eastAsia="Calibri" w:hAnsi="Calibri"/>
                <w:color w:val="23282A"/>
                <w:sz w:val="19"/>
                <w:szCs w:val="19"/>
              </w:rPr>
              <w:t xml:space="preserve">Controls the qualitative half of the report</w:t>
            </w:r>
          </w:p>
        </w:tc>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3</w:t>
            </w:r>
          </w:p>
        </w:tc>
      </w:tr>
      <w:tr>
        <w:trPr>
          <w:cantSplit/>
        </w:trPr>
        <w:tc>
          <w:tcPr>
            <w:tcW w:type="dxa" w:w="562"/>
            <w:shd w:fill="F4F8F9" w:val="clear"/>
            <w:tcMar>
              <w:top w:type="dxa" w:w="90"/>
              <w:left w:type="dxa" w:w="130"/>
              <w:bottom w:type="dxa" w:w="90"/>
              <w:right w:type="dxa" w:w="130"/>
            </w:tcMar>
          </w:tcPr>
          <w:p>
            <w:r>
              <w:rPr>
                <w:rFonts w:ascii="Calibri" w:cs="Calibri" w:eastAsia="Calibri" w:hAnsi="Calibri"/>
                <w:color w:val="23282A"/>
                <w:sz w:val="19"/>
                <w:szCs w:val="19"/>
              </w:rPr>
              <w:t xml:space="preserve">6</w:t>
            </w:r>
          </w:p>
        </w:tc>
        <w:tc>
          <w:tcPr>
            <w:tcW w:type="dxa" w:w="3182"/>
            <w:shd w:fill="F4F8F9" w:val="clear"/>
            <w:tcMar>
              <w:top w:type="dxa" w:w="90"/>
              <w:left w:type="dxa" w:w="130"/>
              <w:bottom w:type="dxa" w:w="90"/>
              <w:right w:type="dxa" w:w="130"/>
            </w:tcMar>
          </w:tcPr>
          <w:p>
            <w:r>
              <w:rPr>
                <w:rFonts w:ascii="Calibri" w:cs="Calibri" w:eastAsia="Calibri" w:hAnsi="Calibri"/>
                <w:color w:val="23282A"/>
                <w:sz w:val="19"/>
                <w:szCs w:val="19"/>
              </w:rPr>
              <w:t xml:space="preserve">Build omission and gap engine</w:t>
            </w:r>
          </w:p>
        </w:tc>
        <w:tc>
          <w:tcPr>
            <w:tcW w:type="dxa" w:w="4118"/>
            <w:shd w:fill="F4F8F9" w:val="clear"/>
            <w:tcMar>
              <w:top w:type="dxa" w:w="90"/>
              <w:left w:type="dxa" w:w="130"/>
              <w:bottom w:type="dxa" w:w="90"/>
              <w:right w:type="dxa" w:w="130"/>
            </w:tcMar>
          </w:tcPr>
          <w:p>
            <w:r>
              <w:rPr>
                <w:rFonts w:ascii="Calibri" w:cs="Calibri" w:eastAsia="Calibri" w:hAnsi="Calibri"/>
                <w:color w:val="23282A"/>
                <w:sz w:val="19"/>
                <w:szCs w:val="19"/>
              </w:rPr>
              <w:t xml:space="preserve">Turns absence into credibility and into pipeline</w:t>
            </w:r>
          </w:p>
        </w:tc>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3, 5</w:t>
            </w:r>
          </w:p>
        </w:tc>
      </w:tr>
      <w:tr>
        <w:trPr>
          <w:cantSplit/>
        </w:trPr>
        <w:tc>
          <w:tcPr>
            <w:tcW w:type="dxa" w:w="562"/>
            <w:shd w:fill="FFFFFF" w:val="clear"/>
            <w:tcMar>
              <w:top w:type="dxa" w:w="90"/>
              <w:left w:type="dxa" w:w="130"/>
              <w:bottom w:type="dxa" w:w="90"/>
              <w:right w:type="dxa" w:w="130"/>
            </w:tcMar>
          </w:tcPr>
          <w:p>
            <w:r>
              <w:rPr>
                <w:rFonts w:ascii="Calibri" w:cs="Calibri" w:eastAsia="Calibri" w:hAnsi="Calibri"/>
                <w:color w:val="23282A"/>
                <w:sz w:val="19"/>
                <w:szCs w:val="19"/>
              </w:rPr>
              <w:t xml:space="preserve">7</w:t>
            </w:r>
          </w:p>
        </w:tc>
        <w:tc>
          <w:tcPr>
            <w:tcW w:type="dxa" w:w="3182"/>
            <w:shd w:fill="FFFFFF" w:val="clear"/>
            <w:tcMar>
              <w:top w:type="dxa" w:w="90"/>
              <w:left w:type="dxa" w:w="130"/>
              <w:bottom w:type="dxa" w:w="90"/>
              <w:right w:type="dxa" w:w="130"/>
            </w:tcMar>
          </w:tcPr>
          <w:p>
            <w:r>
              <w:rPr>
                <w:rFonts w:ascii="Calibri" w:cs="Calibri" w:eastAsia="Calibri" w:hAnsi="Calibri"/>
                <w:color w:val="23282A"/>
                <w:sz w:val="19"/>
                <w:szCs w:val="19"/>
              </w:rPr>
              <w:t xml:space="preserve">Wire the four renderings</w:t>
            </w:r>
          </w:p>
        </w:tc>
        <w:tc>
          <w:tcPr>
            <w:tcW w:type="dxa" w:w="4118"/>
            <w:shd w:fill="FFFFFF" w:val="clear"/>
            <w:tcMar>
              <w:top w:type="dxa" w:w="90"/>
              <w:left w:type="dxa" w:w="130"/>
              <w:bottom w:type="dxa" w:w="90"/>
              <w:right w:type="dxa" w:w="130"/>
            </w:tcMar>
          </w:tcPr>
          <w:p>
            <w:r>
              <w:rPr>
                <w:rFonts w:ascii="Calibri" w:cs="Calibri" w:eastAsia="Calibri" w:hAnsi="Calibri"/>
                <w:color w:val="23282A"/>
                <w:sz w:val="19"/>
                <w:szCs w:val="19"/>
              </w:rPr>
              <w:t xml:space="preserve">—</w:t>
            </w:r>
          </w:p>
        </w:tc>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3 to 6</w:t>
            </w:r>
          </w:p>
        </w:tc>
      </w:tr>
      <w:tr>
        <w:trPr>
          <w:cantSplit/>
        </w:trPr>
        <w:tc>
          <w:tcPr>
            <w:tcW w:type="dxa" w:w="562"/>
            <w:shd w:fill="F4F8F9" w:val="clear"/>
            <w:tcMar>
              <w:top w:type="dxa" w:w="90"/>
              <w:left w:type="dxa" w:w="130"/>
              <w:bottom w:type="dxa" w:w="90"/>
              <w:right w:type="dxa" w:w="130"/>
            </w:tcMar>
          </w:tcPr>
          <w:p>
            <w:r>
              <w:rPr>
                <w:rFonts w:ascii="Calibri" w:cs="Calibri" w:eastAsia="Calibri" w:hAnsi="Calibri"/>
                <w:color w:val="23282A"/>
                <w:sz w:val="19"/>
                <w:szCs w:val="19"/>
              </w:rPr>
              <w:t xml:space="preserve">8</w:t>
            </w:r>
          </w:p>
        </w:tc>
        <w:tc>
          <w:tcPr>
            <w:tcW w:type="dxa" w:w="3182"/>
            <w:shd w:fill="F4F8F9" w:val="clear"/>
            <w:tcMar>
              <w:top w:type="dxa" w:w="90"/>
              <w:left w:type="dxa" w:w="130"/>
              <w:bottom w:type="dxa" w:w="90"/>
              <w:right w:type="dxa" w:w="130"/>
            </w:tcMar>
          </w:tcPr>
          <w:p>
            <w:r>
              <w:rPr>
                <w:rFonts w:ascii="Calibri" w:cs="Calibri" w:eastAsia="Calibri" w:hAnsi="Calibri"/>
                <w:color w:val="23282A"/>
                <w:sz w:val="19"/>
                <w:szCs w:val="19"/>
              </w:rPr>
              <w:t xml:space="preserve">Pilot on the SG Consumer dataset, external reviewer</w:t>
            </w:r>
          </w:p>
        </w:tc>
        <w:tc>
          <w:tcPr>
            <w:tcW w:type="dxa" w:w="4118"/>
            <w:shd w:fill="F4F8F9" w:val="clear"/>
            <w:tcMar>
              <w:top w:type="dxa" w:w="90"/>
              <w:left w:type="dxa" w:w="130"/>
              <w:bottom w:type="dxa" w:w="90"/>
              <w:right w:type="dxa" w:w="130"/>
            </w:tcMar>
          </w:tcPr>
          <w:p>
            <w:r>
              <w:rPr>
                <w:rFonts w:ascii="Calibri" w:cs="Calibri" w:eastAsia="Calibri" w:hAnsi="Calibri"/>
                <w:color w:val="23282A"/>
                <w:sz w:val="19"/>
                <w:szCs w:val="19"/>
              </w:rPr>
              <w:t xml:space="preserve">Data, projection model and actions already exist</w:t>
            </w:r>
          </w:p>
        </w:tc>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7</w:t>
            </w:r>
          </w:p>
        </w:tc>
      </w:tr>
      <w:tr>
        <w:trPr>
          <w:cantSplit/>
        </w:trPr>
        <w:tc>
          <w:tcPr>
            <w:tcW w:type="dxa" w:w="562"/>
            <w:shd w:fill="FFFFFF" w:val="clear"/>
            <w:tcMar>
              <w:top w:type="dxa" w:w="90"/>
              <w:left w:type="dxa" w:w="130"/>
              <w:bottom w:type="dxa" w:w="90"/>
              <w:right w:type="dxa" w:w="130"/>
            </w:tcMar>
          </w:tcPr>
          <w:p>
            <w:r>
              <w:rPr>
                <w:rFonts w:ascii="Calibri" w:cs="Calibri" w:eastAsia="Calibri" w:hAnsi="Calibri"/>
                <w:color w:val="23282A"/>
                <w:sz w:val="19"/>
                <w:szCs w:val="19"/>
              </w:rPr>
              <w:t xml:space="preserve">9</w:t>
            </w:r>
          </w:p>
        </w:tc>
        <w:tc>
          <w:tcPr>
            <w:tcW w:type="dxa" w:w="3182"/>
            <w:shd w:fill="FFFFFF" w:val="clear"/>
            <w:tcMar>
              <w:top w:type="dxa" w:w="90"/>
              <w:left w:type="dxa" w:w="130"/>
              <w:bottom w:type="dxa" w:w="90"/>
              <w:right w:type="dxa" w:w="130"/>
            </w:tcMar>
          </w:tcPr>
          <w:p>
            <w:r>
              <w:rPr>
                <w:rFonts w:ascii="Calibri" w:cs="Calibri" w:eastAsia="Calibri" w:hAnsi="Calibri"/>
                <w:color w:val="23282A"/>
                <w:sz w:val="19"/>
                <w:szCs w:val="19"/>
              </w:rPr>
              <w:t xml:space="preserve">Legal and claims review, sign-off gate design</w:t>
            </w:r>
          </w:p>
        </w:tc>
        <w:tc>
          <w:tcPr>
            <w:tcW w:type="dxa" w:w="4118"/>
            <w:shd w:fill="FFFFFF" w:val="clear"/>
            <w:tcMar>
              <w:top w:type="dxa" w:w="90"/>
              <w:left w:type="dxa" w:w="130"/>
              <w:bottom w:type="dxa" w:w="90"/>
              <w:right w:type="dxa" w:w="130"/>
            </w:tcMar>
          </w:tcPr>
          <w:p>
            <w:r>
              <w:rPr>
                <w:rFonts w:ascii="Calibri" w:cs="Calibri" w:eastAsia="Calibri" w:hAnsi="Calibri"/>
                <w:color w:val="23282A"/>
                <w:sz w:val="19"/>
                <w:szCs w:val="19"/>
              </w:rPr>
              <w:t xml:space="preserve">Liability and greenwashing controls</w:t>
            </w:r>
          </w:p>
        </w:tc>
        <w:tc>
          <w:tcPr>
            <w:tcW w:type="dxa" w:w="1498"/>
            <w:shd w:fill="FFFFFF" w:val="clear"/>
            <w:tcMar>
              <w:top w:type="dxa" w:w="90"/>
              <w:left w:type="dxa" w:w="130"/>
              <w:bottom w:type="dxa" w:w="90"/>
              <w:right w:type="dxa" w:w="130"/>
            </w:tcMar>
          </w:tcPr>
          <w:p>
            <w:r>
              <w:rPr>
                <w:rFonts w:ascii="Calibri" w:cs="Calibri" w:eastAsia="Calibri" w:hAnsi="Calibri"/>
                <w:color w:val="23282A"/>
                <w:sz w:val="19"/>
                <w:szCs w:val="19"/>
              </w:rPr>
              <w:t xml:space="preserve">8</w:t>
            </w:r>
          </w:p>
        </w:tc>
      </w:tr>
      <w:tr>
        <w:trPr>
          <w:cantSplit/>
        </w:trPr>
        <w:tc>
          <w:tcPr>
            <w:tcW w:type="dxa" w:w="562"/>
            <w:shd w:fill="F4F8F9" w:val="clear"/>
            <w:tcMar>
              <w:top w:type="dxa" w:w="90"/>
              <w:left w:type="dxa" w:w="130"/>
              <w:bottom w:type="dxa" w:w="90"/>
              <w:right w:type="dxa" w:w="130"/>
            </w:tcMar>
          </w:tcPr>
          <w:p>
            <w:r>
              <w:rPr>
                <w:rFonts w:ascii="Calibri" w:cs="Calibri" w:eastAsia="Calibri" w:hAnsi="Calibri"/>
                <w:color w:val="23282A"/>
                <w:sz w:val="19"/>
                <w:szCs w:val="19"/>
              </w:rPr>
              <w:t xml:space="preserve">10</w:t>
            </w:r>
          </w:p>
        </w:tc>
        <w:tc>
          <w:tcPr>
            <w:tcW w:type="dxa" w:w="3182"/>
            <w:shd w:fill="F4F8F9" w:val="clear"/>
            <w:tcMar>
              <w:top w:type="dxa" w:w="90"/>
              <w:left w:type="dxa" w:w="130"/>
              <w:bottom w:type="dxa" w:w="90"/>
              <w:right w:type="dxa" w:w="130"/>
            </w:tcMar>
          </w:tcPr>
          <w:p>
            <w:r>
              <w:rPr>
                <w:rFonts w:ascii="Calibri" w:cs="Calibri" w:eastAsia="Calibri" w:hAnsi="Calibri"/>
                <w:color w:val="23282A"/>
                <w:sz w:val="19"/>
                <w:szCs w:val="19"/>
              </w:rPr>
              <w:t xml:space="preserve">Productise, price, build the Tier 1 to remediation handoff</w:t>
            </w:r>
          </w:p>
        </w:tc>
        <w:tc>
          <w:tcPr>
            <w:tcW w:type="dxa" w:w="4118"/>
            <w:shd w:fill="F4F8F9" w:val="clear"/>
            <w:tcMar>
              <w:top w:type="dxa" w:w="90"/>
              <w:left w:type="dxa" w:w="130"/>
              <w:bottom w:type="dxa" w:w="90"/>
              <w:right w:type="dxa" w:w="130"/>
            </w:tcMar>
          </w:tcPr>
          <w:p>
            <w:r>
              <w:rPr>
                <w:rFonts w:ascii="Calibri" w:cs="Calibri" w:eastAsia="Calibri" w:hAnsi="Calibri"/>
                <w:color w:val="23282A"/>
                <w:sz w:val="19"/>
                <w:szCs w:val="19"/>
              </w:rPr>
              <w:t xml:space="preserve">—</w:t>
            </w:r>
          </w:p>
        </w:tc>
        <w:tc>
          <w:tcPr>
            <w:tcW w:type="dxa" w:w="1498"/>
            <w:shd w:fill="F4F8F9" w:val="clear"/>
            <w:tcMar>
              <w:top w:type="dxa" w:w="90"/>
              <w:left w:type="dxa" w:w="130"/>
              <w:bottom w:type="dxa" w:w="90"/>
              <w:right w:type="dxa" w:w="130"/>
            </w:tcMar>
          </w:tcPr>
          <w:p>
            <w:r>
              <w:rPr>
                <w:rFonts w:ascii="Calibri" w:cs="Calibri" w:eastAsia="Calibri" w:hAnsi="Calibri"/>
                <w:color w:val="23282A"/>
                <w:sz w:val="19"/>
                <w:szCs w:val="19"/>
              </w:rPr>
              <w:t xml:space="preserve">9</w:t>
            </w:r>
          </w:p>
        </w:tc>
      </w:tr>
    </w:tbl>
    <w:p>
      <w:pPr>
        <w:spacing w:after="160"/>
      </w:pPr>
    </w:p>
    <w:p>
      <w:pPr>
        <w:spacing w:after="140"/>
      </w:pPr>
      <w:r>
        <w:rPr>
          <w:rFonts w:ascii="Calibri" w:cs="Calibri" w:eastAsia="Calibri" w:hAnsi="Calibri"/>
          <w:i/>
          <w:iCs/>
          <w:color w:val="5F6B6E"/>
          <w:sz w:val="21"/>
          <w:szCs w:val="21"/>
        </w:rPr>
        <w:t xml:space="preserve">Sequencing note: the claim tier taxonomy sits ahead of the omission engine because the omission engine writes narrative and needs somewhere to classify what it writes.</w:t>
      </w:r>
    </w:p>
    <w:p>
      <w:r>
        <w:br w:type="page"/>
      </w:r>
    </w:p>
    <w:p>
      <w:pPr>
        <w:pStyle w:val="Heading1"/>
        <w:keepNext/>
        <w:pBdr>
          <w:bottom w:val="single" w:color="0091A8" w:sz="6" w:space="6"/>
        </w:pBdr>
        <w:spacing w:after="60" w:before="420"/>
      </w:pPr>
      <w:r>
        <w:rPr>
          <w:rFonts w:ascii="Cambria" w:cs="Cambria" w:eastAsia="Cambria" w:hAnsi="Cambria"/>
          <w:b/>
          <w:bCs/>
          <w:color w:val="00647A"/>
          <w:sz w:val="32"/>
          <w:szCs w:val="32"/>
        </w:rPr>
        <w:t xml:space="preserve">12. Recommendations and decisions required</w:t>
      </w:r>
    </w:p>
    <w:p>
      <w:pPr>
        <w:pStyle w:val="Heading2"/>
        <w:keepNext/>
        <w:spacing w:after="120" w:before="300"/>
      </w:pPr>
      <w:r>
        <w:rPr>
          <w:rFonts w:ascii="Cambria" w:cs="Cambria" w:eastAsia="Cambria" w:hAnsi="Cambria"/>
          <w:b/>
          <w:bCs/>
          <w:color w:val="00647A"/>
          <w:sz w:val="25"/>
          <w:szCs w:val="25"/>
        </w:rPr>
        <w:t xml:space="preserve">12.1 Recommendations</w:t>
      </w:r>
    </w:p>
    <w:p>
      <w:pPr>
        <w:pStyle w:val="ListParagraph"/>
        <w:numPr>
          <w:ilvl w:val="0"/>
          <w:numId w:val="6"/>
        </w:numPr>
        <w:spacing w:after="90"/>
      </w:pPr>
      <w:r>
        <w:rPr>
          <w:rFonts w:ascii="Calibri" w:cs="Calibri" w:eastAsia="Calibri" w:hAnsi="Calibri"/>
          <w:color w:val="23282A"/>
          <w:sz w:val="21"/>
          <w:szCs w:val="21"/>
        </w:rPr>
        <w:t xml:space="preserve">Adopt traceability rather than volume as the design target, and position the output as an assurance-ready disclosure record.</w:t>
      </w:r>
    </w:p>
    <w:p>
      <w:pPr>
        <w:pStyle w:val="ListParagraph"/>
        <w:numPr>
          <w:ilvl w:val="0"/>
          <w:numId w:val="6"/>
        </w:numPr>
        <w:spacing w:after="90"/>
      </w:pPr>
      <w:r>
        <w:rPr>
          <w:rFonts w:ascii="Calibri" w:cs="Calibri" w:eastAsia="Calibri" w:hAnsi="Calibri"/>
          <w:color w:val="23282A"/>
          <w:sz w:val="21"/>
          <w:szCs w:val="21"/>
        </w:rPr>
        <w:t xml:space="preserve">Build one data spine and four renderings. Do not build four templates.</w:t>
      </w:r>
    </w:p>
    <w:p>
      <w:pPr>
        <w:pStyle w:val="ListParagraph"/>
        <w:numPr>
          <w:ilvl w:val="0"/>
          <w:numId w:val="6"/>
        </w:numPr>
        <w:spacing w:after="90"/>
      </w:pPr>
      <w:r>
        <w:rPr>
          <w:rFonts w:ascii="Calibri" w:cs="Calibri" w:eastAsia="Calibri" w:hAnsi="Calibri"/>
          <w:color w:val="23282A"/>
          <w:sz w:val="21"/>
          <w:szCs w:val="21"/>
        </w:rPr>
        <w:t xml:space="preserve">Control the qualitative half with claim tiering, evidence binding and the pairing rule, on the same footing as the metric schema.</w:t>
      </w:r>
    </w:p>
    <w:p>
      <w:pPr>
        <w:pStyle w:val="ListParagraph"/>
        <w:numPr>
          <w:ilvl w:val="0"/>
          <w:numId w:val="6"/>
        </w:numPr>
        <w:spacing w:after="90"/>
      </w:pPr>
      <w:r>
        <w:rPr>
          <w:rFonts w:ascii="Calibri" w:cs="Calibri" w:eastAsia="Calibri" w:hAnsi="Calibri"/>
          <w:color w:val="23282A"/>
          <w:sz w:val="21"/>
          <w:szCs w:val="21"/>
        </w:rPr>
        <w:t xml:space="preserve">Treat the gap register as the commercial engine and track Tier 1 to remediation conversion as the product's primary metric.</w:t>
      </w:r>
    </w:p>
    <w:p>
      <w:pPr>
        <w:pStyle w:val="ListParagraph"/>
        <w:numPr>
          <w:ilvl w:val="0"/>
          <w:numId w:val="6"/>
        </w:numPr>
        <w:spacing w:after="90"/>
      </w:pPr>
      <w:r>
        <w:rPr>
          <w:rFonts w:ascii="Calibri" w:cs="Calibri" w:eastAsia="Calibri" w:hAnsi="Calibri"/>
          <w:color w:val="23282A"/>
          <w:sz w:val="21"/>
          <w:szCs w:val="21"/>
        </w:rPr>
        <w:t xml:space="preserve">Keep the regulatory horizon and transformation overlay sections in every tier. They are the two sections competitors cannot write.</w:t>
      </w:r>
    </w:p>
    <w:p>
      <w:pPr>
        <w:spacing w:after="160"/>
      </w:pPr>
    </w:p>
    <w:p>
      <w:pPr>
        <w:pStyle w:val="Heading2"/>
        <w:keepNext/>
        <w:spacing w:after="120" w:before="300"/>
      </w:pPr>
      <w:r>
        <w:rPr>
          <w:rFonts w:ascii="Cambria" w:cs="Cambria" w:eastAsia="Cambria" w:hAnsi="Cambria"/>
          <w:b/>
          <w:bCs/>
          <w:color w:val="00647A"/>
          <w:sz w:val="25"/>
          <w:szCs w:val="25"/>
        </w:rPr>
        <w:t xml:space="preserve">12.2 Decisions required</w:t>
      </w:r>
    </w:p>
    <w:p>
      <w:pPr>
        <w:pStyle w:val="Heading3"/>
        <w:keepNext/>
        <w:spacing w:after="100" w:before="220"/>
      </w:pPr>
      <w:r>
        <w:rPr>
          <w:rFonts w:ascii="Calibri" w:cs="Calibri" w:eastAsia="Calibri" w:hAnsi="Calibri"/>
          <w:b/>
          <w:bCs/>
          <w:color w:val="101820"/>
          <w:sz w:val="22"/>
          <w:szCs w:val="22"/>
        </w:rPr>
        <w:t xml:space="preserve">Decision 1 — The sign-off gate</w:t>
      </w:r>
    </w:p>
    <w:p>
      <w:pPr>
        <w:spacing w:after="140"/>
      </w:pPr>
      <w:r>
        <w:rPr>
          <w:rFonts w:ascii="Calibri" w:cs="Calibri" w:eastAsia="Calibri" w:hAnsi="Calibri"/>
          <w:color w:val="23282A"/>
          <w:sz w:val="21"/>
          <w:szCs w:val="21"/>
        </w:rPr>
        <w:t xml:space="preserve">The document asserts disclosure facts on Okiru letterhead from data Okiru has not verified. We recommend a draft watermark until a named client officer signs, with no override in the client-facing build. This costs nothing to implement and removes the one failure mode that could damage the practice.</w:t>
      </w:r>
    </w:p>
    <w:p>
      <w:pPr>
        <w:spacing w:after="140"/>
      </w:pPr>
      <w:r>
        <w:rPr>
          <w:rFonts w:ascii="Calibri" w:cs="Calibri" w:eastAsia="Calibri" w:hAnsi="Calibri"/>
          <w:b/>
          <w:bCs/>
          <w:color w:val="23282A"/>
          <w:sz w:val="21"/>
          <w:szCs w:val="21"/>
        </w:rPr>
        <w:t xml:space="preserve">Decision owner: Managing Director. Required before: task 7.</w:t>
      </w:r>
    </w:p>
    <w:p>
      <w:pPr>
        <w:pStyle w:val="Heading3"/>
        <w:keepNext/>
        <w:spacing w:after="100" w:before="220"/>
      </w:pPr>
      <w:r>
        <w:rPr>
          <w:rFonts w:ascii="Calibri" w:cs="Calibri" w:eastAsia="Calibri" w:hAnsi="Calibri"/>
          <w:b/>
          <w:bCs/>
          <w:color w:val="101820"/>
          <w:sz w:val="22"/>
          <w:szCs w:val="22"/>
        </w:rPr>
        <w:t xml:space="preserve">Decision 2 — Where the analyst sits</w:t>
      </w:r>
    </w:p>
    <w:p>
      <w:pPr>
        <w:spacing w:after="140"/>
      </w:pPr>
      <w:r>
        <w:rPr>
          <w:rFonts w:ascii="Calibri" w:cs="Calibri" w:eastAsia="Calibri" w:hAnsi="Calibri"/>
          <w:color w:val="23282A"/>
          <w:sz w:val="21"/>
          <w:szCs w:val="21"/>
        </w:rPr>
        <w:t xml:space="preserve">Tier 1 fully automated with light QA is the right entry price. The value in Tier 2 is a person writing the strategy and roadmap sections. We recommend excluding those sections from the generator by design, because that is where the margin and the differentiation sit.</w:t>
      </w:r>
    </w:p>
    <w:p>
      <w:pPr>
        <w:spacing w:after="140"/>
      </w:pPr>
      <w:r>
        <w:rPr>
          <w:rFonts w:ascii="Calibri" w:cs="Calibri" w:eastAsia="Calibri" w:hAnsi="Calibri"/>
          <w:b/>
          <w:bCs/>
          <w:color w:val="23282A"/>
          <w:sz w:val="21"/>
          <w:szCs w:val="21"/>
        </w:rPr>
        <w:t xml:space="preserve">Decision owner: Managing Director. Required before: task 10.</w:t>
      </w:r>
    </w:p>
    <w:p>
      <w:pPr>
        <w:spacing w:after="160"/>
      </w:pPr>
    </w:p>
    <w:p>
      <w:pPr>
        <w:pStyle w:val="Heading2"/>
        <w:keepNext/>
        <w:spacing w:after="120" w:before="300"/>
      </w:pPr>
      <w:r>
        <w:rPr>
          <w:rFonts w:ascii="Cambria" w:cs="Cambria" w:eastAsia="Cambria" w:hAnsi="Cambria"/>
          <w:b/>
          <w:bCs/>
          <w:color w:val="00647A"/>
          <w:sz w:val="25"/>
          <w:szCs w:val="25"/>
        </w:rPr>
        <w:t xml:space="preserve">12.3 Outstanding items</w:t>
      </w:r>
    </w:p>
    <w:p>
      <w:pPr>
        <w:pStyle w:val="ListParagraph"/>
        <w:numPr>
          <w:ilvl w:val="0"/>
          <w:numId w:val="3"/>
        </w:numPr>
        <w:spacing w:after="80"/>
      </w:pPr>
      <w:r>
        <w:rPr>
          <w:rFonts w:ascii="Calibri" w:cs="Calibri" w:eastAsia="Calibri" w:hAnsi="Calibri"/>
          <w:color w:val="23282A"/>
          <w:sz w:val="21"/>
          <w:szCs w:val="21"/>
        </w:rPr>
        <w:t xml:space="preserve">Standard Bank Sustainability Disclosures Report and Okiru's existing sample report to be read against this specification before the build starts</w:t>
      </w:r>
    </w:p>
    <w:p>
      <w:pPr>
        <w:pStyle w:val="ListParagraph"/>
        <w:numPr>
          <w:ilvl w:val="0"/>
          <w:numId w:val="3"/>
        </w:numPr>
        <w:spacing w:after="80"/>
      </w:pPr>
      <w:r>
        <w:rPr>
          <w:rFonts w:ascii="Calibri" w:cs="Calibri" w:eastAsia="Calibri" w:hAnsi="Calibri"/>
          <w:color w:val="23282A"/>
          <w:sz w:val="21"/>
          <w:szCs w:val="21"/>
        </w:rPr>
        <w:t xml:space="preserve">Legal review of the fixed-language blocks and indemnity wording</w:t>
      </w:r>
    </w:p>
    <w:p>
      <w:pPr>
        <w:pStyle w:val="ListParagraph"/>
        <w:numPr>
          <w:ilvl w:val="0"/>
          <w:numId w:val="3"/>
        </w:numPr>
        <w:spacing w:after="80"/>
      </w:pPr>
      <w:r>
        <w:rPr>
          <w:rFonts w:ascii="Calibri" w:cs="Calibri" w:eastAsia="Calibri" w:hAnsi="Calibri"/>
          <w:color w:val="23282A"/>
          <w:sz w:val="21"/>
          <w:szCs w:val="21"/>
        </w:rPr>
        <w:t xml:space="preserve">Price points for the three tiers</w:t>
      </w:r>
    </w:p>
    <w:p>
      <w:pPr>
        <w:spacing w:after="400"/>
      </w:pPr>
    </w:p>
    <w:p>
      <w:pPr>
        <w:pBdr>
          <w:top w:val="single" w:color="0091A8" w:sz="6" w:space="8"/>
        </w:pBdr>
        <w:spacing w:after="120"/>
      </w:pPr>
    </w:p>
    <w:p>
      <w:pPr>
        <w:spacing w:after="140"/>
      </w:pPr>
      <w:r>
        <w:rPr>
          <w:rFonts w:ascii="Calibri" w:cs="Calibri" w:eastAsia="Calibri" w:hAnsi="Calibri"/>
          <w:b/>
          <w:bCs/>
          <w:color w:val="00647A"/>
          <w:sz w:val="21"/>
          <w:szCs w:val="21"/>
        </w:rPr>
        <w:t xml:space="preserve">Prepared by Okiru</w:t>
      </w:r>
    </w:p>
    <w:p>
      <w:pPr>
        <w:spacing w:after="140"/>
      </w:pPr>
      <w:r>
        <w:rPr>
          <w:rFonts w:ascii="Calibri" w:cs="Calibri" w:eastAsia="Calibri" w:hAnsi="Calibri"/>
          <w:color w:val="5F6B6E"/>
          <w:sz w:val="19"/>
          <w:szCs w:val="19"/>
        </w:rPr>
        <w:t xml:space="preserve">okiru.co.za</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B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0" w:sz="4" w:space="6"/>
      </w:pBdr>
      <w:spacing w:after="120"/>
      <w:jc w:val="right"/>
    </w:pPr>
    <w:r>
      <w:rPr>
        <w:rFonts w:ascii="Cambria" w:cs="Cambria" w:eastAsia="Cambria" w:hAnsi="Cambria"/>
        <w:b/>
        <w:bCs/>
        <w:color w:val="0091A8"/>
        <w:spacing w:val="40"/>
        <w:sz w:val="16"/>
        <w:szCs w:val="16"/>
      </w:rPr>
      <w:t xml:space="preserve">OKIRU</w:t>
    </w:r>
    <w:r>
      <w:rPr>
        <w:rFonts w:ascii="Calibri" w:cs="Calibri" w:eastAsia="Calibri" w:hAnsi="Calibri"/>
        <w:color w:val="5F6B6E"/>
        <w:sz w:val="16"/>
        <w:szCs w:val="16"/>
      </w:rPr>
      <w:t xml:space="preserve">   ESG Intelligence Toolkit  ·  Report Template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lvl w:ilvl="1" w15:tentative="1">
      <w:start w:val="1"/>
      <w:numFmt w:val="bullet"/>
      <w:lvlText w:val="◦"/>
      <w:lvlJc w:val="left"/>
      <w:pPr>
        <w:ind w:left="892" w:hanging="288"/>
      </w:pPr>
    </w:lvl>
  </w:abstractNum>
  <w:abstractNum w:abstractNumId="3" w15:restartNumberingAfterBreak="0">
    <w:multiLevelType w:val="hybridMultilevel"/>
    <w:lvl w:ilvl="0" w15:tentative="1">
      <w:start w:val="1"/>
      <w:numFmt w:val="decimal"/>
      <w:lvlText w:val="%1."/>
      <w:lvlJc w:val="left"/>
      <w:pPr>
        <w:ind w:left="518" w:hanging="345"/>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8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Intelligence Toolkit — Report Template Specification</dc:title>
  <dc:creator>Okiru</dc:creator>
  <dc:description>Structure, data model and generation logic for automated ESG disclosure and strategy packs</dc:description>
  <cp:lastModifiedBy>Un-named</cp:lastModifiedBy>
  <cp:revision>1</cp:revision>
  <dcterms:created xsi:type="dcterms:W3CDTF">2026-08-31T14:42:45.744Z</dcterms:created>
  <dcterms:modified xsi:type="dcterms:W3CDTF">2026-08-31T14:42:45.744Z</dcterms:modified>
</cp:coreProperties>
</file>

<file path=docProps/custom.xml><?xml version="1.0" encoding="utf-8"?>
<Properties xmlns="http://schemas.openxmlformats.org/officeDocument/2006/custom-properties" xmlns:vt="http://schemas.openxmlformats.org/officeDocument/2006/docPropsVTypes"/>
</file>