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40" w:before="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AI工具使用详情</w:t>
      </w:r>
    </w:p>
    <w:p>
      <w:pPr>
        <w:pStyle w:val="Heading1"/>
        <w:keepNext/>
        <w:spacing w:after="90" w:before="160"/>
      </w:pPr>
      <w:r>
        <w:rPr>
          <w:rFonts w:ascii="黑体" w:cs="黑体" w:eastAsia="黑体" w:hAnsi="黑体"/>
          <w:b/>
          <w:bCs/>
          <w:color w:val="000000"/>
          <w:sz w:val="27"/>
          <w:szCs w:val="27"/>
        </w:rPr>
        <w:t xml:space="preserve">1. 工具</w:t>
      </w:r>
    </w:p>
    <w:p>
      <w:pPr>
        <w:keepNext w:val="false"/>
        <w:spacing w:after="8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工具名称：OpenAI Codex。版本或型号：当前本地 Codex 环境（生成日期 2026-09-11）；本文不对无法从运行环境确认的内部模型版本作推断。</w:t>
      </w:r>
    </w:p>
    <w:p>
      <w:pPr>
        <w:pStyle w:val="Heading1"/>
        <w:keepNext/>
        <w:spacing w:after="90" w:before="160"/>
      </w:pPr>
      <w:r>
        <w:rPr>
          <w:rFonts w:ascii="黑体" w:cs="黑体" w:eastAsia="黑体" w:hAnsi="黑体"/>
          <w:b/>
          <w:bCs/>
          <w:color w:val="000000"/>
          <w:sz w:val="27"/>
          <w:szCs w:val="27"/>
        </w:rPr>
        <w:t xml:space="preserve">2. 使用目的和环节</w:t>
      </w:r>
    </w:p>
    <w:p>
      <w:pPr>
        <w:keepNext w:val="false"/>
        <w:spacing w:after="8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AI 工具参与了题面与附件的本地阅读、四个问题的代码检查与调试、数值复算、工作簿逐单元审计、论文结构组织、语言润色和交付文件编排。Scientific Agent Skills 中的 scientific-writing、scientific-critical-thinking、docx、pdf 和 xlsx 工作流用于提示证据绑定、局限披露、文档生成和表格检查。</w:t>
      </w:r>
    </w:p>
    <w:p>
      <w:pPr>
        <w:pStyle w:val="Heading1"/>
        <w:keepNext/>
        <w:spacing w:after="90" w:before="160"/>
      </w:pPr>
      <w:r>
        <w:rPr>
          <w:rFonts w:ascii="黑体" w:cs="黑体" w:eastAsia="黑体" w:hAnsi="黑体"/>
          <w:b/>
          <w:bCs/>
          <w:color w:val="000000"/>
          <w:sz w:val="27"/>
          <w:szCs w:val="27"/>
        </w:rPr>
        <w:t xml:space="preserve">3. 主要提示方式</w:t>
      </w:r>
    </w:p>
    <w:p>
      <w:pPr>
        <w:keepNext w:val="false"/>
        <w:spacing w:after="8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典型提示包括：“逐问复核题面公式与单位”“检查网格收敛、阈值事件和边界符号”“从已有结果整理完整论文”“按照 2026 年论文格式生成可编辑 Word、PDF 和支撑材料”。AI 根据本地源码、CSV、Excel、Markdown 报告及用户提供的规则文件工作。文件转换和数值计算在本机执行；Codex 的模型服务参与了读取内容的分析与写作，因此不将本机执行等同于全部处理离线完成。</w:t>
      </w:r>
    </w:p>
    <w:p>
      <w:pPr>
        <w:pStyle w:val="Heading1"/>
        <w:keepNext/>
        <w:spacing w:after="90" w:before="160"/>
      </w:pPr>
      <w:r>
        <w:rPr>
          <w:rFonts w:ascii="黑体" w:cs="黑体" w:eastAsia="黑体" w:hAnsi="黑体"/>
          <w:b/>
          <w:bCs/>
          <w:color w:val="000000"/>
          <w:sz w:val="27"/>
          <w:szCs w:val="27"/>
        </w:rPr>
        <w:t xml:space="preserve">4. AI 参与内容</w:t>
      </w:r>
    </w:p>
    <w:p>
      <w:pPr>
        <w:keepNext w:val="false"/>
        <w:spacing w:after="8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AI 参与了有限体积离散实现的检查、BDF 求解器参数审阅、Richardson 外推和敏感性结果的整理，生成了论文初稿、表格编排、支撑材料说明和复现命令。代码、原始数据、计算结果和图形均保存在支撑材料中。</w:t>
      </w:r>
    </w:p>
    <w:p>
      <w:pPr>
        <w:pStyle w:val="Heading1"/>
        <w:keepNext/>
        <w:spacing w:after="90" w:before="160"/>
      </w:pPr>
      <w:r>
        <w:rPr>
          <w:rFonts w:ascii="黑体" w:cs="黑体" w:eastAsia="黑体" w:hAnsi="黑体"/>
          <w:b/>
          <w:bCs/>
          <w:color w:val="000000"/>
          <w:sz w:val="27"/>
          <w:szCs w:val="27"/>
        </w:rPr>
        <w:t xml:space="preserve">5. 采纳、修改与核验</w:t>
      </w:r>
    </w:p>
    <w:p>
      <w:pPr>
        <w:keepNext w:val="false"/>
        <w:spacing w:after="8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参赛队成员应逐项打开题面、输入数据、源代码、工作簿和最终文档，复核模型假设、公式、单位、数值和结论。仓库内机器审计已核对原始附件与 CSV、四份原工作簿、论文表 1—6、前三小时跨问结果及全程第二问扩展结果；自动化测试 95 项通过。AI 输出中关于长期环境延拓、一维轴向近似、有效传质边界以及密度—收缩相容性的内容被明确标为假设或局限，不作为实验事实。论文中的参考文献应由参赛队在提交前再次核对。</w:t>
      </w:r>
    </w:p>
    <w:p>
      <w:pPr>
        <w:pStyle w:val="Heading1"/>
        <w:keepNext/>
        <w:spacing w:after="90" w:before="160"/>
      </w:pPr>
      <w:r>
        <w:rPr>
          <w:rFonts w:ascii="黑体" w:cs="黑体" w:eastAsia="黑体" w:hAnsi="黑体"/>
          <w:b/>
          <w:bCs/>
          <w:color w:val="000000"/>
          <w:sz w:val="27"/>
          <w:szCs w:val="27"/>
        </w:rPr>
        <w:t xml:space="preserve">6. 责任声明</w:t>
      </w:r>
    </w:p>
    <w:p>
      <w:pPr>
        <w:keepNext w:val="false"/>
        <w:spacing w:after="80" w:line="320"/>
        <w:jc w:val="both"/>
      </w:pPr>
      <w:r>
        <w:rPr>
          <w:rFonts w:ascii="宋体" w:cs="宋体" w:eastAsia="宋体" w:hAnsi="宋体"/>
          <w:sz w:val="22"/>
          <w:szCs w:val="22"/>
        </w:rPr>
        <w:t xml:space="preserve">AI 不是论文作者，不承担模型选择、数据解释、结果正确性或提交合规责任。最终论文、代码、数据和 AI 使用披露由参赛队成员人工审定并承担全部责任。本文件不声明“未使用 AI”。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>
      <w:pPr>
        <w:spacing w:after="8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药材烘干模型</dc:title>
  <cp:revision>1</cp:revision>
  <dcterms:created xsi:type="dcterms:W3CDTF">2026-09-11T13:50:45.257Z</dcterms:created>
  <dcterms:modified xsi:type="dcterms:W3CDTF">2026-09-11T13:50:45.257Z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