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856" w:rsidRPr="00D37856" w:rsidRDefault="00D37856" w:rsidP="00D37856">
      <w:pPr>
        <w:shd w:val="clear" w:color="auto" w:fill="FFFFFF"/>
        <w:spacing w:before="600" w:after="225" w:line="240" w:lineRule="auto"/>
        <w:outlineLvl w:val="1"/>
        <w:rPr>
          <w:rFonts w:ascii="Arial" w:eastAsia="Times New Roman" w:hAnsi="Arial" w:cs="Arial"/>
          <w:b/>
          <w:bCs/>
          <w:color w:val="222222"/>
          <w:sz w:val="42"/>
          <w:szCs w:val="42"/>
        </w:rPr>
      </w:pPr>
      <w:r w:rsidRPr="00D37856">
        <w:rPr>
          <w:rFonts w:ascii="Arial" w:eastAsia="Times New Roman" w:hAnsi="Arial" w:cs="Arial"/>
          <w:b/>
          <w:bCs/>
          <w:color w:val="222222"/>
          <w:sz w:val="42"/>
          <w:szCs w:val="42"/>
        </w:rPr>
        <w:t>Moving annual total</w:t>
      </w:r>
    </w:p>
    <w:p w:rsidR="00BD6C91" w:rsidRDefault="00B33AC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 common way to aggregate data over several months is by using the moving annual total instead of the year-to-date. The moving annual total includes the last 12 months of data. For example, the moving annual total for March 2008 includes data from April 2007 to March 2008.</w:t>
      </w:r>
    </w:p>
    <w:p w:rsidR="00B33AC7" w:rsidRDefault="00B33AC7">
      <w:r>
        <w:rPr>
          <w:noProof/>
        </w:rPr>
        <w:drawing>
          <wp:inline distT="0" distB="0" distL="0" distR="0" wp14:anchorId="12F0AAF4" wp14:editId="5F0002BE">
            <wp:extent cx="3789557" cy="38252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01" cy="383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B7" w:rsidRDefault="00D63FB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MAT </w:t>
      </w:r>
      <w:r>
        <w:rPr>
          <w:rFonts w:ascii="Arial" w:hAnsi="Arial" w:cs="Arial"/>
          <w:color w:val="222222"/>
          <w:shd w:val="clear" w:color="auto" w:fill="FFFFFF"/>
        </w:rPr>
        <w:t>measure defines a range over the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Year Month Number</w:t>
      </w:r>
      <w:r>
        <w:rPr>
          <w:rFonts w:ascii="Arial" w:hAnsi="Arial" w:cs="Arial"/>
          <w:color w:val="222222"/>
          <w:shd w:val="clear" w:color="auto" w:fill="FFFFFF"/>
        </w:rPr>
        <w:t> column that includes the months of one complete year from the last month in the filter context:</w:t>
      </w:r>
    </w:p>
    <w:p w:rsidR="00D63FB7" w:rsidRPr="00D63FB7" w:rsidRDefault="00D63FB7" w:rsidP="00D63FB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MAT :</w:t>
      </w:r>
      <w:proofErr w:type="gramEnd"/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D63FB7" w:rsidRPr="00D63FB7" w:rsidRDefault="00D63FB7" w:rsidP="00D63FB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D63FB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MonthsInRange</w:t>
      </w:r>
      <w:proofErr w:type="spellEnd"/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D63FB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12</w:t>
      </w:r>
    </w:p>
    <w:p w:rsidR="00D63FB7" w:rsidRPr="00D63FB7" w:rsidRDefault="00D63FB7" w:rsidP="00D63FB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D63FB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LastMonthRange</w:t>
      </w:r>
      <w:proofErr w:type="spellEnd"/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D63FB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MAX</w:t>
      </w:r>
      <w:r w:rsidRPr="00D63FB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63FB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Date'[Year Month Number]</w:t>
      </w:r>
      <w:r w:rsidRPr="00D63FB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D63FB7" w:rsidRPr="00D63FB7" w:rsidRDefault="00D63FB7" w:rsidP="00D63FB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D63FB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FirstMonthRange</w:t>
      </w:r>
      <w:proofErr w:type="spellEnd"/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D63FB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LastMonthRange</w:t>
      </w:r>
      <w:proofErr w:type="spellEnd"/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 -</w:t>
      </w:r>
      <w:r w:rsidRPr="00D63FB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MonthsInRange</w:t>
      </w:r>
      <w:proofErr w:type="spellEnd"/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 +</w:t>
      </w:r>
      <w:r w:rsidRPr="00D63FB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</w:p>
    <w:p w:rsidR="00D63FB7" w:rsidRPr="00D63FB7" w:rsidRDefault="00D63FB7" w:rsidP="00D63FB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D63FB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Result =</w:t>
      </w:r>
    </w:p>
    <w:p w:rsidR="00D63FB7" w:rsidRPr="00D63FB7" w:rsidRDefault="00D63FB7" w:rsidP="00D63FB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    CALCULATE</w:t>
      </w:r>
      <w:r w:rsidRPr="00D63FB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D63FB7" w:rsidRPr="00D63FB7" w:rsidRDefault="00D63FB7" w:rsidP="00D63FB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        [Sales Amount],</w:t>
      </w:r>
    </w:p>
    <w:p w:rsidR="00D63FB7" w:rsidRPr="00D63FB7" w:rsidRDefault="00D63FB7" w:rsidP="00D63FB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        REMOVEFILTERS</w:t>
      </w:r>
      <w:r w:rsidRPr="00D63FB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63FB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Date'</w:t>
      </w:r>
      <w:r w:rsidRPr="00D63FB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D63FB7" w:rsidRPr="00D63FB7" w:rsidRDefault="00D63FB7" w:rsidP="00D63FB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        'Date'[Year Month Number]</w:t>
      </w:r>
      <w:r w:rsidRPr="00D63FB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&gt;=</w:t>
      </w:r>
      <w:r w:rsidRPr="00D63FB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FirstMonthRange</w:t>
      </w:r>
      <w:proofErr w:type="spellEnd"/>
    </w:p>
    <w:p w:rsidR="00D63FB7" w:rsidRPr="00D63FB7" w:rsidRDefault="00D63FB7" w:rsidP="00D63FB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&amp;&amp; 'Date'[Year Month Number]</w:t>
      </w:r>
      <w:r w:rsidRPr="00D63FB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&lt;=</w:t>
      </w:r>
      <w:r w:rsidRPr="00D63FB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LastMonthRange</w:t>
      </w:r>
      <w:proofErr w:type="spellEnd"/>
    </w:p>
    <w:p w:rsidR="00D63FB7" w:rsidRPr="00D63FB7" w:rsidRDefault="00D63FB7" w:rsidP="00D63FB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D63FB7" w:rsidRPr="00D63FB7" w:rsidRDefault="00D63FB7" w:rsidP="00D63FB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</w:p>
    <w:p w:rsidR="00D63FB7" w:rsidRPr="00D63FB7" w:rsidRDefault="00D63FB7" w:rsidP="00D63FB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    Result</w:t>
      </w:r>
    </w:p>
    <w:p w:rsidR="00D63FB7" w:rsidRDefault="00D63FB7"/>
    <w:p w:rsidR="00D63FB7" w:rsidRDefault="00D63FB7"/>
    <w:p w:rsidR="00B33AC7" w:rsidRDefault="008759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moving annual total uses </w:t>
      </w:r>
      <w:hyperlink r:id="rId5" w:history="1">
        <w:r>
          <w:rPr>
            <w:rStyle w:val="Hyperlink"/>
            <w:rFonts w:ascii="Arial" w:hAnsi="Arial" w:cs="Arial"/>
            <w:b/>
            <w:bCs/>
            <w:color w:val="000000"/>
            <w:u w:val="none"/>
            <w:shd w:val="clear" w:color="auto" w:fill="FFFFFF"/>
          </w:rPr>
          <w:t>DATESINPERIOD</w:t>
        </w:r>
      </w:hyperlink>
      <w:r>
        <w:rPr>
          <w:rFonts w:ascii="Arial" w:hAnsi="Arial" w:cs="Arial"/>
          <w:color w:val="222222"/>
          <w:shd w:val="clear" w:color="auto" w:fill="FFFFFF"/>
        </w:rPr>
        <w:t> to select the previous year:</w:t>
      </w:r>
    </w:p>
    <w:p w:rsidR="00875958" w:rsidRPr="00875958" w:rsidRDefault="00875958" w:rsidP="0087595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59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875958">
        <w:rPr>
          <w:rFonts w:ascii="Courier New" w:eastAsia="Times New Roman" w:hAnsi="Courier New" w:cs="Courier New"/>
          <w:color w:val="000000"/>
          <w:sz w:val="18"/>
          <w:szCs w:val="18"/>
        </w:rPr>
        <w:t>MAT :</w:t>
      </w:r>
      <w:proofErr w:type="gramEnd"/>
      <w:r w:rsidRPr="0087595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875958" w:rsidRPr="00875958" w:rsidRDefault="00875958" w:rsidP="0087595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5958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r w:rsidRPr="00875958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759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875958" w:rsidRPr="00875958" w:rsidRDefault="00875958" w:rsidP="0087595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5958">
        <w:rPr>
          <w:rFonts w:ascii="Courier New" w:eastAsia="Times New Roman" w:hAnsi="Courier New" w:cs="Courier New"/>
          <w:color w:val="000000"/>
          <w:sz w:val="18"/>
          <w:szCs w:val="18"/>
        </w:rPr>
        <w:t>    [</w:t>
      </w:r>
      <w:proofErr w:type="spellStart"/>
      <w:r w:rsidRPr="00875958">
        <w:rPr>
          <w:rFonts w:ascii="Courier New" w:eastAsia="Times New Roman" w:hAnsi="Courier New" w:cs="Courier New"/>
          <w:color w:val="000000"/>
          <w:sz w:val="18"/>
          <w:szCs w:val="18"/>
        </w:rPr>
        <w:t>ShowValueForDates</w:t>
      </w:r>
      <w:proofErr w:type="spellEnd"/>
      <w:r w:rsidRPr="00875958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:rsidR="00875958" w:rsidRPr="00875958" w:rsidRDefault="00875958" w:rsidP="0087595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5958">
        <w:rPr>
          <w:rFonts w:ascii="Courier New" w:eastAsia="Times New Roman" w:hAnsi="Courier New" w:cs="Courier New"/>
          <w:color w:val="000000"/>
          <w:sz w:val="18"/>
          <w:szCs w:val="18"/>
        </w:rPr>
        <w:t>    CALCULATE</w:t>
      </w:r>
      <w:r w:rsidRPr="00875958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759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875958" w:rsidRPr="00875958" w:rsidRDefault="00875958" w:rsidP="0087595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595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[Sales Amount],</w:t>
      </w:r>
    </w:p>
    <w:p w:rsidR="00875958" w:rsidRPr="00875958" w:rsidRDefault="00875958" w:rsidP="0087595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5958">
        <w:rPr>
          <w:rFonts w:ascii="Courier New" w:eastAsia="Times New Roman" w:hAnsi="Courier New" w:cs="Courier New"/>
          <w:color w:val="000000"/>
          <w:sz w:val="18"/>
          <w:szCs w:val="18"/>
        </w:rPr>
        <w:t>        DATESINPERIOD</w:t>
      </w:r>
      <w:r w:rsidRPr="00875958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759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875958" w:rsidRPr="00875958" w:rsidRDefault="00875958" w:rsidP="0087595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59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'Date'[Date],</w:t>
      </w:r>
    </w:p>
    <w:p w:rsidR="00875958" w:rsidRPr="00875958" w:rsidRDefault="00875958" w:rsidP="0087595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59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MAX</w:t>
      </w:r>
      <w:r w:rsidRPr="00875958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8759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5958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75958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875958">
        <w:rPr>
          <w:rFonts w:ascii="Courier New" w:eastAsia="Times New Roman" w:hAnsi="Courier New" w:cs="Courier New"/>
          <w:color w:val="000000"/>
          <w:sz w:val="18"/>
          <w:szCs w:val="18"/>
        </w:rPr>
        <w:t>Date'[Date]</w:t>
      </w:r>
      <w:r w:rsidRPr="00875958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75958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875958" w:rsidRPr="00875958" w:rsidRDefault="00875958" w:rsidP="0087595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59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-1,</w:t>
      </w:r>
    </w:p>
    <w:p w:rsidR="00875958" w:rsidRPr="00875958" w:rsidRDefault="00875958" w:rsidP="0087595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595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YEAR</w:t>
      </w:r>
    </w:p>
    <w:p w:rsidR="00875958" w:rsidRPr="00875958" w:rsidRDefault="00875958" w:rsidP="0087595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5958">
        <w:rPr>
          <w:rFonts w:ascii="Courier New" w:eastAsia="Times New Roman" w:hAnsi="Courier New" w:cs="Courier New"/>
          <w:color w:val="000000"/>
          <w:sz w:val="18"/>
          <w:szCs w:val="18"/>
        </w:rPr>
        <w:t>        )</w:t>
      </w:r>
    </w:p>
    <w:p w:rsidR="00875958" w:rsidRPr="00875958" w:rsidRDefault="00875958" w:rsidP="0087595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5958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875958" w:rsidRPr="00875958" w:rsidRDefault="00875958" w:rsidP="00875958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59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75958" w:rsidRDefault="00875958"/>
    <w:p w:rsidR="00875958" w:rsidRDefault="00D63FB7">
      <w:pPr>
        <w:rPr>
          <w:rFonts w:ascii="Arial" w:hAnsi="Arial" w:cs="Arial"/>
          <w:color w:val="222222"/>
          <w:shd w:val="clear" w:color="auto" w:fill="FFFFFF"/>
        </w:rPr>
      </w:pPr>
      <w:hyperlink r:id="rId6" w:history="1">
        <w:r w:rsidR="00875958">
          <w:rPr>
            <w:rStyle w:val="Hyperlink"/>
            <w:rFonts w:ascii="Arial" w:hAnsi="Arial" w:cs="Arial"/>
            <w:b/>
            <w:bCs/>
            <w:color w:val="000000"/>
            <w:u w:val="none"/>
            <w:shd w:val="clear" w:color="auto" w:fill="FFFFFF"/>
          </w:rPr>
          <w:t>DATESINPERIOD</w:t>
        </w:r>
      </w:hyperlink>
      <w:r w:rsidR="00875958">
        <w:rPr>
          <w:rFonts w:ascii="Arial" w:hAnsi="Arial" w:cs="Arial"/>
          <w:color w:val="222222"/>
          <w:shd w:val="clear" w:color="auto" w:fill="FFFFFF"/>
        </w:rPr>
        <w:t> returns the set of dates starting from the date passed in the second argument and applying an offset specified in the third and fourth arguments. For example, the </w:t>
      </w:r>
      <w:r w:rsidR="00875958">
        <w:rPr>
          <w:rStyle w:val="Emphasis"/>
          <w:rFonts w:ascii="Arial" w:hAnsi="Arial" w:cs="Arial"/>
          <w:color w:val="111111"/>
          <w:shd w:val="clear" w:color="auto" w:fill="FFFFFF"/>
        </w:rPr>
        <w:t>Sales MAT</w:t>
      </w:r>
      <w:r w:rsidR="00875958">
        <w:rPr>
          <w:rFonts w:ascii="Arial" w:hAnsi="Arial" w:cs="Arial"/>
          <w:color w:val="222222"/>
          <w:shd w:val="clear" w:color="auto" w:fill="FFFFFF"/>
        </w:rPr>
        <w:t> measure returns the dates included in the full year before the last date available in the filter context. The same result could have been obtained by specifying -12 and </w:t>
      </w:r>
      <w:hyperlink r:id="rId7" w:history="1">
        <w:r w:rsidR="00875958">
          <w:rPr>
            <w:rStyle w:val="Hyperlink"/>
            <w:rFonts w:ascii="Arial" w:hAnsi="Arial" w:cs="Arial"/>
            <w:b/>
            <w:bCs/>
            <w:color w:val="000000"/>
            <w:u w:val="none"/>
            <w:shd w:val="clear" w:color="auto" w:fill="FFFFFF"/>
          </w:rPr>
          <w:t>MONTH</w:t>
        </w:r>
      </w:hyperlink>
      <w:r w:rsidR="00875958">
        <w:rPr>
          <w:rFonts w:ascii="Arial" w:hAnsi="Arial" w:cs="Arial"/>
          <w:color w:val="222222"/>
          <w:shd w:val="clear" w:color="auto" w:fill="FFFFFF"/>
        </w:rPr>
        <w:t> in the third and fourth arguments, respectively.</w:t>
      </w:r>
    </w:p>
    <w:p w:rsidR="00C175CB" w:rsidRDefault="00C175CB" w:rsidP="00C175CB">
      <w:pPr>
        <w:pStyle w:val="Heading2"/>
        <w:shd w:val="clear" w:color="auto" w:fill="FFFFFF"/>
        <w:spacing w:before="600" w:beforeAutospacing="0" w:after="225" w:afterAutospacing="0"/>
        <w:rPr>
          <w:rFonts w:ascii="Arial" w:hAnsi="Arial" w:cs="Arial"/>
          <w:color w:val="222222"/>
          <w:sz w:val="42"/>
          <w:szCs w:val="42"/>
        </w:rPr>
      </w:pPr>
      <w:r>
        <w:rPr>
          <w:rFonts w:ascii="Arial" w:hAnsi="Arial" w:cs="Arial"/>
          <w:color w:val="222222"/>
          <w:sz w:val="42"/>
          <w:szCs w:val="42"/>
        </w:rPr>
        <w:t>Moving annual total growth</w:t>
      </w:r>
    </w:p>
    <w:p w:rsidR="00C175CB" w:rsidRDefault="00C175CB" w:rsidP="00C175CB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moving annual total growth is computed with the </w:t>
      </w:r>
      <w:r>
        <w:rPr>
          <w:rStyle w:val="Emphasis"/>
          <w:rFonts w:ascii="Arial" w:hAnsi="Arial" w:cs="Arial"/>
          <w:color w:val="111111"/>
        </w:rPr>
        <w:t>Sales PYMAT</w:t>
      </w:r>
      <w:r>
        <w:rPr>
          <w:rFonts w:ascii="Arial" w:hAnsi="Arial" w:cs="Arial"/>
          <w:color w:val="222222"/>
        </w:rPr>
        <w:t>, </w:t>
      </w:r>
      <w:r>
        <w:rPr>
          <w:rStyle w:val="Emphasis"/>
          <w:rFonts w:ascii="Arial" w:hAnsi="Arial" w:cs="Arial"/>
          <w:color w:val="111111"/>
        </w:rPr>
        <w:t>Sales MATG</w:t>
      </w:r>
      <w:r>
        <w:rPr>
          <w:rFonts w:ascii="Arial" w:hAnsi="Arial" w:cs="Arial"/>
          <w:color w:val="222222"/>
        </w:rPr>
        <w:t>, and </w:t>
      </w:r>
      <w:r>
        <w:rPr>
          <w:rStyle w:val="Emphasis"/>
          <w:rFonts w:ascii="Arial" w:hAnsi="Arial" w:cs="Arial"/>
          <w:color w:val="111111"/>
        </w:rPr>
        <w:t>Sales MATG %</w:t>
      </w:r>
      <w:r>
        <w:rPr>
          <w:rFonts w:ascii="Arial" w:hAnsi="Arial" w:cs="Arial"/>
          <w:color w:val="222222"/>
        </w:rPr>
        <w:t> measures, which rely on the </w:t>
      </w:r>
      <w:r>
        <w:rPr>
          <w:rStyle w:val="Emphasis"/>
          <w:rFonts w:ascii="Arial" w:hAnsi="Arial" w:cs="Arial"/>
          <w:color w:val="111111"/>
        </w:rPr>
        <w:t>Sales MAT</w:t>
      </w:r>
      <w:r>
        <w:rPr>
          <w:rFonts w:ascii="Arial" w:hAnsi="Arial" w:cs="Arial"/>
          <w:color w:val="222222"/>
        </w:rPr>
        <w:t> measure. The </w:t>
      </w:r>
      <w:r>
        <w:rPr>
          <w:rStyle w:val="Emphasis"/>
          <w:rFonts w:ascii="Arial" w:hAnsi="Arial" w:cs="Arial"/>
          <w:color w:val="111111"/>
        </w:rPr>
        <w:t>Sales MAT</w:t>
      </w:r>
      <w:r>
        <w:rPr>
          <w:rFonts w:ascii="Arial" w:hAnsi="Arial" w:cs="Arial"/>
          <w:color w:val="222222"/>
        </w:rPr>
        <w:t xml:space="preserve"> measure provides a correct value one year after the first sale ever (when it collects one full year of data), and it is not protected in case the current </w:t>
      </w:r>
      <w:proofErr w:type="gramStart"/>
      <w:r>
        <w:rPr>
          <w:rFonts w:ascii="Arial" w:hAnsi="Arial" w:cs="Arial"/>
          <w:color w:val="222222"/>
        </w:rPr>
        <w:t>time period</w:t>
      </w:r>
      <w:proofErr w:type="gramEnd"/>
      <w:r>
        <w:rPr>
          <w:rFonts w:ascii="Arial" w:hAnsi="Arial" w:cs="Arial"/>
          <w:color w:val="222222"/>
        </w:rPr>
        <w:t xml:space="preserve"> is shorter than a full year. For example, the amount for the full year 2009 of </w:t>
      </w:r>
      <w:r>
        <w:rPr>
          <w:rStyle w:val="Emphasis"/>
          <w:rFonts w:ascii="Arial" w:hAnsi="Arial" w:cs="Arial"/>
          <w:color w:val="111111"/>
        </w:rPr>
        <w:t>Sales PYMAT</w:t>
      </w:r>
      <w:r>
        <w:rPr>
          <w:rFonts w:ascii="Arial" w:hAnsi="Arial" w:cs="Arial"/>
          <w:color w:val="222222"/>
        </w:rPr>
        <w:t> is 9,927,582.99, which corresponds to the </w:t>
      </w:r>
      <w:r>
        <w:rPr>
          <w:rStyle w:val="Emphasis"/>
          <w:rFonts w:ascii="Arial" w:hAnsi="Arial" w:cs="Arial"/>
          <w:color w:val="111111"/>
        </w:rPr>
        <w:t>Sales Amount</w:t>
      </w:r>
      <w:r>
        <w:rPr>
          <w:rFonts w:ascii="Arial" w:hAnsi="Arial" w:cs="Arial"/>
          <w:color w:val="222222"/>
        </w:rPr>
        <w:t> of 2008 as shown in Figure 17. When compared with sales in 2009, this produces a comparison of less than 8 months – data being only available until August 15, 2009 – with a full year 2008. Similarly, you can see that </w:t>
      </w:r>
      <w:r>
        <w:rPr>
          <w:rStyle w:val="Emphasis"/>
          <w:rFonts w:ascii="Arial" w:hAnsi="Arial" w:cs="Arial"/>
          <w:color w:val="111111"/>
        </w:rPr>
        <w:t>Sales MATG %</w:t>
      </w:r>
      <w:r>
        <w:rPr>
          <w:rFonts w:ascii="Arial" w:hAnsi="Arial" w:cs="Arial"/>
          <w:color w:val="222222"/>
        </w:rPr>
        <w:t xml:space="preserve"> starts in 2008 with very high values and stabilizes after a year. The first values are </w:t>
      </w:r>
      <w:proofErr w:type="gramStart"/>
      <w:r>
        <w:rPr>
          <w:rFonts w:ascii="Arial" w:hAnsi="Arial" w:cs="Arial"/>
          <w:color w:val="222222"/>
        </w:rPr>
        <w:t>due to the effect</w:t>
      </w:r>
      <w:proofErr w:type="gramEnd"/>
      <w:r>
        <w:rPr>
          <w:rFonts w:ascii="Arial" w:hAnsi="Arial" w:cs="Arial"/>
          <w:color w:val="222222"/>
        </w:rPr>
        <w:t xml:space="preserve"> of having no sales in the previous year. This behavior is by design: the moving annual total is usually computed at the month or day granularity to show trends in a chart.</w:t>
      </w:r>
    </w:p>
    <w:p w:rsidR="00875958" w:rsidRDefault="00875958"/>
    <w:p w:rsidR="00C175CB" w:rsidRDefault="00C175CB">
      <w:r>
        <w:rPr>
          <w:noProof/>
        </w:rPr>
        <w:lastRenderedPageBreak/>
        <w:drawing>
          <wp:inline distT="0" distB="0" distL="0" distR="0" wp14:anchorId="2151C558" wp14:editId="1318965D">
            <wp:extent cx="3617404" cy="3390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6763" cy="339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B7" w:rsidRPr="00D63FB7" w:rsidRDefault="00D63FB7" w:rsidP="00D63FB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PYMAT :</w:t>
      </w:r>
      <w:proofErr w:type="gramEnd"/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D63FB7" w:rsidRPr="00D63FB7" w:rsidRDefault="00D63FB7" w:rsidP="00D63FB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D63FB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MonthsInRange</w:t>
      </w:r>
      <w:proofErr w:type="spellEnd"/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D63FB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12</w:t>
      </w:r>
    </w:p>
    <w:p w:rsidR="00D63FB7" w:rsidRPr="00D63FB7" w:rsidRDefault="00D63FB7" w:rsidP="00D63FB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D63FB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LastMonthRange</w:t>
      </w:r>
      <w:proofErr w:type="spellEnd"/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</w:p>
    <w:p w:rsidR="00D63FB7" w:rsidRPr="00D63FB7" w:rsidRDefault="00D63FB7" w:rsidP="00D63FB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    MAX</w:t>
      </w:r>
      <w:r w:rsidRPr="00D63FB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63FB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Date'[Year Month Number]</w:t>
      </w:r>
      <w:r w:rsidRPr="00D63FB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63FB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Pr="00D63FB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MonthsInRange</w:t>
      </w:r>
      <w:proofErr w:type="spellEnd"/>
    </w:p>
    <w:p w:rsidR="00D63FB7" w:rsidRPr="00D63FB7" w:rsidRDefault="00D63FB7" w:rsidP="00D63FB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D63FB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FirstMonthRange</w:t>
      </w:r>
      <w:proofErr w:type="spellEnd"/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</w:p>
    <w:p w:rsidR="00D63FB7" w:rsidRPr="00D63FB7" w:rsidRDefault="00D63FB7" w:rsidP="00D63FB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LastMonthRange</w:t>
      </w:r>
      <w:proofErr w:type="spellEnd"/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 -</w:t>
      </w:r>
      <w:r w:rsidRPr="00D63FB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MonthsInRange</w:t>
      </w:r>
      <w:proofErr w:type="spellEnd"/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 +</w:t>
      </w:r>
      <w:r w:rsidRPr="00D63FB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</w:p>
    <w:p w:rsidR="00D63FB7" w:rsidRPr="00D63FB7" w:rsidRDefault="00D63FB7" w:rsidP="00D63FB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D63FB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Result =</w:t>
      </w:r>
    </w:p>
    <w:p w:rsidR="00D63FB7" w:rsidRPr="00D63FB7" w:rsidRDefault="00D63FB7" w:rsidP="00D63FB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    CALCULATE</w:t>
      </w:r>
      <w:r w:rsidRPr="00D63FB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D63FB7" w:rsidRPr="00D63FB7" w:rsidRDefault="00D63FB7" w:rsidP="00D63FB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        [Sales Amount],</w:t>
      </w:r>
    </w:p>
    <w:p w:rsidR="00D63FB7" w:rsidRPr="00D63FB7" w:rsidRDefault="00D63FB7" w:rsidP="00D63FB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        REMOVEFILTERS</w:t>
      </w:r>
      <w:r w:rsidRPr="00D63FB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63FB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Date'</w:t>
      </w:r>
      <w:r w:rsidRPr="00D63FB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D63FB7" w:rsidRPr="00D63FB7" w:rsidRDefault="00D63FB7" w:rsidP="00D63FB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        'Date'[Year Month Number]</w:t>
      </w:r>
      <w:r w:rsidRPr="00D63FB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&gt;=</w:t>
      </w:r>
      <w:r w:rsidRPr="00D63FB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FirstMonthRange</w:t>
      </w:r>
      <w:proofErr w:type="spellEnd"/>
    </w:p>
    <w:p w:rsidR="00D63FB7" w:rsidRPr="00D63FB7" w:rsidRDefault="00D63FB7" w:rsidP="00D63FB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&amp;&amp; 'Date'[Year Month Number]</w:t>
      </w:r>
      <w:r w:rsidRPr="00D63FB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&lt;=</w:t>
      </w:r>
      <w:r w:rsidRPr="00D63FB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LastMonthRange</w:t>
      </w:r>
      <w:proofErr w:type="spellEnd"/>
    </w:p>
    <w:p w:rsidR="00D63FB7" w:rsidRPr="00D63FB7" w:rsidRDefault="00D63FB7" w:rsidP="00D63FB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D63FB7" w:rsidRPr="00D63FB7" w:rsidRDefault="00D63FB7" w:rsidP="00D63FB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</w:p>
    <w:p w:rsidR="00D63FB7" w:rsidRPr="00D63FB7" w:rsidRDefault="00D63FB7" w:rsidP="00D63FB7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63FB7">
        <w:rPr>
          <w:rFonts w:ascii="Courier New" w:eastAsia="Times New Roman" w:hAnsi="Courier New" w:cs="Courier New"/>
          <w:color w:val="000000"/>
          <w:sz w:val="18"/>
          <w:szCs w:val="18"/>
        </w:rPr>
        <w:t>    Result</w:t>
      </w:r>
      <w:bookmarkStart w:id="0" w:name="_GoBack"/>
      <w:bookmarkEnd w:id="0"/>
    </w:p>
    <w:p w:rsidR="00D63FB7" w:rsidRDefault="00D63FB7">
      <w:r>
        <w:t>or</w:t>
      </w:r>
    </w:p>
    <w:p w:rsidR="002F2D7A" w:rsidRPr="002F2D7A" w:rsidRDefault="002F2D7A" w:rsidP="002F2D7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PYMAT :</w:t>
      </w:r>
      <w:proofErr w:type="gramEnd"/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2F2D7A" w:rsidRPr="002F2D7A" w:rsidRDefault="002F2D7A" w:rsidP="002F2D7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r w:rsidRPr="002F2D7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2F2D7A" w:rsidRPr="002F2D7A" w:rsidRDefault="002F2D7A" w:rsidP="002F2D7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    [</w:t>
      </w:r>
      <w:proofErr w:type="spellStart"/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ShowValueForDates</w:t>
      </w:r>
      <w:proofErr w:type="spellEnd"/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:rsidR="002F2D7A" w:rsidRPr="002F2D7A" w:rsidRDefault="002F2D7A" w:rsidP="002F2D7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    CALCULATE</w:t>
      </w:r>
      <w:r w:rsidRPr="002F2D7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2F2D7A" w:rsidRPr="002F2D7A" w:rsidRDefault="002F2D7A" w:rsidP="002F2D7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        [Sales MAT],</w:t>
      </w:r>
    </w:p>
    <w:p w:rsidR="002F2D7A" w:rsidRPr="002F2D7A" w:rsidRDefault="002F2D7A" w:rsidP="002F2D7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        DATEADD</w:t>
      </w:r>
      <w:r w:rsidRPr="002F2D7A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F2D7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Date'[Date],</w:t>
      </w:r>
      <w:r w:rsidRPr="002F2D7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-1,</w:t>
      </w:r>
      <w:r w:rsidRPr="002F2D7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YEAR</w:t>
      </w:r>
      <w:r w:rsidRPr="002F2D7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2F2D7A" w:rsidRPr="002F2D7A" w:rsidRDefault="002F2D7A" w:rsidP="002F2D7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2F2D7A" w:rsidRPr="002F2D7A" w:rsidRDefault="002F2D7A" w:rsidP="002F2D7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C175CB" w:rsidRDefault="00C175CB"/>
    <w:p w:rsidR="002F2D7A" w:rsidRPr="002F2D7A" w:rsidRDefault="002F2D7A" w:rsidP="002F2D7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MATG :</w:t>
      </w:r>
      <w:proofErr w:type="gramEnd"/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2F2D7A" w:rsidRPr="002F2D7A" w:rsidRDefault="002F2D7A" w:rsidP="002F2D7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2F2D7A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2F2D7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[Sales MAT]</w:t>
      </w:r>
    </w:p>
    <w:p w:rsidR="002F2D7A" w:rsidRPr="002F2D7A" w:rsidRDefault="002F2D7A" w:rsidP="002F2D7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2F2D7A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2F2D7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[Sales PYMAT]</w:t>
      </w:r>
    </w:p>
    <w:p w:rsidR="002F2D7A" w:rsidRPr="002F2D7A" w:rsidRDefault="002F2D7A" w:rsidP="002F2D7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2F2D7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Result =</w:t>
      </w:r>
    </w:p>
    <w:p w:rsidR="002F2D7A" w:rsidRPr="002F2D7A" w:rsidRDefault="002F2D7A" w:rsidP="002F2D7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    IF</w:t>
      </w:r>
      <w:r w:rsidRPr="002F2D7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2F2D7A" w:rsidRPr="002F2D7A" w:rsidRDefault="002F2D7A" w:rsidP="002F2D7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        NOT</w:t>
      </w:r>
      <w:r w:rsidRPr="002F2D7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ISBLANK</w:t>
      </w:r>
      <w:r w:rsidRPr="002F2D7A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F2D7A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proofErr w:type="gramEnd"/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 )</w:t>
      </w:r>
    </w:p>
    <w:p w:rsidR="002F2D7A" w:rsidRPr="002F2D7A" w:rsidRDefault="002F2D7A" w:rsidP="002F2D7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&amp;&amp; NOT</w:t>
      </w:r>
      <w:r w:rsidRPr="002F2D7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ISBLANK</w:t>
      </w:r>
      <w:r w:rsidRPr="002F2D7A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F2D7A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  <w:proofErr w:type="gramEnd"/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 ),</w:t>
      </w:r>
    </w:p>
    <w:p w:rsidR="002F2D7A" w:rsidRPr="002F2D7A" w:rsidRDefault="002F2D7A" w:rsidP="002F2D7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 -</w:t>
      </w:r>
      <w:r w:rsidRPr="002F2D7A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</w:p>
    <w:p w:rsidR="002F2D7A" w:rsidRPr="002F2D7A" w:rsidRDefault="002F2D7A" w:rsidP="002F2D7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2F2D7A" w:rsidRPr="002F2D7A" w:rsidRDefault="002F2D7A" w:rsidP="002F2D7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</w:p>
    <w:p w:rsidR="002F2D7A" w:rsidRPr="002F2D7A" w:rsidRDefault="002F2D7A" w:rsidP="002F2D7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    Result</w:t>
      </w:r>
    </w:p>
    <w:p w:rsidR="002F2D7A" w:rsidRDefault="002F2D7A"/>
    <w:p w:rsidR="002F2D7A" w:rsidRPr="002F2D7A" w:rsidRDefault="002F2D7A" w:rsidP="002F2D7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Sales MATG </w:t>
      </w:r>
      <w:proofErr w:type="gramStart"/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% :</w:t>
      </w:r>
      <w:proofErr w:type="gramEnd"/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2F2D7A" w:rsidRPr="002F2D7A" w:rsidRDefault="002F2D7A" w:rsidP="002F2D7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DIVIDE</w:t>
      </w:r>
      <w:r w:rsidRPr="002F2D7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2F2D7A" w:rsidRPr="002F2D7A" w:rsidRDefault="002F2D7A" w:rsidP="002F2D7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    [Sales MATG],</w:t>
      </w:r>
    </w:p>
    <w:p w:rsidR="002F2D7A" w:rsidRPr="002F2D7A" w:rsidRDefault="002F2D7A" w:rsidP="002F2D7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    [Sales PYMAT]</w:t>
      </w:r>
    </w:p>
    <w:p w:rsidR="002F2D7A" w:rsidRPr="002F2D7A" w:rsidRDefault="002F2D7A" w:rsidP="002F2D7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2F2D7A" w:rsidRDefault="002F2D7A"/>
    <w:p w:rsidR="002F2D7A" w:rsidRDefault="002F2D7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PYMAT</w:t>
      </w:r>
      <w:r>
        <w:rPr>
          <w:rFonts w:ascii="Arial" w:hAnsi="Arial" w:cs="Arial"/>
          <w:color w:val="222222"/>
          <w:shd w:val="clear" w:color="auto" w:fill="FFFFFF"/>
        </w:rPr>
        <w:t> measure can also be written using </w:t>
      </w:r>
      <w:hyperlink r:id="rId9" w:history="1">
        <w:r>
          <w:rPr>
            <w:rStyle w:val="Hyperlink"/>
            <w:rFonts w:ascii="Arial" w:hAnsi="Arial" w:cs="Arial"/>
            <w:b/>
            <w:bCs/>
            <w:color w:val="000000"/>
            <w:shd w:val="clear" w:color="auto" w:fill="FFFFFF"/>
          </w:rPr>
          <w:t>SAMEPERIODLASTYEAR</w:t>
        </w:r>
      </w:hyperlink>
      <w:r>
        <w:rPr>
          <w:rFonts w:ascii="Arial" w:hAnsi="Arial" w:cs="Arial"/>
          <w:color w:val="222222"/>
          <w:shd w:val="clear" w:color="auto" w:fill="FFFFFF"/>
        </w:rPr>
        <w:t> as in the following example, which internally uses </w:t>
      </w:r>
      <w:hyperlink r:id="rId10" w:history="1">
        <w:r>
          <w:rPr>
            <w:rStyle w:val="Hyperlink"/>
            <w:rFonts w:ascii="Arial" w:hAnsi="Arial" w:cs="Arial"/>
            <w:b/>
            <w:bCs/>
            <w:color w:val="000000"/>
            <w:shd w:val="clear" w:color="auto" w:fill="FFFFFF"/>
          </w:rPr>
          <w:t>DATEADD</w:t>
        </w:r>
      </w:hyperlink>
      <w:r>
        <w:rPr>
          <w:rFonts w:ascii="Arial" w:hAnsi="Arial" w:cs="Arial"/>
          <w:color w:val="222222"/>
          <w:shd w:val="clear" w:color="auto" w:fill="FFFFFF"/>
        </w:rPr>
        <w:t> as in the previous example:</w:t>
      </w:r>
    </w:p>
    <w:p w:rsidR="002F2D7A" w:rsidRPr="002F2D7A" w:rsidRDefault="002F2D7A" w:rsidP="002F2D7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Sales PYMAT (2</w:t>
      </w:r>
      <w:proofErr w:type="gramStart"/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F2D7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gramEnd"/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2F2D7A" w:rsidRPr="002F2D7A" w:rsidRDefault="002F2D7A" w:rsidP="002F2D7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r w:rsidRPr="002F2D7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2F2D7A" w:rsidRPr="002F2D7A" w:rsidRDefault="002F2D7A" w:rsidP="002F2D7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    [</w:t>
      </w:r>
      <w:proofErr w:type="spellStart"/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ShowValueForDates</w:t>
      </w:r>
      <w:proofErr w:type="spellEnd"/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:rsidR="002F2D7A" w:rsidRPr="002F2D7A" w:rsidRDefault="002F2D7A" w:rsidP="002F2D7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    CALCULATE</w:t>
      </w:r>
      <w:r w:rsidRPr="002F2D7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2F2D7A" w:rsidRPr="002F2D7A" w:rsidRDefault="002F2D7A" w:rsidP="002F2D7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        [Sales MAT],</w:t>
      </w:r>
    </w:p>
    <w:p w:rsidR="002F2D7A" w:rsidRPr="002F2D7A" w:rsidRDefault="002F2D7A" w:rsidP="002F2D7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        SAMEPERIODLASTYEAR</w:t>
      </w:r>
      <w:r w:rsidRPr="002F2D7A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F2D7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Date'[Date]</w:t>
      </w:r>
      <w:r w:rsidRPr="002F2D7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2F2D7A" w:rsidRPr="002F2D7A" w:rsidRDefault="002F2D7A" w:rsidP="002F2D7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2F2D7A" w:rsidRPr="002F2D7A" w:rsidRDefault="002F2D7A" w:rsidP="002F2D7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F2D7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2F2D7A" w:rsidRDefault="002F2D7A"/>
    <w:p w:rsidR="002F2D7A" w:rsidRDefault="002F2D7A"/>
    <w:sectPr w:rsidR="002F2D7A" w:rsidSect="00875958">
      <w:pgSz w:w="12240" w:h="15840"/>
      <w:pgMar w:top="108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56"/>
    <w:rsid w:val="002F2D7A"/>
    <w:rsid w:val="00875958"/>
    <w:rsid w:val="00B33AC7"/>
    <w:rsid w:val="00BD6C91"/>
    <w:rsid w:val="00C175CB"/>
    <w:rsid w:val="00D37856"/>
    <w:rsid w:val="00D6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0A29"/>
  <w15:chartTrackingRefBased/>
  <w15:docId w15:val="{D887FCAF-6695-4117-BFFA-B7CB34E2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78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785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7595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95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7595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17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8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4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dax.guide/month/?aff=dax-pattern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x.guide/datesinperiod/?aff=dax-pattern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x.guide/datesinperiod/?aff=dax-patterns" TargetMode="External"/><Relationship Id="rId10" Type="http://schemas.openxmlformats.org/officeDocument/2006/relationships/hyperlink" Target="https://dax.guide/dateadd/?aff=dax-pattern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ax.guide/sameperiodlastyear/?aff=dax-patter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Mladenovska-Sarkisian Katerina</dc:creator>
  <cp:keywords/>
  <dc:description/>
  <cp:lastModifiedBy>Mladenovska-Sarkisian Katerina</cp:lastModifiedBy>
  <cp:revision>6</cp:revision>
  <dcterms:created xsi:type="dcterms:W3CDTF">2023-08-27T16:42:00Z</dcterms:created>
  <dcterms:modified xsi:type="dcterms:W3CDTF">2023-08-27T17:19:00Z</dcterms:modified>
</cp:coreProperties>
</file>