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32"/>
          <w:szCs w:val="32"/>
        </w:rPr>
        <w:t xml:space="preserve">Đánh giá Toàn diện Đa kịch bản QMAODV: Giao thức Định tuyến Đa đường dựa trên Q-learning trong FANET</w:t>
      </w:r>
    </w:p>
    <w:p>
      <w:pPr>
        <w:spacing w:after="120"/>
        <w:jc w:val="center"/>
      </w:pPr>
      <w:r>
        <w:rPr>
          <w:sz w:val="22"/>
          <w:szCs w:val="22"/>
        </w:rPr>
        <w:t xml:space="preserve">Lê Trọng Hiên, Trần Thị Minh Khoa, Ngô Hữu Dũng</w:t>
      </w:r>
    </w:p>
    <w:p>
      <w:pPr>
        <w:spacing w:after="240"/>
        <w:jc w:val="center"/>
      </w:pPr>
      <w:r>
        <w:rPr>
          <w:i/>
          <w:iCs/>
          <w:sz w:val="20"/>
          <w:szCs w:val="20"/>
        </w:rPr>
        <w:t xml:space="preserve">Trường Đại học Công nghiệp TP. Hồ Chí Minh, Việt Nam
{letronghien, ttmkhoa, ngohuudung}@iuh.edu.vn</w:t>
      </w:r>
    </w:p>
    <w:p>
      <w:pPr>
        <w:pStyle w:val="Heading1"/>
      </w:pPr>
      <w:r>
        <w:t xml:space="preserve">Tóm tắt</w:t>
      </w:r>
    </w:p>
    <w:p>
      <w:pPr>
        <w:spacing w:after="120"/>
        <w:jc w:val="both"/>
      </w:pPr>
      <w:r>
        <w:rPr>
          <w:sz w:val="22"/>
          <w:szCs w:val="22"/>
        </w:rPr>
        <w:t xml:space="preserve">Giao thức QMAODV được đề xuất tại ICIT 2025 [17] kết hợp định tuyến đa đường với học tăng cường Q-learning để cải thiện độ tin cậy và khả năng thích ứng trong môi trường mạng UAV (FANET). Tuy nhiên, đánh giá ban đầu chỉ tiến hành trên một kịch bản đơn lẻ với tham số học cố định, chưa khảo sát đầy đủ vùng vận hành (operating envelope) lẫn vùng tối ưu của không gian siêu tham số. Bài báo này tiến hành đánh giá toàn diện QMAODV qua sáu họ kịch bản trên ns-3.40: (i) Family H — sweep siêu tham số học (180 cấu hình × 3 seed = 540 lượt chạy) để xác định bộ tham số tối ưu, sau đó (ii-vi) năm họ vận hành N, L, S, P, F để khảo sát hiệu năng trên các chiều mạng khác nhau với bộ tham số đã tinh chỉnh. Bốn giao thức được so sánh là AODV, AOMDV-3, PMAODV-3 [5] và QMAODV-3 [17]. Kết quả thực nghiệm trên 2400+ lượt mô phỏng cho thấy bộ tham số Strategy B (α=0,7, γ=0,6, ε=0,3, decay=0,1) đạt PDR cao nhất 49,60 % tại N=15, vượt cấu hình mặc định trước đây (Strategy A) khoảng 7 điểm phần trăm. Áp dụng vào năm họ kịch bản, QMAODV-3 đạt PDR đỉnh 50,92 % trong Family L (vượt 50 % lần đầu) và dẫn đầu các baseline AODV/AOMDV/PMAODV trong bốn họ N, L, S, P với khoảng cách trung bình 4-9 điểm phần trăm. Tuy nhiên, QMAODV vẫn kém các baseline 4-13 điểm phần trăm trong Family F (đa luồng đồng thời), bộc lộ giới hạn intrinsic của tabular Q-learning trong môi trường đa-destination.</w:t>
      </w:r>
    </w:p>
    <w:p>
      <w:pPr>
        <w:spacing w:after="120"/>
        <w:jc w:val="both"/>
      </w:pPr>
      <w:r>
        <w:rPr>
          <w:b/>
          <w:bCs/>
          <w:sz w:val="22"/>
          <w:szCs w:val="22"/>
        </w:rPr>
        <w:t xml:space="preserve">Từ khoá: </w:t>
      </w:r>
      <w:r>
        <w:rPr>
          <w:sz w:val="22"/>
          <w:szCs w:val="22"/>
        </w:rPr>
        <w:t xml:space="preserve">FANET, định tuyến đa đường, Q-learning, AODV, QMAODV, ad-hoc, UAV, hyperparameter tuning, đánh giá hiệu năng.</w:t>
      </w:r>
    </w:p>
    <w:p>
      <w:pPr>
        <w:pStyle w:val="Heading1"/>
      </w:pPr>
      <w:r>
        <w:t xml:space="preserve">1. Giới thiệu</w:t>
      </w:r>
    </w:p>
    <w:p>
      <w:pPr>
        <w:spacing w:after="120"/>
        <w:jc w:val="both"/>
      </w:pPr>
      <w:r>
        <w:rPr>
          <w:sz w:val="22"/>
          <w:szCs w:val="22"/>
        </w:rPr>
        <w:t xml:space="preserve">Mạng ad-hoc bay (FANET — Flying Ad-hoc Network) là một dạng đặc biệt của mạng MANET được hình thành bởi các thiết bị bay không người lái (UAV) [10]. Khác với MANET truyền thống, FANET có ba đặc trưng then chốt: (i) các UAV di chuyển với tốc độ cao trong không gian ba chiều, (ii) topology mạng thay đổi liên tục với tần suất link gãy lớn, và (iii) bộ nhớ-năng lượng của thiết bị hạn chế. Các đặc trưng này khiến những giao thức định tuyến cổ điển như AODV [1], DSDV [3] hay DSR [2] khó duy trì hiệu năng ổn định trong môi trường FANET động cao.</w:t>
      </w:r>
    </w:p>
    <w:p>
      <w:pPr>
        <w:spacing w:after="120"/>
        <w:jc w:val="both"/>
      </w:pPr>
      <w:r>
        <w:rPr>
          <w:sz w:val="22"/>
          <w:szCs w:val="22"/>
        </w:rPr>
        <w:t xml:space="preserve">Để nâng cao độ tin cậy, các phương pháp định tuyến đa đường (multipath routing) như AOMDV [4] và PMAODV [5] đã được đề xuất, cho phép duy trì nhiều route dự phòng đến đích, giảm tần suất re-discovery khi link gãy. Tuy nhiên, các phương pháp này vẫn dựa trên tiêu chí tĩnh (số hop hoặc xác suất cố định) khi chọn next-hop, không phản ánh được điều kiện mạng theo thời gian thực.</w:t>
      </w:r>
    </w:p>
    <w:p>
      <w:pPr>
        <w:spacing w:after="120"/>
        <w:jc w:val="both"/>
      </w:pPr>
      <w:r>
        <w:rPr>
          <w:sz w:val="22"/>
          <w:szCs w:val="22"/>
        </w:rPr>
        <w:t xml:space="preserve">Học tăng cường (reinforcement learning — RL), cụ thể là Q-learning [6], đã được nghiên cứu rộng rãi trong các giao thức định tuyến mới với mục tiêu để mỗi node tự học cách chọn next-hop tối ưu dựa trên feedback cục bộ (ACK, delay, link quality). QMAODV [17] đề xuất gần đây kết hợp Q-learning với multipath, đã chứng minh tiềm năng trong một kịch bản tham chiếu. Tuy nhiên, do giới hạn không gian, bài báo gốc chưa khảo sát đầy đủ hai khía cạnh quan trọng: (a) sensitivity của QMAODV với bộ siêu tham số học (α, γ, ε, decay) và (b) vùng vận hành tối ưu qua các điều kiện mạng đa dạng.</w:t>
      </w:r>
    </w:p>
    <w:p>
      <w:pPr>
        <w:spacing w:after="120"/>
        <w:jc w:val="both"/>
      </w:pPr>
      <w:r>
        <w:rPr>
          <w:sz w:val="22"/>
          <w:szCs w:val="22"/>
        </w:rPr>
        <w:t xml:space="preserve">Bài báo này lấp khoảng trống đó qua bốn đóng góp chính:</w:t>
      </w:r>
    </w:p>
    <w:p>
      <w:pPr>
        <w:pStyle w:val="ListParagraph"/>
        <w:numPr>
          <w:ilvl w:val="0"/>
          <w:numId w:val="2"/>
        </w:numPr>
        <w:spacing w:after="60"/>
      </w:pPr>
      <w:r>
        <w:rPr>
          <w:sz w:val="22"/>
          <w:szCs w:val="22"/>
        </w:rPr>
        <w:t xml:space="preserve">Thiết kế và thực hiện Family H — sweep siêu tham số học của QMAODV qua 180 cấu hình (4 α × 5 γ × 3 ε × 3 decay), xác định bộ tham số tối ưu Strategy B (α=0,7, γ=0,6, ε=0,3, decay=0,1) với PDR cao nhất 49,60 % tại N=15.</w:t>
      </w:r>
    </w:p>
    <w:p>
      <w:pPr>
        <w:pStyle w:val="ListParagraph"/>
        <w:numPr>
          <w:ilvl w:val="0"/>
          <w:numId w:val="2"/>
        </w:numPr>
        <w:spacing w:after="60"/>
      </w:pPr>
      <w:r>
        <w:rPr>
          <w:sz w:val="22"/>
          <w:szCs w:val="22"/>
        </w:rPr>
        <w:t xml:space="preserve">Áp dụng Strategy B vào năm họ kịch bản vận hành: (i) Family N — mật độ 5-30 UAV; (ii) Family L — tải 1-20 pps; (iii) Family S — tốc độ 5-70 m/s; (iv) Family P — kích thước gói 64-1500 B; (v) Family F — số luồng đồng thời 1-7. Tổng 1860 lượt chạy.</w:t>
      </w:r>
    </w:p>
    <w:p>
      <w:pPr>
        <w:pStyle w:val="ListParagraph"/>
        <w:numPr>
          <w:ilvl w:val="0"/>
          <w:numId w:val="2"/>
        </w:numPr>
        <w:spacing w:after="60"/>
      </w:pPr>
      <w:r>
        <w:rPr>
          <w:sz w:val="22"/>
          <w:szCs w:val="22"/>
        </w:rPr>
        <w:t xml:space="preserve">Xác lập vùng vận hành tối ưu: QMAODV với Strategy B đạt PDR cao hơn AODV/AOMDV/PMAODV trung bình 4-9 điểm phần trăm trong bốn họ N, L, S, P. Trong Family L, PDR đỉnh đạt 50,92 % tại tải nhẹ — lần đầu vượt 50 % với 4 protocol so sánh.</w:t>
      </w:r>
    </w:p>
    <w:p>
      <w:pPr>
        <w:pStyle w:val="ListParagraph"/>
        <w:numPr>
          <w:ilvl w:val="0"/>
          <w:numId w:val="2"/>
        </w:numPr>
        <w:spacing w:after="60"/>
      </w:pPr>
      <w:r>
        <w:rPr>
          <w:sz w:val="22"/>
          <w:szCs w:val="22"/>
        </w:rPr>
        <w:t xml:space="preserve">Phân tích trung thực giới hạn: Family F bộc lộ Q-learning kém các baseline trong kịch bản đa luồng đồng thời. Khuyến nghị triển khai cụ thể được rút ra dựa trên data thực nghiệm.</w:t>
      </w:r>
    </w:p>
    <w:p>
      <w:pPr>
        <w:spacing w:after="120"/>
        <w:jc w:val="both"/>
      </w:pPr>
      <w:r>
        <w:rPr>
          <w:sz w:val="22"/>
          <w:szCs w:val="22"/>
        </w:rPr>
        <w:t xml:space="preserve">Phần còn lại của bài báo được tổ chức như sau. Mục 2 trình bày các nghiên cứu liên quan. Mục 3 nhắc lại tóm tắt thiết kế QMAODV. Mục 4 mô tả phương pháp thực nghiệm, bao gồm quy trình tuning siêu tham số. Mục 5 trình bày kết quả qua sáu họ kịch bản (Family H tuning + năm họ vận hành). Mục 6 thảo luận. Mục 7 kết luận.</w:t>
      </w:r>
    </w:p>
    <w:p>
      <w:pPr>
        <w:pStyle w:val="Heading1"/>
      </w:pPr>
      <w:r>
        <w:t xml:space="preserve">2. Các nghiên cứu liên quan</w:t>
      </w:r>
    </w:p>
    <w:p>
      <w:pPr>
        <w:spacing w:after="120"/>
        <w:jc w:val="both"/>
      </w:pPr>
      <w:r>
        <w:rPr>
          <w:sz w:val="22"/>
          <w:szCs w:val="22"/>
        </w:rPr>
        <w:t xml:space="preserve">Định tuyến trong MANET và FANET đã được nghiên cứu sâu rộng, với hai nhóm chính dựa trên cơ chế hoạt động: chủ động (proactive) và phản ứng (reactive). Các giao thức proactive như DSDV [3] duy trì bảng định tuyến qua các cập nhật định kỳ, mang lại độ trễ chuyển tiếp thấp nhưng chi phí điều khiển cao. Ngược lại, các giao thức reactive như AODV [1] và DSR [2] chỉ thiết lập tuyến khi cần, giảm overhead nhưng tăng độ trễ trong giai đoạn khám phá.</w:t>
      </w:r>
    </w:p>
    <w:p>
      <w:pPr>
        <w:spacing w:after="120"/>
        <w:jc w:val="both"/>
      </w:pPr>
      <w:r>
        <w:rPr>
          <w:sz w:val="22"/>
          <w:szCs w:val="22"/>
        </w:rPr>
        <w:t xml:space="preserve">Để cải thiện độ tin cậy và cân bằng tải, các giao thức định tuyến đa đường được phát triển. AOMDV [4] mở rộng AODV bằng cách duy trì nhiều tuyến không trùng đến cùng đích. PMAODV [5] kế thừa ý tưởng đa đường và bổ sung cơ chế chọn next-hop theo xác suất nghịch số hop. Tuy nhiên cả hai vẫn dùng tiêu chí tĩnh, không phản ánh điều kiện mạng theo thời gian thực.</w:t>
      </w:r>
    </w:p>
    <w:p>
      <w:pPr>
        <w:spacing w:after="120"/>
        <w:jc w:val="both"/>
      </w:pPr>
      <w:r>
        <w:rPr>
          <w:sz w:val="22"/>
          <w:szCs w:val="22"/>
        </w:rPr>
        <w:t xml:space="preserve">Trong nỗ lực vượt qua giới hạn của các chiến lược tĩnh, học tăng cường được tích hợp vào bài toán định tuyến. Q-routing [6] là một trong những nghiên cứu tiên phong, sử dụng Q-learning để ước lượng độ trễ kỳ vọng đến đích qua từng neighbor. Các giao thức tiếp theo như QLAODV [8] và RL-AODV [11] mở rộng cách tiếp cận này. Trong bối cảnh FANET, nhiều nghiên cứu đã chỉ ra rằng RL có thể cải thiện hiệu năng trong môi trường động bằng cách cho phép các node thích ứng với biến đổi mạng [7], [12], [13].</w:t>
      </w:r>
    </w:p>
    <w:p>
      <w:pPr>
        <w:spacing w:after="120"/>
        <w:jc w:val="both"/>
      </w:pPr>
      <w:r>
        <w:rPr>
          <w:sz w:val="22"/>
          <w:szCs w:val="22"/>
        </w:rPr>
        <w:t xml:space="preserve">Một vấn đề chung của các giao thức RL-routing là tính nhạy với siêu tham số. Hầu hết các bài báo công bố một bộ tham số duy nhất (thường thông qua tuning ad-hoc) mà không trình bày đầy đủ phân tích sensitivity [18], [19]. QMAODV [17] đứng ở giao thoa giữa multipath và Q-learning, nhưng cũng chưa được khảo sát sensitivity đầy đủ — đây là động lực chính của bài báo hiện tại.</w:t>
      </w:r>
    </w:p>
    <w:p>
      <w:pPr>
        <w:pStyle w:val="Heading1"/>
      </w:pPr>
      <w:r>
        <w:t xml:space="preserve">3. Tóm tắt thiết kế QMAODV</w:t>
      </w:r>
    </w:p>
    <w:p>
      <w:pPr>
        <w:spacing w:after="120"/>
        <w:jc w:val="both"/>
      </w:pPr>
      <w:r>
        <w:rPr>
          <w:sz w:val="22"/>
          <w:szCs w:val="22"/>
        </w:rPr>
        <w:t xml:space="preserve">Phần này tóm tắt thiết kế cơ bản của QMAODV [17] để bài báo tự đầy đủ.</w:t>
      </w:r>
    </w:p>
    <w:p>
      <w:pPr>
        <w:pStyle w:val="Heading2"/>
      </w:pPr>
      <w:r>
        <w:t xml:space="preserve">3.1 Cấu trúc đa đường</w:t>
      </w:r>
    </w:p>
    <w:p>
      <w:pPr>
        <w:spacing w:after="120"/>
        <w:jc w:val="both"/>
      </w:pPr>
      <w:r>
        <w:rPr>
          <w:sz w:val="22"/>
          <w:szCs w:val="22"/>
        </w:rPr>
        <w:t xml:space="preserve">QMAODV kế thừa cấu trúc routing table đa đường từ AOMDV [4]. Mỗi node có thể duy trì tối đa K = 3 next-hop ứng viên đến cùng đích. Trong giai đoạn khám phá tuyến, nhiều RREP trở về từ các đường khác nhau được lưu trữ thay vì chỉ giữ lại tuyến ngắn nhất.</w:t>
      </w:r>
    </w:p>
    <w:p>
      <w:pPr>
        <w:pStyle w:val="Heading2"/>
      </w:pPr>
      <w:r>
        <w:t xml:space="preserve">3.2 Mô hình Q-learning</w:t>
      </w:r>
    </w:p>
    <w:p>
      <w:pPr>
        <w:spacing w:after="120"/>
        <w:jc w:val="both"/>
      </w:pPr>
      <w:r>
        <w:rPr>
          <w:sz w:val="22"/>
          <w:szCs w:val="22"/>
        </w:rPr>
        <w:t xml:space="preserve">QMAODV mô hình bài toán định tuyến như quá trình ra quyết định Markov: trạng thái s là node đích, hành động a là next-hop được chọn. Q-value Q(s, a) được cập nhật theo công thức Bellman:</w:t>
      </w:r>
    </w:p>
    <w:p>
      <w:pPr>
        <w:spacing w:after="120"/>
        <w:jc w:val="both"/>
      </w:pPr>
      <w:r>
        <w:rPr>
          <w:i/>
          <w:iCs/>
          <w:sz w:val="22"/>
          <w:szCs w:val="22"/>
        </w:rPr>
        <w:t xml:space="preserve">    Q(s, a) ← (1 − α) Q(s, a) + α [r + γ · max</w:t>
      </w:r>
      <w:r>
        <w:rPr>
          <w:i/>
          <w:iCs/>
          <w:sz w:val="22"/>
          <w:szCs w:val="22"/>
          <w:vertAlign w:val="superscript"/>
        </w:rPr>
        <w:t xml:space="preserve">a'</w:t>
      </w:r>
      <w:r>
        <w:rPr>
          <w:i/>
          <w:iCs/>
          <w:sz w:val="22"/>
          <w:szCs w:val="22"/>
        </w:rPr>
        <w:t xml:space="preserve"> Q(s, a')]</w:t>
      </w:r>
    </w:p>
    <w:p>
      <w:pPr>
        <w:spacing w:after="120"/>
        <w:jc w:val="both"/>
      </w:pPr>
      <w:r>
        <w:rPr>
          <w:sz w:val="22"/>
          <w:szCs w:val="22"/>
        </w:rPr>
        <w:t xml:space="preserve">trong đó α là learning rate, γ là discount factor, r là reward tức thời. Reward được tính từ tín hiệu ACK và delay theo:</w:t>
      </w:r>
    </w:p>
    <w:p>
      <w:pPr>
        <w:spacing w:after="120"/>
        <w:jc w:val="both"/>
      </w:pPr>
      <w:r>
        <w:rPr>
          <w:i/>
          <w:iCs/>
          <w:sz w:val="22"/>
          <w:szCs w:val="22"/>
        </w:rPr>
        <w:t xml:space="preserve">    r = w</w:t>
      </w:r>
      <w:r>
        <w:rPr>
          <w:i/>
          <w:iCs/>
          <w:sz w:val="22"/>
          <w:szCs w:val="22"/>
          <w:vertAlign w:val="subscript"/>
        </w:rPr>
        <w:t xml:space="preserve">1</w:t>
      </w:r>
      <w:r>
        <w:rPr>
          <w:i/>
          <w:iCs/>
          <w:sz w:val="22"/>
          <w:szCs w:val="22"/>
        </w:rPr>
        <w:t xml:space="preserve"> · ACK</w:t>
      </w:r>
      <w:r>
        <w:rPr>
          <w:i/>
          <w:iCs/>
          <w:sz w:val="22"/>
          <w:szCs w:val="22"/>
          <w:vertAlign w:val="subscript"/>
        </w:rPr>
        <w:t xml:space="preserve">success</w:t>
      </w:r>
      <w:r>
        <w:rPr>
          <w:i/>
          <w:iCs/>
          <w:sz w:val="22"/>
          <w:szCs w:val="22"/>
        </w:rPr>
        <w:t xml:space="preserve"> + w</w:t>
      </w:r>
      <w:r>
        <w:rPr>
          <w:i/>
          <w:iCs/>
          <w:sz w:val="22"/>
          <w:szCs w:val="22"/>
          <w:vertAlign w:val="subscript"/>
        </w:rPr>
        <w:t xml:space="preserve">2</w:t>
      </w:r>
      <w:r>
        <w:rPr>
          <w:i/>
          <w:iCs/>
          <w:sz w:val="22"/>
          <w:szCs w:val="22"/>
        </w:rPr>
        <w:t xml:space="preserve"> · (1 / (delay + 1))</w:t>
      </w:r>
    </w:p>
    <w:p>
      <w:pPr>
        <w:pStyle w:val="Heading2"/>
      </w:pPr>
      <w:r>
        <w:t xml:space="preserve">3.3 Chiến lược ε-greedy</w:t>
      </w:r>
    </w:p>
    <w:p>
      <w:pPr>
        <w:spacing w:after="120"/>
        <w:jc w:val="both"/>
      </w:pPr>
      <w:r>
        <w:rPr>
          <w:sz w:val="22"/>
          <w:szCs w:val="22"/>
        </w:rPr>
        <w:t xml:space="preserve">Khi chọn next-hop cho gói tin, QMAODV sử dụng chính sách ε-greedy: với xác suất ε chọn ngẫu nhiên một next-hop từ tập ứng viên (exploration), ngược lại chọn next-hop có Q-value cao nhất (exploitation). Giá trị ε giảm dần theo thời gian (epsilon decay) để chuyển từ exploration sang exploitation khi Q-table hội tụ.</w:t>
      </w:r>
    </w:p>
    <w:p>
      <w:pPr>
        <w:pStyle w:val="Heading2"/>
      </w:pPr>
      <w:r>
        <w:t xml:space="preserve">3.4 Bộ siêu tham số sử dụng</w:t>
      </w:r>
    </w:p>
    <w:p>
      <w:pPr>
        <w:spacing w:after="120"/>
        <w:jc w:val="both"/>
      </w:pPr>
      <w:r>
        <w:rPr>
          <w:sz w:val="22"/>
          <w:szCs w:val="22"/>
        </w:rPr>
        <w:t xml:space="preserve">Trong bài báo này, QMAODV được cấu hình theo Strategy B (xác định qua Family H tuning, xem Mục 5.1): α = 0,7, γ = 0,6, ε khởi tạo = 0,3, epsilon-decay = 0,1/giây. Số đường tối đa K = 3.</w:t>
      </w:r>
    </w:p>
    <w:p>
      <w:pPr>
        <w:pStyle w:val="Heading1"/>
      </w:pPr>
      <w:r>
        <w:t xml:space="preserve">4. Phương pháp thực nghiệm</w:t>
      </w:r>
    </w:p>
    <w:p>
      <w:pPr>
        <w:pStyle w:val="Heading2"/>
      </w:pPr>
      <w:r>
        <w:t xml:space="preserve">4.1 Môi trường mô phỏng</w:t>
      </w:r>
    </w:p>
    <w:p>
      <w:pPr>
        <w:spacing w:after="120"/>
        <w:jc w:val="both"/>
      </w:pPr>
      <w:r>
        <w:rPr>
          <w:sz w:val="22"/>
          <w:szCs w:val="22"/>
        </w:rPr>
        <w:t xml:space="preserve">Tất cả các thực nghiệm được thực hiện trên ns-3.40, sử dụng module AODV chuẩn làm nền và các module tự phát triển cho AOMDV, PMAODV, QMAODV. Cấu hình baseline gồm: vùng địa lý 1000 × 1000 m² với cao độ bay 300 m; mô hình di động Gauss-Markov 3D với hệ số tương quan α = 0,85 và vận tốc 15-25 m/s; chuẩn vô tuyến IEEE 802.11 với hàng đợi DropTail mặc định; mô hình năng lượng cơ bản của ns-3 với 50 J/UAV ban đầu. Tải lưu lượng baseline là CBR 16 kbps/nguồn (pktInterval = 0,25 giây, kích thước gói 512 byte), một flow duy nhất từ N-1 source về sink 0. Thời gian mô phỏng 200 giây cho mỗi lượt chạy.</w:t>
      </w:r>
    </w:p>
    <w:p>
      <w:pPr>
        <w:pStyle w:val="Heading2"/>
      </w:pPr>
      <w:r>
        <w:t xml:space="preserve">4.2 Bốn giao thức so sánh</w:t>
      </w:r>
    </w:p>
    <w:p>
      <w:pPr>
        <w:spacing w:after="120"/>
        <w:jc w:val="both"/>
      </w:pPr>
      <w:r>
        <w:rPr>
          <w:sz w:val="22"/>
          <w:szCs w:val="22"/>
        </w:rPr>
        <w:t xml:space="preserve">Bốn giao thức được đánh giá: AODV (đơn đường), AOMDV-3 (đa đường K=3 với chọn route mới nhất), PMAODV-3 (đa đường K=3 với xác suất nghịch số hop), QMAODV-3 (đa đường K=3 với ε-greedy dựa trên Q-table).</w:t>
      </w:r>
    </w:p>
    <w:p>
      <w:pPr>
        <w:pStyle w:val="Heading2"/>
      </w:pPr>
      <w:r>
        <w:t xml:space="preserve">4.3 Sáu họ kịch bản</w:t>
      </w:r>
    </w:p>
    <w:p>
      <w:pPr>
        <w:spacing w:after="120"/>
        <w:jc w:val="both"/>
      </w:pPr>
      <w:r>
        <w:rPr>
          <w:sz w:val="22"/>
          <w:szCs w:val="22"/>
        </w:rPr>
        <w:t xml:space="preserve">Để đánh giá vùng vận hành toàn diện cùng với việc xác định bộ siêu tham số tối ưu, sáu họ kịch bản được thiết kế:</w:t>
      </w:r>
    </w:p>
    <w:p>
      <w:pPr>
        <w:pStyle w:val="ListParagraph"/>
        <w:numPr>
          <w:ilvl w:val="0"/>
          <w:numId w:val="2"/>
        </w:numPr>
        <w:spacing w:after="60"/>
      </w:pPr>
      <w:r>
        <w:rPr>
          <w:sz w:val="22"/>
          <w:szCs w:val="22"/>
        </w:rPr>
        <w:t xml:space="preserve">Family H (hyperparameter tuning, QMAODV only): grid α × γ × ε × decay = 4 × 5 × 3 × 3 = 180 cấu hình tại N=15, mỗi cấu hình 3 seed. Tổng 540 lượt chạy.</w:t>
      </w:r>
    </w:p>
    <w:p>
      <w:pPr>
        <w:pStyle w:val="ListParagraph"/>
        <w:numPr>
          <w:ilvl w:val="0"/>
          <w:numId w:val="2"/>
        </w:numPr>
        <w:spacing w:after="60"/>
      </w:pPr>
      <w:r>
        <w:rPr>
          <w:sz w:val="22"/>
          <w:szCs w:val="22"/>
        </w:rPr>
        <w:t xml:space="preserve">Family N (mật độ): N ∈ {5, 8, 10, 12, 15, 18, 20, 25, 30} UAV, áp dụng Strategy B. 540 lượt chạy.</w:t>
      </w:r>
    </w:p>
    <w:p>
      <w:pPr>
        <w:pStyle w:val="ListParagraph"/>
        <w:numPr>
          <w:ilvl w:val="0"/>
          <w:numId w:val="2"/>
        </w:numPr>
        <w:spacing w:after="60"/>
      </w:pPr>
      <w:r>
        <w:rPr>
          <w:sz w:val="22"/>
          <w:szCs w:val="22"/>
        </w:rPr>
        <w:t xml:space="preserve">Family L (tải): pktInterval ∈ {1,0; 0,5; 0,25; 0,1; 0,05} giây (1-20 pps). 300 lượt chạy.</w:t>
      </w:r>
    </w:p>
    <w:p>
      <w:pPr>
        <w:pStyle w:val="ListParagraph"/>
        <w:numPr>
          <w:ilvl w:val="0"/>
          <w:numId w:val="2"/>
        </w:numPr>
        <w:spacing w:after="60"/>
      </w:pPr>
      <w:r>
        <w:rPr>
          <w:sz w:val="22"/>
          <w:szCs w:val="22"/>
        </w:rPr>
        <w:t xml:space="preserve">Family S (mobility): vận tốc tối đa ∈ {5, 10, 20, 30, 50, 70} m/s. 360 lượt chạy.</w:t>
      </w:r>
    </w:p>
    <w:p>
      <w:pPr>
        <w:pStyle w:val="ListParagraph"/>
        <w:numPr>
          <w:ilvl w:val="0"/>
          <w:numId w:val="2"/>
        </w:numPr>
        <w:spacing w:after="60"/>
      </w:pPr>
      <w:r>
        <w:rPr>
          <w:sz w:val="22"/>
          <w:szCs w:val="22"/>
        </w:rPr>
        <w:t xml:space="preserve">Family P (kích thước gói): pktSize ∈ {64, 128, 256, 512, 1024, 1500} byte. 360 lượt chạy.</w:t>
      </w:r>
    </w:p>
    <w:p>
      <w:pPr>
        <w:pStyle w:val="ListParagraph"/>
        <w:numPr>
          <w:ilvl w:val="0"/>
          <w:numId w:val="2"/>
        </w:numPr>
        <w:spacing w:after="60"/>
      </w:pPr>
      <w:r>
        <w:rPr>
          <w:sz w:val="22"/>
          <w:szCs w:val="22"/>
        </w:rPr>
        <w:t xml:space="preserve">Family F (concurrent flows): số luồng đồng thời ∈ {1, 2, 3, 5, 7}. 300 lượt chạy.</w:t>
      </w:r>
    </w:p>
    <w:p>
      <w:pPr>
        <w:spacing w:after="120"/>
        <w:jc w:val="both"/>
      </w:pPr>
      <w:r>
        <w:rPr>
          <w:sz w:val="22"/>
          <w:szCs w:val="22"/>
        </w:rPr>
        <w:t xml:space="preserve">Tổng cộng 2400 lượt mô phỏng được thực hiện trên hạ tầng cloud 8 vCPU với 7 jobs song song, thời gian thực hiện ~3 giờ.</w:t>
      </w:r>
    </w:p>
    <w:p>
      <w:pPr>
        <w:pStyle w:val="Heading2"/>
      </w:pPr>
      <w:r>
        <w:t xml:space="preserve">4.4 Các chỉ số đánh giá</w:t>
      </w:r>
    </w:p>
    <w:p>
      <w:pPr>
        <w:pStyle w:val="ListParagraph"/>
        <w:numPr>
          <w:ilvl w:val="0"/>
          <w:numId w:val="2"/>
        </w:numPr>
        <w:spacing w:after="60"/>
      </w:pPr>
      <w:r>
        <w:rPr>
          <w:sz w:val="22"/>
          <w:szCs w:val="22"/>
        </w:rPr>
        <w:t xml:space="preserve">Packet Delivery Ratio (PDR, %).</w:t>
      </w:r>
    </w:p>
    <w:p>
      <w:pPr>
        <w:pStyle w:val="ListParagraph"/>
        <w:numPr>
          <w:ilvl w:val="0"/>
          <w:numId w:val="2"/>
        </w:numPr>
        <w:spacing w:after="60"/>
      </w:pPr>
      <w:r>
        <w:rPr>
          <w:sz w:val="22"/>
          <w:szCs w:val="22"/>
        </w:rPr>
        <w:t xml:space="preserve">End-to-end Delay (ms).</w:t>
      </w:r>
    </w:p>
    <w:p>
      <w:pPr>
        <w:pStyle w:val="ListParagraph"/>
        <w:numPr>
          <w:ilvl w:val="0"/>
          <w:numId w:val="2"/>
        </w:numPr>
        <w:spacing w:after="60"/>
      </w:pPr>
      <w:r>
        <w:rPr>
          <w:sz w:val="22"/>
          <w:szCs w:val="22"/>
        </w:rPr>
        <w:t xml:space="preserve">Throughput (Mbps).</w:t>
      </w:r>
    </w:p>
    <w:p>
      <w:pPr>
        <w:pStyle w:val="ListParagraph"/>
        <w:numPr>
          <w:ilvl w:val="0"/>
          <w:numId w:val="2"/>
        </w:numPr>
        <w:spacing w:after="60"/>
      </w:pPr>
      <w:r>
        <w:rPr>
          <w:sz w:val="22"/>
          <w:szCs w:val="22"/>
        </w:rPr>
        <w:t xml:space="preserve">Routing Overhead (packets).</w:t>
      </w:r>
    </w:p>
    <w:p>
      <w:pPr>
        <w:pStyle w:val="Heading2"/>
      </w:pPr>
      <w:r>
        <w:t xml:space="preserve">4.5 Quy trình tuning siêu tham số</w:t>
      </w:r>
    </w:p>
    <w:p>
      <w:pPr>
        <w:spacing w:after="120"/>
        <w:jc w:val="both"/>
      </w:pPr>
      <w:r>
        <w:rPr>
          <w:sz w:val="22"/>
          <w:szCs w:val="22"/>
        </w:rPr>
        <w:t xml:space="preserve">Family H thực hiện theo quy trình tuning đầy đủ: (1) Quét toàn bộ grid 180 cấu hình; (2) Tính PDR trung bình cho mỗi cấu hình qua 3 seed; (3) Phân tích marginal — tính PDR trung bình khi cố định một tham số tại mỗi giá trị; (4) Xác định giá trị tối ưu cho từng tham số dựa trên marginal cao nhất; (5) Kết hợp các giá trị tối ưu thành cấu hình đề xuất, sau đó verify cấu hình này có trong top-1/180 của grid sweep.</w:t>
      </w:r>
    </w:p>
    <w:p>
      <w:pPr>
        <w:pStyle w:val="Heading1"/>
      </w:pPr>
      <w:r>
        <w:t xml:space="preserve">5. Kết quả thực nghiệm</w:t>
      </w:r>
    </w:p>
    <w:p>
      <w:pPr>
        <w:pStyle w:val="Heading2"/>
      </w:pPr>
      <w:r>
        <w:t xml:space="preserve">5.1 Family H — Tuning siêu tham số QMAODV</w:t>
      </w:r>
    </w:p>
    <w:p>
      <w:pPr>
        <w:spacing w:after="120"/>
        <w:jc w:val="both"/>
      </w:pPr>
      <w:r>
        <w:rPr>
          <w:sz w:val="22"/>
          <w:szCs w:val="22"/>
        </w:rPr>
        <w:t xml:space="preserve">Bảng 1 trình bày phân tích marginal cho bốn tham số siêu Q-learning. Mỗi cell hiển thị PDR trung bình khi giá trị tham số được cố định và các tham số còn lại được averaged trên grid.</w:t>
      </w:r>
    </w:p>
    <w:p>
      <w:pPr>
        <w:spacing w:after="160" w:before="60"/>
        <w:jc w:val="center"/>
      </w:pPr>
      <w:r>
        <w:rPr>
          <w:i/>
          <w:iCs/>
          <w:sz w:val="20"/>
          <w:szCs w:val="20"/>
        </w:rPr>
        <w:t xml:space="preserve">Bảng 1. Phân tích marginal — PDR trung bình khi cố định một tham số</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2400"/>
        <w:gridCol w:w="1800"/>
      </w:tblGrid>
      <w:tr>
        <w:tc>
          <w:tcPr>
            <w:tcW w:type="dxa" w:w="1600"/>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jc w:val="center"/>
            </w:pPr>
            <w:r>
              <w:rPr>
                <w:b/>
                <w:bCs/>
                <w:sz w:val="20"/>
                <w:szCs w:val="20"/>
              </w:rPr>
              <w:t xml:space="preserve">Tham số</w:t>
            </w:r>
          </w:p>
        </w:tc>
        <w:tc>
          <w:tcPr>
            <w:tcW w:type="dxa" w:w="1200"/>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jc w:val="center"/>
            </w:pPr>
            <w:r>
              <w:rPr>
                <w:b/>
                <w:bCs/>
                <w:sz w:val="20"/>
                <w:szCs w:val="20"/>
              </w:rPr>
              <w:t xml:space="preserve">Giá trị</w:t>
            </w:r>
          </w:p>
        </w:tc>
        <w:tc>
          <w:tcPr>
            <w:tcW w:type="dxa" w:w="2400"/>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jc w:val="center"/>
            </w:pPr>
            <w:r>
              <w:rPr>
                <w:b/>
                <w:bCs/>
                <w:sz w:val="20"/>
                <w:szCs w:val="20"/>
              </w:rPr>
              <w:t xml:space="preserve">PDR trung bình (%)</w:t>
            </w:r>
          </w:p>
        </w:tc>
        <w:tc>
          <w:tcPr>
            <w:tcW w:type="dxa" w:w="1800"/>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jc w:val="center"/>
            </w:pPr>
            <w:r>
              <w:rPr>
                <w:b/>
                <w:bCs/>
                <w:sz w:val="20"/>
                <w:szCs w:val="20"/>
              </w:rPr>
              <w:t xml:space="preserve">Là tối ưu?</w:t>
            </w:r>
          </w:p>
        </w:tc>
      </w:tr>
      <w:tr>
        <w:tc>
          <w:tcPr>
            <w:tcW w:type="dxa" w:w="1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b/>
                <w:bCs/>
                <w:sz w:val="20"/>
                <w:szCs w:val="20"/>
              </w:rPr>
              <w:t xml:space="preserve">α (learning rate)</w:t>
            </w:r>
          </w:p>
        </w:tc>
        <w:tc>
          <w:tcPr>
            <w:tcW w:type="dxa" w:w="1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20"/>
                <w:szCs w:val="20"/>
              </w:rPr>
              <w:t xml:space="preserve">0.1</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20"/>
                <w:szCs w:val="20"/>
              </w:rPr>
              <w:t xml:space="preserve">37.89</w:t>
            </w:r>
          </w:p>
        </w:tc>
        <w:tc>
          <w:tcPr>
            <w:tcW w:type="dxa" w:w="1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20"/>
                <w:szCs w:val="20"/>
              </w:rPr>
              <w:t xml:space="preserve">—</w:t>
            </w:r>
          </w:p>
        </w:tc>
      </w:tr>
      <w:tr>
        <w:tc>
          <w:tcPr>
            <w:tcW w:type="dxa" w:w="1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sz w:val="20"/>
                <w:szCs w:val="20"/>
              </w:rPr>
              <w:t xml:space="preserve"/>
            </w:r>
          </w:p>
        </w:tc>
        <w:tc>
          <w:tcPr>
            <w:tcW w:type="dxa" w:w="1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20"/>
                <w:szCs w:val="20"/>
              </w:rPr>
              <w:t xml:space="preserve">0.3</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20"/>
                <w:szCs w:val="20"/>
              </w:rPr>
              <w:t xml:space="preserve">38.48</w:t>
            </w:r>
          </w:p>
        </w:tc>
        <w:tc>
          <w:tcPr>
            <w:tcW w:type="dxa" w:w="1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20"/>
                <w:szCs w:val="20"/>
              </w:rPr>
              <w:t xml:space="preserve">—</w:t>
            </w:r>
          </w:p>
        </w:tc>
      </w:tr>
      <w:tr>
        <w:tc>
          <w:tcPr>
            <w:tcW w:type="dxa" w:w="1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sz w:val="20"/>
                <w:szCs w:val="20"/>
              </w:rPr>
              <w:t xml:space="preserve"/>
            </w:r>
          </w:p>
        </w:tc>
        <w:tc>
          <w:tcPr>
            <w:tcW w:type="dxa" w:w="1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20"/>
                <w:szCs w:val="20"/>
              </w:rPr>
              <w:t xml:space="preserve">0.5</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20"/>
                <w:szCs w:val="20"/>
              </w:rPr>
              <w:t xml:space="preserve">39.44</w:t>
            </w:r>
          </w:p>
        </w:tc>
        <w:tc>
          <w:tcPr>
            <w:tcW w:type="dxa" w:w="1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20"/>
                <w:szCs w:val="20"/>
              </w:rPr>
              <w:t xml:space="preserve">—</w:t>
            </w:r>
          </w:p>
        </w:tc>
      </w:tr>
      <w:tr>
        <w:tc>
          <w:tcPr>
            <w:tcW w:type="dxa" w:w="1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sz w:val="20"/>
                <w:szCs w:val="20"/>
              </w:rPr>
              <w:t xml:space="preserve"/>
            </w:r>
          </w:p>
        </w:tc>
        <w:tc>
          <w:tcPr>
            <w:tcW w:type="dxa" w:w="1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bCs/>
                <w:sz w:val="20"/>
                <w:szCs w:val="20"/>
              </w:rPr>
              <w:t xml:space="preserve">0.7</w:t>
            </w:r>
          </w:p>
        </w:tc>
        <w:tc>
          <w:tcPr>
            <w:tcW w:type="dxa" w:w="2400"/>
            <w:tcBorders>
              <w:top w:val="single" w:color="888888" w:sz="4"/>
              <w:left w:val="single" w:color="888888" w:sz="4"/>
              <w:bottom w:val="single" w:color="888888" w:sz="4"/>
              <w:right w:val="single" w:color="888888" w:sz="4"/>
            </w:tcBorders>
            <w:shd w:fill="FFE699" w:val="clear"/>
            <w:tcMar>
              <w:top w:type="dxa" w:w="80"/>
              <w:left w:type="dxa" w:w="100"/>
              <w:bottom w:type="dxa" w:w="80"/>
              <w:right w:type="dxa" w:w="100"/>
            </w:tcMar>
          </w:tcPr>
          <w:p>
            <w:pPr>
              <w:jc w:val="center"/>
            </w:pPr>
            <w:r>
              <w:rPr>
                <w:b/>
                <w:bCs/>
                <w:sz w:val="20"/>
                <w:szCs w:val="20"/>
              </w:rPr>
              <w:t xml:space="preserve">39.92</w:t>
            </w:r>
          </w:p>
        </w:tc>
        <w:tc>
          <w:tcPr>
            <w:tcW w:type="dxa" w:w="1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bCs/>
                <w:sz w:val="20"/>
                <w:szCs w:val="20"/>
              </w:rPr>
              <w:t xml:space="preserve">✓ Tối ưu</w:t>
            </w:r>
          </w:p>
        </w:tc>
      </w:tr>
      <w:tr>
        <w:tc>
          <w:tcPr>
            <w:tcW w:type="dxa" w:w="1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b/>
                <w:bCs/>
                <w:sz w:val="20"/>
                <w:szCs w:val="20"/>
              </w:rPr>
              <w:t xml:space="preserve">γ (discount factor)</w:t>
            </w:r>
          </w:p>
        </w:tc>
        <w:tc>
          <w:tcPr>
            <w:tcW w:type="dxa" w:w="1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bCs/>
                <w:sz w:val="20"/>
                <w:szCs w:val="20"/>
              </w:rPr>
              <w:t xml:space="preserve">0.6</w:t>
            </w:r>
          </w:p>
        </w:tc>
        <w:tc>
          <w:tcPr>
            <w:tcW w:type="dxa" w:w="2400"/>
            <w:tcBorders>
              <w:top w:val="single" w:color="888888" w:sz="4"/>
              <w:left w:val="single" w:color="888888" w:sz="4"/>
              <w:bottom w:val="single" w:color="888888" w:sz="4"/>
              <w:right w:val="single" w:color="888888" w:sz="4"/>
            </w:tcBorders>
            <w:shd w:fill="FFE699" w:val="clear"/>
            <w:tcMar>
              <w:top w:type="dxa" w:w="80"/>
              <w:left w:type="dxa" w:w="100"/>
              <w:bottom w:type="dxa" w:w="80"/>
              <w:right w:type="dxa" w:w="100"/>
            </w:tcMar>
          </w:tcPr>
          <w:p>
            <w:pPr>
              <w:jc w:val="center"/>
            </w:pPr>
            <w:r>
              <w:rPr>
                <w:b/>
                <w:bCs/>
                <w:sz w:val="20"/>
                <w:szCs w:val="20"/>
              </w:rPr>
              <w:t xml:space="preserve">40.74</w:t>
            </w:r>
          </w:p>
        </w:tc>
        <w:tc>
          <w:tcPr>
            <w:tcW w:type="dxa" w:w="1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bCs/>
                <w:sz w:val="20"/>
                <w:szCs w:val="20"/>
              </w:rPr>
              <w:t xml:space="preserve">✓ Tối ưu</w:t>
            </w:r>
          </w:p>
        </w:tc>
      </w:tr>
      <w:tr>
        <w:tc>
          <w:tcPr>
            <w:tcW w:type="dxa" w:w="1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sz w:val="20"/>
                <w:szCs w:val="20"/>
              </w:rPr>
              <w:t xml:space="preserve"/>
            </w:r>
          </w:p>
        </w:tc>
        <w:tc>
          <w:tcPr>
            <w:tcW w:type="dxa" w:w="1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20"/>
                <w:szCs w:val="20"/>
              </w:rPr>
              <w:t xml:space="preserve">0.7</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20"/>
                <w:szCs w:val="20"/>
              </w:rPr>
              <w:t xml:space="preserve">38.65</w:t>
            </w:r>
          </w:p>
        </w:tc>
        <w:tc>
          <w:tcPr>
            <w:tcW w:type="dxa" w:w="1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20"/>
                <w:szCs w:val="20"/>
              </w:rPr>
              <w:t xml:space="preserve">—</w:t>
            </w:r>
          </w:p>
        </w:tc>
      </w:tr>
      <w:tr>
        <w:tc>
          <w:tcPr>
            <w:tcW w:type="dxa" w:w="1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sz w:val="20"/>
                <w:szCs w:val="20"/>
              </w:rPr>
              <w:t xml:space="preserve"/>
            </w:r>
          </w:p>
        </w:tc>
        <w:tc>
          <w:tcPr>
            <w:tcW w:type="dxa" w:w="1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20"/>
                <w:szCs w:val="20"/>
              </w:rPr>
              <w:t xml:space="preserve">0.8</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20"/>
                <w:szCs w:val="20"/>
              </w:rPr>
              <w:t xml:space="preserve">38.77</w:t>
            </w:r>
          </w:p>
        </w:tc>
        <w:tc>
          <w:tcPr>
            <w:tcW w:type="dxa" w:w="1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20"/>
                <w:szCs w:val="20"/>
              </w:rPr>
              <w:t xml:space="preserve">—</w:t>
            </w:r>
          </w:p>
        </w:tc>
      </w:tr>
      <w:tr>
        <w:tc>
          <w:tcPr>
            <w:tcW w:type="dxa" w:w="1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sz w:val="20"/>
                <w:szCs w:val="20"/>
              </w:rPr>
              <w:t xml:space="preserve"/>
            </w:r>
          </w:p>
        </w:tc>
        <w:tc>
          <w:tcPr>
            <w:tcW w:type="dxa" w:w="1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20"/>
                <w:szCs w:val="20"/>
              </w:rPr>
              <w:t xml:space="preserve">0.9</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20"/>
                <w:szCs w:val="20"/>
              </w:rPr>
              <w:t xml:space="preserve">38.24</w:t>
            </w:r>
          </w:p>
        </w:tc>
        <w:tc>
          <w:tcPr>
            <w:tcW w:type="dxa" w:w="1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20"/>
                <w:szCs w:val="20"/>
              </w:rPr>
              <w:t xml:space="preserve">—</w:t>
            </w:r>
          </w:p>
        </w:tc>
      </w:tr>
      <w:tr>
        <w:tc>
          <w:tcPr>
            <w:tcW w:type="dxa" w:w="1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sz w:val="20"/>
                <w:szCs w:val="20"/>
              </w:rPr>
              <w:t xml:space="preserve"/>
            </w:r>
          </w:p>
        </w:tc>
        <w:tc>
          <w:tcPr>
            <w:tcW w:type="dxa" w:w="1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20"/>
                <w:szCs w:val="20"/>
              </w:rPr>
              <w:t xml:space="preserve">0.95</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20"/>
                <w:szCs w:val="20"/>
              </w:rPr>
              <w:t xml:space="preserve">38.26</w:t>
            </w:r>
          </w:p>
        </w:tc>
        <w:tc>
          <w:tcPr>
            <w:tcW w:type="dxa" w:w="1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20"/>
                <w:szCs w:val="20"/>
              </w:rPr>
              <w:t xml:space="preserve">—</w:t>
            </w:r>
          </w:p>
        </w:tc>
      </w:tr>
      <w:tr>
        <w:tc>
          <w:tcPr>
            <w:tcW w:type="dxa" w:w="1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b/>
                <w:bCs/>
                <w:sz w:val="20"/>
                <w:szCs w:val="20"/>
              </w:rPr>
              <w:t xml:space="preserve">ε (exploration)</w:t>
            </w:r>
          </w:p>
        </w:tc>
        <w:tc>
          <w:tcPr>
            <w:tcW w:type="dxa" w:w="1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20"/>
                <w:szCs w:val="20"/>
              </w:rPr>
              <w:t xml:space="preserve">0.1</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20"/>
                <w:szCs w:val="20"/>
              </w:rPr>
              <w:t xml:space="preserve">38.67</w:t>
            </w:r>
          </w:p>
        </w:tc>
        <w:tc>
          <w:tcPr>
            <w:tcW w:type="dxa" w:w="1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20"/>
                <w:szCs w:val="20"/>
              </w:rPr>
              <w:t xml:space="preserve">—</w:t>
            </w:r>
          </w:p>
        </w:tc>
      </w:tr>
      <w:tr>
        <w:tc>
          <w:tcPr>
            <w:tcW w:type="dxa" w:w="1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sz w:val="20"/>
                <w:szCs w:val="20"/>
              </w:rPr>
              <w:t xml:space="preserve"/>
            </w:r>
          </w:p>
        </w:tc>
        <w:tc>
          <w:tcPr>
            <w:tcW w:type="dxa" w:w="1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bCs/>
                <w:sz w:val="20"/>
                <w:szCs w:val="20"/>
              </w:rPr>
              <w:t xml:space="preserve">0.3</w:t>
            </w:r>
          </w:p>
        </w:tc>
        <w:tc>
          <w:tcPr>
            <w:tcW w:type="dxa" w:w="2400"/>
            <w:tcBorders>
              <w:top w:val="single" w:color="888888" w:sz="4"/>
              <w:left w:val="single" w:color="888888" w:sz="4"/>
              <w:bottom w:val="single" w:color="888888" w:sz="4"/>
              <w:right w:val="single" w:color="888888" w:sz="4"/>
            </w:tcBorders>
            <w:shd w:fill="FFE699" w:val="clear"/>
            <w:tcMar>
              <w:top w:type="dxa" w:w="80"/>
              <w:left w:type="dxa" w:w="100"/>
              <w:bottom w:type="dxa" w:w="80"/>
              <w:right w:type="dxa" w:w="100"/>
            </w:tcMar>
          </w:tcPr>
          <w:p>
            <w:pPr>
              <w:jc w:val="center"/>
            </w:pPr>
            <w:r>
              <w:rPr>
                <w:b/>
                <w:bCs/>
                <w:sz w:val="20"/>
                <w:szCs w:val="20"/>
              </w:rPr>
              <w:t xml:space="preserve">40.42</w:t>
            </w:r>
          </w:p>
        </w:tc>
        <w:tc>
          <w:tcPr>
            <w:tcW w:type="dxa" w:w="1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bCs/>
                <w:sz w:val="20"/>
                <w:szCs w:val="20"/>
              </w:rPr>
              <w:t xml:space="preserve">✓ Tối ưu</w:t>
            </w:r>
          </w:p>
        </w:tc>
      </w:tr>
      <w:tr>
        <w:tc>
          <w:tcPr>
            <w:tcW w:type="dxa" w:w="1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sz w:val="20"/>
                <w:szCs w:val="20"/>
              </w:rPr>
              <w:t xml:space="preserve"/>
            </w:r>
          </w:p>
        </w:tc>
        <w:tc>
          <w:tcPr>
            <w:tcW w:type="dxa" w:w="1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20"/>
                <w:szCs w:val="20"/>
              </w:rPr>
              <w:t xml:space="preserve">0.5</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20"/>
                <w:szCs w:val="20"/>
              </w:rPr>
              <w:t xml:space="preserve">37.71</w:t>
            </w:r>
          </w:p>
        </w:tc>
        <w:tc>
          <w:tcPr>
            <w:tcW w:type="dxa" w:w="1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20"/>
                <w:szCs w:val="20"/>
              </w:rPr>
              <w:t xml:space="preserve">—</w:t>
            </w:r>
          </w:p>
        </w:tc>
      </w:tr>
      <w:tr>
        <w:tc>
          <w:tcPr>
            <w:tcW w:type="dxa" w:w="1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b/>
                <w:bCs/>
                <w:sz w:val="20"/>
                <w:szCs w:val="20"/>
              </w:rPr>
              <w:t xml:space="preserve">decay (ε decay)</w:t>
            </w:r>
          </w:p>
        </w:tc>
        <w:tc>
          <w:tcPr>
            <w:tcW w:type="dxa" w:w="1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20"/>
                <w:szCs w:val="20"/>
              </w:rPr>
              <w:t xml:space="preserve">0.02</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20"/>
                <w:szCs w:val="20"/>
              </w:rPr>
              <w:t xml:space="preserve">38.45</w:t>
            </w:r>
          </w:p>
        </w:tc>
        <w:tc>
          <w:tcPr>
            <w:tcW w:type="dxa" w:w="1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20"/>
                <w:szCs w:val="20"/>
              </w:rPr>
              <w:t xml:space="preserve">—</w:t>
            </w:r>
          </w:p>
        </w:tc>
      </w:tr>
      <w:tr>
        <w:tc>
          <w:tcPr>
            <w:tcW w:type="dxa" w:w="1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sz w:val="20"/>
                <w:szCs w:val="20"/>
              </w:rPr>
              <w:t xml:space="preserve"/>
            </w:r>
          </w:p>
        </w:tc>
        <w:tc>
          <w:tcPr>
            <w:tcW w:type="dxa" w:w="1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20"/>
                <w:szCs w:val="20"/>
              </w:rPr>
              <w:t xml:space="preserve">0.05</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20"/>
                <w:szCs w:val="20"/>
              </w:rPr>
              <w:t xml:space="preserve">39.07</w:t>
            </w:r>
          </w:p>
        </w:tc>
        <w:tc>
          <w:tcPr>
            <w:tcW w:type="dxa" w:w="1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20"/>
                <w:szCs w:val="20"/>
              </w:rPr>
              <w:t xml:space="preserve">—</w:t>
            </w:r>
          </w:p>
        </w:tc>
      </w:tr>
      <w:tr>
        <w:tc>
          <w:tcPr>
            <w:tcW w:type="dxa" w:w="1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sz w:val="20"/>
                <w:szCs w:val="20"/>
              </w:rPr>
              <w:t xml:space="preserve"/>
            </w:r>
          </w:p>
        </w:tc>
        <w:tc>
          <w:tcPr>
            <w:tcW w:type="dxa" w:w="1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bCs/>
                <w:sz w:val="20"/>
                <w:szCs w:val="20"/>
              </w:rPr>
              <w:t xml:space="preserve">0.1</w:t>
            </w:r>
          </w:p>
        </w:tc>
        <w:tc>
          <w:tcPr>
            <w:tcW w:type="dxa" w:w="2400"/>
            <w:tcBorders>
              <w:top w:val="single" w:color="888888" w:sz="4"/>
              <w:left w:val="single" w:color="888888" w:sz="4"/>
              <w:bottom w:val="single" w:color="888888" w:sz="4"/>
              <w:right w:val="single" w:color="888888" w:sz="4"/>
            </w:tcBorders>
            <w:shd w:fill="FFE699" w:val="clear"/>
            <w:tcMar>
              <w:top w:type="dxa" w:w="80"/>
              <w:left w:type="dxa" w:w="100"/>
              <w:bottom w:type="dxa" w:w="80"/>
              <w:right w:type="dxa" w:w="100"/>
            </w:tcMar>
          </w:tcPr>
          <w:p>
            <w:pPr>
              <w:jc w:val="center"/>
            </w:pPr>
            <w:r>
              <w:rPr>
                <w:b/>
                <w:bCs/>
                <w:sz w:val="20"/>
                <w:szCs w:val="20"/>
              </w:rPr>
              <w:t xml:space="preserve">39.29</w:t>
            </w:r>
          </w:p>
        </w:tc>
        <w:tc>
          <w:tcPr>
            <w:tcW w:type="dxa" w:w="1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bCs/>
                <w:sz w:val="20"/>
                <w:szCs w:val="20"/>
              </w:rPr>
              <w:t xml:space="preserve">✓ Tối ưu</w:t>
            </w:r>
          </w:p>
        </w:tc>
      </w:tr>
    </w:tbl>
    <w:p>
      <w:pPr>
        <w:spacing w:after="120"/>
        <w:jc w:val="both"/>
      </w:pPr>
      <w:r>
        <w:rPr>
          <w:sz w:val="22"/>
          <w:szCs w:val="22"/>
        </w:rPr>
        <w:t xml:space="preserve">Kết quả marginal cho thấy bộ giá trị tối ưu duy nhất: α = 0,7 (PDR 39,92 %), γ = 0,6 (PDR 40,74 %), ε = 0,3 (PDR 40,42 %), decay = 0,1 (PDR 39,29 %). Bộ này hợp lại thành Strategy B, và qua verify trong grid sweep, Strategy B đạt PDR thực tế 49,60 % — vượt trội rõ rệt so với mean của các cấu hình khác và xếp hạng #1/180 trên toàn grid.</w:t>
      </w:r>
    </w:p>
    <w:p>
      <w:pPr>
        <w:spacing w:after="160" w:before="60"/>
        <w:jc w:val="center"/>
      </w:pPr>
      <w:r>
        <w:rPr>
          <w:i/>
          <w:iCs/>
          <w:sz w:val="20"/>
          <w:szCs w:val="20"/>
        </w:rPr>
        <w:t xml:space="preserve">Bảng 2. So sánh Strategy A (trước đây) với Strategy B (Family H optimal)</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800"/>
      </w:tblGrid>
      <w:tr>
        <w:tc>
          <w:tcPr>
            <w:tcW w:type="dxa" w:w="2000"/>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jc w:val="center"/>
            </w:pPr>
            <w:r>
              <w:rPr>
                <w:b/>
                <w:bCs/>
                <w:sz w:val="20"/>
                <w:szCs w:val="20"/>
              </w:rPr>
              <w:t xml:space="preserve">Tham số</w:t>
            </w:r>
          </w:p>
        </w:tc>
        <w:tc>
          <w:tcPr>
            <w:tcW w:type="dxa" w:w="2400"/>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jc w:val="center"/>
            </w:pPr>
            <w:r>
              <w:rPr>
                <w:b/>
                <w:bCs/>
                <w:sz w:val="20"/>
                <w:szCs w:val="20"/>
              </w:rPr>
              <w:t xml:space="preserve">Strategy A (Previous)</w:t>
            </w:r>
          </w:p>
        </w:tc>
        <w:tc>
          <w:tcPr>
            <w:tcW w:type="dxa" w:w="2800"/>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jc w:val="center"/>
            </w:pPr>
            <w:r>
              <w:rPr>
                <w:b/>
                <w:bCs/>
                <w:sz w:val="20"/>
                <w:szCs w:val="20"/>
              </w:rPr>
              <w:t xml:space="preserve">Strategy B (Family H Optimal)</w:t>
            </w:r>
          </w:p>
        </w:tc>
      </w:tr>
      <w:tr>
        <w:tc>
          <w:tcPr>
            <w:tcW w:type="dxa" w:w="2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b/>
                <w:bCs/>
                <w:sz w:val="20"/>
                <w:szCs w:val="20"/>
              </w:rPr>
              <w:t xml:space="preserve">α (learning rate)</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0.5</w:t>
            </w:r>
          </w:p>
        </w:tc>
        <w:tc>
          <w:tcPr>
            <w:tcW w:type="dxa" w:w="2800"/>
            <w:tcBorders>
              <w:top w:val="single" w:color="888888" w:sz="4"/>
              <w:left w:val="single" w:color="888888" w:sz="4"/>
              <w:bottom w:val="single" w:color="888888" w:sz="4"/>
              <w:right w:val="single" w:color="888888" w:sz="4"/>
            </w:tcBorders>
            <w:shd w:fill="FFE699" w:val="clear"/>
            <w:tcMar>
              <w:top w:type="dxa" w:w="80"/>
              <w:left w:type="dxa" w:w="100"/>
              <w:bottom w:type="dxa" w:w="80"/>
              <w:right w:type="dxa" w:w="100"/>
            </w:tcMar>
          </w:tcPr>
          <w:p>
            <w:pPr>
              <w:jc w:val="center"/>
            </w:pPr>
            <w:r>
              <w:rPr>
                <w:b/>
                <w:bCs/>
                <w:sz w:val="20"/>
                <w:szCs w:val="20"/>
              </w:rPr>
              <w:t xml:space="preserve">0.7</w:t>
            </w:r>
          </w:p>
        </w:tc>
      </w:tr>
      <w:tr>
        <w:tc>
          <w:tcPr>
            <w:tcW w:type="dxa" w:w="2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b/>
                <w:bCs/>
                <w:sz w:val="20"/>
                <w:szCs w:val="20"/>
              </w:rPr>
              <w:t xml:space="preserve">γ (discount factor)</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0.7</w:t>
            </w:r>
          </w:p>
        </w:tc>
        <w:tc>
          <w:tcPr>
            <w:tcW w:type="dxa" w:w="2800"/>
            <w:tcBorders>
              <w:top w:val="single" w:color="888888" w:sz="4"/>
              <w:left w:val="single" w:color="888888" w:sz="4"/>
              <w:bottom w:val="single" w:color="888888" w:sz="4"/>
              <w:right w:val="single" w:color="888888" w:sz="4"/>
            </w:tcBorders>
            <w:shd w:fill="FFE699" w:val="clear"/>
            <w:tcMar>
              <w:top w:type="dxa" w:w="80"/>
              <w:left w:type="dxa" w:w="100"/>
              <w:bottom w:type="dxa" w:w="80"/>
              <w:right w:type="dxa" w:w="100"/>
            </w:tcMar>
          </w:tcPr>
          <w:p>
            <w:pPr>
              <w:jc w:val="center"/>
            </w:pPr>
            <w:r>
              <w:rPr>
                <w:b/>
                <w:bCs/>
                <w:sz w:val="20"/>
                <w:szCs w:val="20"/>
              </w:rPr>
              <w:t xml:space="preserve">0.6</w:t>
            </w:r>
          </w:p>
        </w:tc>
      </w:tr>
      <w:tr>
        <w:tc>
          <w:tcPr>
            <w:tcW w:type="dxa" w:w="2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b/>
                <w:bCs/>
                <w:sz w:val="20"/>
                <w:szCs w:val="20"/>
              </w:rPr>
              <w:t xml:space="preserve">ε (initial exploration)</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0.1</w:t>
            </w:r>
          </w:p>
        </w:tc>
        <w:tc>
          <w:tcPr>
            <w:tcW w:type="dxa" w:w="2800"/>
            <w:tcBorders>
              <w:top w:val="single" w:color="888888" w:sz="4"/>
              <w:left w:val="single" w:color="888888" w:sz="4"/>
              <w:bottom w:val="single" w:color="888888" w:sz="4"/>
              <w:right w:val="single" w:color="888888" w:sz="4"/>
            </w:tcBorders>
            <w:shd w:fill="FFE699" w:val="clear"/>
            <w:tcMar>
              <w:top w:type="dxa" w:w="80"/>
              <w:left w:type="dxa" w:w="100"/>
              <w:bottom w:type="dxa" w:w="80"/>
              <w:right w:type="dxa" w:w="100"/>
            </w:tcMar>
          </w:tcPr>
          <w:p>
            <w:pPr>
              <w:jc w:val="center"/>
            </w:pPr>
            <w:r>
              <w:rPr>
                <w:b/>
                <w:bCs/>
                <w:sz w:val="20"/>
                <w:szCs w:val="20"/>
              </w:rPr>
              <w:t xml:space="preserve">0.3</w:t>
            </w:r>
          </w:p>
        </w:tc>
      </w:tr>
      <w:tr>
        <w:tc>
          <w:tcPr>
            <w:tcW w:type="dxa" w:w="2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b/>
                <w:bCs/>
                <w:sz w:val="20"/>
                <w:szCs w:val="20"/>
              </w:rPr>
              <w:t xml:space="preserve">decay (ε decay/s)</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0.05</w:t>
            </w:r>
          </w:p>
        </w:tc>
        <w:tc>
          <w:tcPr>
            <w:tcW w:type="dxa" w:w="2800"/>
            <w:tcBorders>
              <w:top w:val="single" w:color="888888" w:sz="4"/>
              <w:left w:val="single" w:color="888888" w:sz="4"/>
              <w:bottom w:val="single" w:color="888888" w:sz="4"/>
              <w:right w:val="single" w:color="888888" w:sz="4"/>
            </w:tcBorders>
            <w:shd w:fill="FFE699" w:val="clear"/>
            <w:tcMar>
              <w:top w:type="dxa" w:w="80"/>
              <w:left w:type="dxa" w:w="100"/>
              <w:bottom w:type="dxa" w:w="80"/>
              <w:right w:type="dxa" w:w="100"/>
            </w:tcMar>
          </w:tcPr>
          <w:p>
            <w:pPr>
              <w:jc w:val="center"/>
            </w:pPr>
            <w:r>
              <w:rPr>
                <w:b/>
                <w:bCs/>
                <w:sz w:val="20"/>
                <w:szCs w:val="20"/>
              </w:rPr>
              <w:t xml:space="preserve">0.1</w:t>
            </w:r>
          </w:p>
        </w:tc>
      </w:tr>
      <w:tr>
        <w:tc>
          <w:tcPr>
            <w:tcW w:type="dxa" w:w="2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b/>
                <w:bCs/>
                <w:sz w:val="20"/>
                <w:szCs w:val="20"/>
              </w:rPr>
              <w:t xml:space="preserve">PDR (N=15)</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 42.83 %</w:t>
            </w:r>
          </w:p>
        </w:tc>
        <w:tc>
          <w:tcPr>
            <w:tcW w:type="dxa" w:w="2800"/>
            <w:tcBorders>
              <w:top w:val="single" w:color="888888" w:sz="4"/>
              <w:left w:val="single" w:color="888888" w:sz="4"/>
              <w:bottom w:val="single" w:color="888888" w:sz="4"/>
              <w:right w:val="single" w:color="888888" w:sz="4"/>
            </w:tcBorders>
            <w:shd w:fill="FFE699" w:val="clear"/>
            <w:tcMar>
              <w:top w:type="dxa" w:w="80"/>
              <w:left w:type="dxa" w:w="100"/>
              <w:bottom w:type="dxa" w:w="80"/>
              <w:right w:type="dxa" w:w="100"/>
            </w:tcMar>
          </w:tcPr>
          <w:p>
            <w:pPr>
              <w:jc w:val="center"/>
            </w:pPr>
            <w:r>
              <w:rPr>
                <w:b/>
                <w:bCs/>
                <w:sz w:val="20"/>
                <w:szCs w:val="20"/>
              </w:rPr>
              <w:t xml:space="preserve">49.60 %</w:t>
            </w:r>
          </w:p>
        </w:tc>
      </w:tr>
      <w:tr>
        <w:tc>
          <w:tcPr>
            <w:tcW w:type="dxa" w:w="2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b/>
                <w:bCs/>
                <w:sz w:val="20"/>
                <w:szCs w:val="20"/>
              </w:rPr>
              <w:t xml:space="preserve">Xếp hạng /180 configs</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w:t>
            </w:r>
          </w:p>
        </w:tc>
        <w:tc>
          <w:tcPr>
            <w:tcW w:type="dxa" w:w="2800"/>
            <w:tcBorders>
              <w:top w:val="single" w:color="888888" w:sz="4"/>
              <w:left w:val="single" w:color="888888" w:sz="4"/>
              <w:bottom w:val="single" w:color="888888" w:sz="4"/>
              <w:right w:val="single" w:color="888888" w:sz="4"/>
            </w:tcBorders>
            <w:shd w:fill="FFE699" w:val="clear"/>
            <w:tcMar>
              <w:top w:type="dxa" w:w="80"/>
              <w:left w:type="dxa" w:w="100"/>
              <w:bottom w:type="dxa" w:w="80"/>
              <w:right w:type="dxa" w:w="100"/>
            </w:tcMar>
          </w:tcPr>
          <w:p>
            <w:pPr>
              <w:jc w:val="center"/>
            </w:pPr>
            <w:r>
              <w:rPr>
                <w:b/>
                <w:bCs/>
                <w:sz w:val="20"/>
                <w:szCs w:val="20"/>
              </w:rPr>
              <w:t xml:space="preserve">#1/180</w:t>
            </w:r>
          </w:p>
        </w:tc>
      </w:tr>
    </w:tbl>
    <w:p>
      <w:pPr>
        <w:spacing w:after="120"/>
        <w:jc w:val="both"/>
      </w:pPr>
      <w:r>
        <w:rPr>
          <w:sz w:val="22"/>
          <w:szCs w:val="22"/>
        </w:rPr>
        <w:t xml:space="preserve">Khoảng cách 7 điểm phần trăm giữa Strategy B và Strategy A tại N=15 khẳng định tầm quan trọng của việc tuning siêu tham số. Strategy B được sử dụng cho toàn bộ các kịch bản tiếp theo (Family N, L, S, P, F).</w:t>
      </w:r>
    </w:p>
    <w:p>
      <w:pPr>
        <w:pStyle w:val="Heading2"/>
      </w:pPr>
      <w:r>
        <w:t xml:space="preserve">5.2 Family N — Mật độ nút</w:t>
      </w:r>
    </w:p>
    <w:p>
      <w:pPr>
        <w:spacing w:after="120"/>
        <w:jc w:val="both"/>
      </w:pPr>
      <w:r>
        <w:rPr>
          <w:sz w:val="22"/>
          <w:szCs w:val="22"/>
        </w:rPr>
        <w:t xml:space="preserve">Bảng 3 trình bày PDR theo số UAV. Hình 1 và Hình 2 minh họa PDR và delay tương ứng.</w:t>
      </w:r>
    </w:p>
    <w:p>
      <w:pPr>
        <w:spacing w:after="160" w:before="60"/>
        <w:jc w:val="center"/>
      </w:pPr>
      <w:r>
        <w:rPr>
          <w:i/>
          <w:iCs/>
          <w:sz w:val="20"/>
          <w:szCs w:val="20"/>
        </w:rPr>
        <w:t xml:space="preserve">Bảng 3. Delivery Ratio (%) theo số UAV (Family N)</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120"/>
        <w:gridCol w:w="670"/>
        <w:gridCol w:w="670"/>
        <w:gridCol w:w="670"/>
        <w:gridCol w:w="670"/>
        <w:gridCol w:w="670"/>
        <w:gridCol w:w="670"/>
        <w:gridCol w:w="670"/>
        <w:gridCol w:w="670"/>
        <w:gridCol w:w="670"/>
      </w:tblGrid>
      <w:tr>
        <w:tc>
          <w:tcPr>
            <w:tcW w:type="dxa" w:w="1120"/>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jc w:val="center"/>
            </w:pPr>
            <w:r>
              <w:rPr>
                <w:b/>
                <w:bCs/>
                <w:sz w:val="20"/>
                <w:szCs w:val="20"/>
              </w:rPr>
              <w:t xml:space="preserve">Giao thức</w:t>
            </w:r>
          </w:p>
        </w:tc>
        <w:tc>
          <w:tcPr>
            <w:tcW w:type="dxa" w:w="670"/>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jc w:val="center"/>
            </w:pPr>
            <w:r>
              <w:rPr>
                <w:b/>
                <w:bCs/>
                <w:sz w:val="20"/>
                <w:szCs w:val="20"/>
              </w:rPr>
              <w:t xml:space="preserve">N=5</w:t>
            </w:r>
          </w:p>
        </w:tc>
        <w:tc>
          <w:tcPr>
            <w:tcW w:type="dxa" w:w="670"/>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jc w:val="center"/>
            </w:pPr>
            <w:r>
              <w:rPr>
                <w:b/>
                <w:bCs/>
                <w:sz w:val="20"/>
                <w:szCs w:val="20"/>
              </w:rPr>
              <w:t xml:space="preserve">N=8</w:t>
            </w:r>
          </w:p>
        </w:tc>
        <w:tc>
          <w:tcPr>
            <w:tcW w:type="dxa" w:w="670"/>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jc w:val="center"/>
            </w:pPr>
            <w:r>
              <w:rPr>
                <w:b/>
                <w:bCs/>
                <w:sz w:val="20"/>
                <w:szCs w:val="20"/>
              </w:rPr>
              <w:t xml:space="preserve">N=10</w:t>
            </w:r>
          </w:p>
        </w:tc>
        <w:tc>
          <w:tcPr>
            <w:tcW w:type="dxa" w:w="670"/>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jc w:val="center"/>
            </w:pPr>
            <w:r>
              <w:rPr>
                <w:b/>
                <w:bCs/>
                <w:sz w:val="20"/>
                <w:szCs w:val="20"/>
              </w:rPr>
              <w:t xml:space="preserve">N=12</w:t>
            </w:r>
          </w:p>
        </w:tc>
        <w:tc>
          <w:tcPr>
            <w:tcW w:type="dxa" w:w="670"/>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jc w:val="center"/>
            </w:pPr>
            <w:r>
              <w:rPr>
                <w:b/>
                <w:bCs/>
                <w:sz w:val="20"/>
                <w:szCs w:val="20"/>
              </w:rPr>
              <w:t xml:space="preserve">N=15</w:t>
            </w:r>
          </w:p>
        </w:tc>
        <w:tc>
          <w:tcPr>
            <w:tcW w:type="dxa" w:w="670"/>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jc w:val="center"/>
            </w:pPr>
            <w:r>
              <w:rPr>
                <w:b/>
                <w:bCs/>
                <w:sz w:val="20"/>
                <w:szCs w:val="20"/>
              </w:rPr>
              <w:t xml:space="preserve">N=18</w:t>
            </w:r>
          </w:p>
        </w:tc>
        <w:tc>
          <w:tcPr>
            <w:tcW w:type="dxa" w:w="670"/>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jc w:val="center"/>
            </w:pPr>
            <w:r>
              <w:rPr>
                <w:b/>
                <w:bCs/>
                <w:sz w:val="20"/>
                <w:szCs w:val="20"/>
              </w:rPr>
              <w:t xml:space="preserve">N=20</w:t>
            </w:r>
          </w:p>
        </w:tc>
        <w:tc>
          <w:tcPr>
            <w:tcW w:type="dxa" w:w="670"/>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jc w:val="center"/>
            </w:pPr>
            <w:r>
              <w:rPr>
                <w:b/>
                <w:bCs/>
                <w:sz w:val="20"/>
                <w:szCs w:val="20"/>
              </w:rPr>
              <w:t xml:space="preserve">N=25</w:t>
            </w:r>
          </w:p>
        </w:tc>
        <w:tc>
          <w:tcPr>
            <w:tcW w:type="dxa" w:w="670"/>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jc w:val="center"/>
            </w:pPr>
            <w:r>
              <w:rPr>
                <w:b/>
                <w:bCs/>
                <w:sz w:val="20"/>
                <w:szCs w:val="20"/>
              </w:rPr>
              <w:t xml:space="preserve">N=30</w:t>
            </w:r>
          </w:p>
        </w:tc>
      </w:tr>
      <w:tr>
        <w:tc>
          <w:tcPr>
            <w:tcW w:type="dxa" w:w="112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b w:val="false"/>
                <w:bCs w:val="false"/>
                <w:sz w:val="20"/>
                <w:szCs w:val="20"/>
              </w:rPr>
              <w:t xml:space="preserve">AODV</w:t>
            </w:r>
          </w:p>
        </w:tc>
        <w:tc>
          <w:tcPr>
            <w:tcW w:type="dxa" w:w="67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35.94</w:t>
            </w:r>
          </w:p>
        </w:tc>
        <w:tc>
          <w:tcPr>
            <w:tcW w:type="dxa" w:w="67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38.94</w:t>
            </w:r>
          </w:p>
        </w:tc>
        <w:tc>
          <w:tcPr>
            <w:tcW w:type="dxa" w:w="67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40.22</w:t>
            </w:r>
          </w:p>
        </w:tc>
        <w:tc>
          <w:tcPr>
            <w:tcW w:type="dxa" w:w="67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39.50</w:t>
            </w:r>
          </w:p>
        </w:tc>
        <w:tc>
          <w:tcPr>
            <w:tcW w:type="dxa" w:w="67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33.24</w:t>
            </w:r>
          </w:p>
        </w:tc>
        <w:tc>
          <w:tcPr>
            <w:tcW w:type="dxa" w:w="67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33.22</w:t>
            </w:r>
          </w:p>
        </w:tc>
        <w:tc>
          <w:tcPr>
            <w:tcW w:type="dxa" w:w="67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30.82</w:t>
            </w:r>
          </w:p>
        </w:tc>
        <w:tc>
          <w:tcPr>
            <w:tcW w:type="dxa" w:w="67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22.91</w:t>
            </w:r>
          </w:p>
        </w:tc>
        <w:tc>
          <w:tcPr>
            <w:tcW w:type="dxa" w:w="67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17.09</w:t>
            </w:r>
          </w:p>
        </w:tc>
      </w:tr>
      <w:tr>
        <w:tc>
          <w:tcPr>
            <w:tcW w:type="dxa" w:w="112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b w:val="false"/>
                <w:bCs w:val="false"/>
                <w:sz w:val="20"/>
                <w:szCs w:val="20"/>
              </w:rPr>
              <w:t xml:space="preserve">AOMDV-3</w:t>
            </w:r>
          </w:p>
        </w:tc>
        <w:tc>
          <w:tcPr>
            <w:tcW w:type="dxa" w:w="67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bCs/>
                <w:sz w:val="20"/>
                <w:szCs w:val="20"/>
              </w:rPr>
              <w:t xml:space="preserve">36.19</w:t>
            </w:r>
          </w:p>
        </w:tc>
        <w:tc>
          <w:tcPr>
            <w:tcW w:type="dxa" w:w="67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39.04</w:t>
            </w:r>
          </w:p>
        </w:tc>
        <w:tc>
          <w:tcPr>
            <w:tcW w:type="dxa" w:w="67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37.88</w:t>
            </w:r>
          </w:p>
        </w:tc>
        <w:tc>
          <w:tcPr>
            <w:tcW w:type="dxa" w:w="67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39.10</w:t>
            </w:r>
          </w:p>
        </w:tc>
        <w:tc>
          <w:tcPr>
            <w:tcW w:type="dxa" w:w="67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38.20</w:t>
            </w:r>
          </w:p>
        </w:tc>
        <w:tc>
          <w:tcPr>
            <w:tcW w:type="dxa" w:w="67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30.33</w:t>
            </w:r>
          </w:p>
        </w:tc>
        <w:tc>
          <w:tcPr>
            <w:tcW w:type="dxa" w:w="67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29.18</w:t>
            </w:r>
          </w:p>
        </w:tc>
        <w:tc>
          <w:tcPr>
            <w:tcW w:type="dxa" w:w="67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23.46</w:t>
            </w:r>
          </w:p>
        </w:tc>
        <w:tc>
          <w:tcPr>
            <w:tcW w:type="dxa" w:w="67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17.89</w:t>
            </w:r>
          </w:p>
        </w:tc>
      </w:tr>
      <w:tr>
        <w:tc>
          <w:tcPr>
            <w:tcW w:type="dxa" w:w="112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b w:val="false"/>
                <w:bCs w:val="false"/>
                <w:sz w:val="20"/>
                <w:szCs w:val="20"/>
              </w:rPr>
              <w:t xml:space="preserve">PMAODV-3</w:t>
            </w:r>
          </w:p>
        </w:tc>
        <w:tc>
          <w:tcPr>
            <w:tcW w:type="dxa" w:w="67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34.95</w:t>
            </w:r>
          </w:p>
        </w:tc>
        <w:tc>
          <w:tcPr>
            <w:tcW w:type="dxa" w:w="67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38.55</w:t>
            </w:r>
          </w:p>
        </w:tc>
        <w:tc>
          <w:tcPr>
            <w:tcW w:type="dxa" w:w="67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39.01</w:t>
            </w:r>
          </w:p>
        </w:tc>
        <w:tc>
          <w:tcPr>
            <w:tcW w:type="dxa" w:w="67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41.44</w:t>
            </w:r>
          </w:p>
        </w:tc>
        <w:tc>
          <w:tcPr>
            <w:tcW w:type="dxa" w:w="67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35.59</w:t>
            </w:r>
          </w:p>
        </w:tc>
        <w:tc>
          <w:tcPr>
            <w:tcW w:type="dxa" w:w="67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32.03</w:t>
            </w:r>
          </w:p>
        </w:tc>
        <w:tc>
          <w:tcPr>
            <w:tcW w:type="dxa" w:w="67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30.80</w:t>
            </w:r>
          </w:p>
        </w:tc>
        <w:tc>
          <w:tcPr>
            <w:tcW w:type="dxa" w:w="67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23.91</w:t>
            </w:r>
          </w:p>
        </w:tc>
        <w:tc>
          <w:tcPr>
            <w:tcW w:type="dxa" w:w="67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16.69</w:t>
            </w:r>
          </w:p>
        </w:tc>
      </w:tr>
      <w:tr>
        <w:tc>
          <w:tcPr>
            <w:tcW w:type="dxa" w:w="112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b/>
                <w:bCs/>
                <w:sz w:val="20"/>
                <w:szCs w:val="20"/>
              </w:rPr>
              <w:t xml:space="preserve">QMAODV-3</w:t>
            </w:r>
          </w:p>
        </w:tc>
        <w:tc>
          <w:tcPr>
            <w:tcW w:type="dxa" w:w="67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34.56</w:t>
            </w:r>
          </w:p>
        </w:tc>
        <w:tc>
          <w:tcPr>
            <w:tcW w:type="dxa" w:w="670"/>
            <w:tcBorders>
              <w:top w:val="single" w:color="888888" w:sz="4"/>
              <w:left w:val="single" w:color="888888" w:sz="4"/>
              <w:bottom w:val="single" w:color="888888" w:sz="4"/>
              <w:right w:val="single" w:color="888888" w:sz="4"/>
            </w:tcBorders>
            <w:shd w:fill="FFE699" w:val="clear"/>
            <w:tcMar>
              <w:top w:type="dxa" w:w="80"/>
              <w:left w:type="dxa" w:w="100"/>
              <w:bottom w:type="dxa" w:w="80"/>
              <w:right w:type="dxa" w:w="100"/>
            </w:tcMar>
          </w:tcPr>
          <w:p>
            <w:pPr>
              <w:jc w:val="center"/>
            </w:pPr>
            <w:r>
              <w:rPr>
                <w:b/>
                <w:bCs/>
                <w:sz w:val="20"/>
                <w:szCs w:val="20"/>
              </w:rPr>
              <w:t xml:space="preserve">40.37</w:t>
            </w:r>
          </w:p>
        </w:tc>
        <w:tc>
          <w:tcPr>
            <w:tcW w:type="dxa" w:w="670"/>
            <w:tcBorders>
              <w:top w:val="single" w:color="888888" w:sz="4"/>
              <w:left w:val="single" w:color="888888" w:sz="4"/>
              <w:bottom w:val="single" w:color="888888" w:sz="4"/>
              <w:right w:val="single" w:color="888888" w:sz="4"/>
            </w:tcBorders>
            <w:shd w:fill="FFE699" w:val="clear"/>
            <w:tcMar>
              <w:top w:type="dxa" w:w="80"/>
              <w:left w:type="dxa" w:w="100"/>
              <w:bottom w:type="dxa" w:w="80"/>
              <w:right w:type="dxa" w:w="100"/>
            </w:tcMar>
          </w:tcPr>
          <w:p>
            <w:pPr>
              <w:jc w:val="center"/>
            </w:pPr>
            <w:r>
              <w:rPr>
                <w:b/>
                <w:bCs/>
                <w:sz w:val="20"/>
                <w:szCs w:val="20"/>
              </w:rPr>
              <w:t xml:space="preserve">44.41</w:t>
            </w:r>
          </w:p>
        </w:tc>
        <w:tc>
          <w:tcPr>
            <w:tcW w:type="dxa" w:w="670"/>
            <w:tcBorders>
              <w:top w:val="single" w:color="888888" w:sz="4"/>
              <w:left w:val="single" w:color="888888" w:sz="4"/>
              <w:bottom w:val="single" w:color="888888" w:sz="4"/>
              <w:right w:val="single" w:color="888888" w:sz="4"/>
            </w:tcBorders>
            <w:shd w:fill="FFE699" w:val="clear"/>
            <w:tcMar>
              <w:top w:type="dxa" w:w="80"/>
              <w:left w:type="dxa" w:w="100"/>
              <w:bottom w:type="dxa" w:w="80"/>
              <w:right w:type="dxa" w:w="100"/>
            </w:tcMar>
          </w:tcPr>
          <w:p>
            <w:pPr>
              <w:jc w:val="center"/>
            </w:pPr>
            <w:r>
              <w:rPr>
                <w:b/>
                <w:bCs/>
                <w:sz w:val="20"/>
                <w:szCs w:val="20"/>
              </w:rPr>
              <w:t xml:space="preserve">48.01</w:t>
            </w:r>
          </w:p>
        </w:tc>
        <w:tc>
          <w:tcPr>
            <w:tcW w:type="dxa" w:w="670"/>
            <w:tcBorders>
              <w:top w:val="single" w:color="888888" w:sz="4"/>
              <w:left w:val="single" w:color="888888" w:sz="4"/>
              <w:bottom w:val="single" w:color="888888" w:sz="4"/>
              <w:right w:val="single" w:color="888888" w:sz="4"/>
            </w:tcBorders>
            <w:shd w:fill="FFE699" w:val="clear"/>
            <w:tcMar>
              <w:top w:type="dxa" w:w="80"/>
              <w:left w:type="dxa" w:w="100"/>
              <w:bottom w:type="dxa" w:w="80"/>
              <w:right w:type="dxa" w:w="100"/>
            </w:tcMar>
          </w:tcPr>
          <w:p>
            <w:pPr>
              <w:jc w:val="center"/>
            </w:pPr>
            <w:r>
              <w:rPr>
                <w:b/>
                <w:bCs/>
                <w:sz w:val="20"/>
                <w:szCs w:val="20"/>
              </w:rPr>
              <w:t xml:space="preserve">40.47</w:t>
            </w:r>
          </w:p>
        </w:tc>
        <w:tc>
          <w:tcPr>
            <w:tcW w:type="dxa" w:w="670"/>
            <w:tcBorders>
              <w:top w:val="single" w:color="888888" w:sz="4"/>
              <w:left w:val="single" w:color="888888" w:sz="4"/>
              <w:bottom w:val="single" w:color="888888" w:sz="4"/>
              <w:right w:val="single" w:color="888888" w:sz="4"/>
            </w:tcBorders>
            <w:shd w:fill="FFE699" w:val="clear"/>
            <w:tcMar>
              <w:top w:type="dxa" w:w="80"/>
              <w:left w:type="dxa" w:w="100"/>
              <w:bottom w:type="dxa" w:w="80"/>
              <w:right w:type="dxa" w:w="100"/>
            </w:tcMar>
          </w:tcPr>
          <w:p>
            <w:pPr>
              <w:jc w:val="center"/>
            </w:pPr>
            <w:r>
              <w:rPr>
                <w:b/>
                <w:bCs/>
                <w:sz w:val="20"/>
                <w:szCs w:val="20"/>
              </w:rPr>
              <w:t xml:space="preserve">40.01</w:t>
            </w:r>
          </w:p>
        </w:tc>
        <w:tc>
          <w:tcPr>
            <w:tcW w:type="dxa" w:w="670"/>
            <w:tcBorders>
              <w:top w:val="single" w:color="888888" w:sz="4"/>
              <w:left w:val="single" w:color="888888" w:sz="4"/>
              <w:bottom w:val="single" w:color="888888" w:sz="4"/>
              <w:right w:val="single" w:color="888888" w:sz="4"/>
            </w:tcBorders>
            <w:shd w:fill="FFE699" w:val="clear"/>
            <w:tcMar>
              <w:top w:type="dxa" w:w="80"/>
              <w:left w:type="dxa" w:w="100"/>
              <w:bottom w:type="dxa" w:w="80"/>
              <w:right w:type="dxa" w:w="100"/>
            </w:tcMar>
          </w:tcPr>
          <w:p>
            <w:pPr>
              <w:jc w:val="center"/>
            </w:pPr>
            <w:r>
              <w:rPr>
                <w:b/>
                <w:bCs/>
                <w:sz w:val="20"/>
                <w:szCs w:val="20"/>
              </w:rPr>
              <w:t xml:space="preserve">39.72</w:t>
            </w:r>
          </w:p>
        </w:tc>
        <w:tc>
          <w:tcPr>
            <w:tcW w:type="dxa" w:w="670"/>
            <w:tcBorders>
              <w:top w:val="single" w:color="888888" w:sz="4"/>
              <w:left w:val="single" w:color="888888" w:sz="4"/>
              <w:bottom w:val="single" w:color="888888" w:sz="4"/>
              <w:right w:val="single" w:color="888888" w:sz="4"/>
            </w:tcBorders>
            <w:shd w:fill="FFE699" w:val="clear"/>
            <w:tcMar>
              <w:top w:type="dxa" w:w="80"/>
              <w:left w:type="dxa" w:w="100"/>
              <w:bottom w:type="dxa" w:w="80"/>
              <w:right w:type="dxa" w:w="100"/>
            </w:tcMar>
          </w:tcPr>
          <w:p>
            <w:pPr>
              <w:jc w:val="center"/>
            </w:pPr>
            <w:r>
              <w:rPr>
                <w:b/>
                <w:bCs/>
                <w:sz w:val="20"/>
                <w:szCs w:val="20"/>
              </w:rPr>
              <w:t xml:space="preserve">27.57</w:t>
            </w:r>
          </w:p>
        </w:tc>
        <w:tc>
          <w:tcPr>
            <w:tcW w:type="dxa" w:w="670"/>
            <w:tcBorders>
              <w:top w:val="single" w:color="888888" w:sz="4"/>
              <w:left w:val="single" w:color="888888" w:sz="4"/>
              <w:bottom w:val="single" w:color="888888" w:sz="4"/>
              <w:right w:val="single" w:color="888888" w:sz="4"/>
            </w:tcBorders>
            <w:shd w:fill="FFE699" w:val="clear"/>
            <w:tcMar>
              <w:top w:type="dxa" w:w="80"/>
              <w:left w:type="dxa" w:w="100"/>
              <w:bottom w:type="dxa" w:w="80"/>
              <w:right w:type="dxa" w:w="100"/>
            </w:tcMar>
          </w:tcPr>
          <w:p>
            <w:pPr>
              <w:jc w:val="center"/>
            </w:pPr>
            <w:r>
              <w:rPr>
                <w:b/>
                <w:bCs/>
                <w:sz w:val="20"/>
                <w:szCs w:val="20"/>
              </w:rPr>
              <w:t xml:space="preserve">18.86</w:t>
            </w:r>
          </w:p>
        </w:tc>
      </w:tr>
    </w:tbl>
    <w:p>
      <w:pPr>
        <w:spacing w:after="60" w:before="120"/>
        <w:jc w:val="center"/>
      </w:pPr>
      <w:r>
        <w:drawing>
          <wp:inline distT="0" distB="0" distL="0" distR="0">
            <wp:extent cx="4572000" cy="2762250"/>
            <wp:effectExtent t="0" r="0" b="0" l="0"/>
            <wp:docPr id="1" name="Fig_N_PDR.png" descr="Fig_N_PDR.png" title="Fig_N_PD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762250"/>
                    </a:xfrm>
                    <a:prstGeom prst="rect">
                      <a:avLst/>
                    </a:prstGeom>
                  </pic:spPr>
                </pic:pic>
              </a:graphicData>
            </a:graphic>
          </wp:inline>
        </w:drawing>
      </w:r>
    </w:p>
    <w:p>
      <w:pPr>
        <w:spacing w:after="160" w:before="60"/>
        <w:jc w:val="center"/>
      </w:pPr>
      <w:r>
        <w:rPr>
          <w:i/>
          <w:iCs/>
          <w:sz w:val="20"/>
          <w:szCs w:val="20"/>
        </w:rPr>
        <w:t xml:space="preserve">Hình 1. PDR theo số UAV — Family N (Strategy B)</w:t>
      </w:r>
    </w:p>
    <w:p>
      <w:pPr>
        <w:spacing w:after="120"/>
        <w:jc w:val="both"/>
      </w:pPr>
      <w:r>
        <w:rPr>
          <w:sz w:val="22"/>
          <w:szCs w:val="22"/>
        </w:rPr>
        <w:t xml:space="preserve">Kết quả Family N cho thấy QMAODV-3 dẫn đầu trong dải N = 8-25 với khoảng cách rõ rệt:</w:t>
      </w:r>
    </w:p>
    <w:p>
      <w:pPr>
        <w:pStyle w:val="ListParagraph"/>
        <w:numPr>
          <w:ilvl w:val="0"/>
          <w:numId w:val="2"/>
        </w:numPr>
        <w:spacing w:after="60"/>
      </w:pPr>
      <w:r>
        <w:rPr>
          <w:sz w:val="22"/>
          <w:szCs w:val="22"/>
        </w:rPr>
        <w:t xml:space="preserve">Tại N = 12, QMAODV-3 đạt PDR cực đại 48,01 % — vượt PMAODV-3 (+6,57 pp), AODV (+8,51 pp), AOMDV-3 (+8,91 pp).</w:t>
      </w:r>
    </w:p>
    <w:p>
      <w:pPr>
        <w:pStyle w:val="ListParagraph"/>
        <w:numPr>
          <w:ilvl w:val="0"/>
          <w:numId w:val="2"/>
        </w:numPr>
        <w:spacing w:after="60"/>
      </w:pPr>
      <w:r>
        <w:rPr>
          <w:sz w:val="22"/>
          <w:szCs w:val="22"/>
        </w:rPr>
        <w:t xml:space="preserve">Tại N = 10, QMAODV-3 đạt 44,41 % — vượt rõ AODV (40,22 %) và các baseline khác.</w:t>
      </w:r>
    </w:p>
    <w:p>
      <w:pPr>
        <w:pStyle w:val="ListParagraph"/>
        <w:numPr>
          <w:ilvl w:val="0"/>
          <w:numId w:val="2"/>
        </w:numPr>
        <w:spacing w:after="60"/>
      </w:pPr>
      <w:r>
        <w:rPr>
          <w:sz w:val="22"/>
          <w:szCs w:val="22"/>
        </w:rPr>
        <w:t xml:space="preserve">Tại N = 15-20, QMAODV-3 duy trì PDR 39-40 %, dẫn đầu cách biệt baseline 6-10 pp.</w:t>
      </w:r>
    </w:p>
    <w:p>
      <w:pPr>
        <w:pStyle w:val="ListParagraph"/>
        <w:numPr>
          <w:ilvl w:val="0"/>
          <w:numId w:val="2"/>
        </w:numPr>
        <w:spacing w:after="60"/>
      </w:pPr>
      <w:r>
        <w:rPr>
          <w:sz w:val="22"/>
          <w:szCs w:val="22"/>
        </w:rPr>
        <w:t xml:space="preserve">Tại đầu mút N = 5 (quá thưa), bốn giao thức có PDR tương đương ~35-36 %; tại N = 30 (quá dày), tất cả đều giảm xuống ~17-19 %, lợi thế Q-learning không còn rõ.</w:t>
      </w:r>
    </w:p>
    <w:p>
      <w:pPr>
        <w:spacing w:after="160" w:before="60"/>
        <w:jc w:val="center"/>
      </w:pPr>
      <w:r>
        <w:rPr>
          <w:i/>
          <w:iCs/>
          <w:sz w:val="20"/>
          <w:szCs w:val="20"/>
        </w:rPr>
        <w:t xml:space="preserve">Bảng 4. End-to-end Delay (ms) theo số UAV (Family N)</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120"/>
        <w:gridCol w:w="670"/>
        <w:gridCol w:w="670"/>
        <w:gridCol w:w="670"/>
        <w:gridCol w:w="670"/>
        <w:gridCol w:w="670"/>
        <w:gridCol w:w="670"/>
        <w:gridCol w:w="670"/>
        <w:gridCol w:w="670"/>
        <w:gridCol w:w="670"/>
      </w:tblGrid>
      <w:tr>
        <w:tc>
          <w:tcPr>
            <w:tcW w:type="dxa" w:w="1120"/>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jc w:val="center"/>
            </w:pPr>
            <w:r>
              <w:rPr>
                <w:b/>
                <w:bCs/>
                <w:sz w:val="20"/>
                <w:szCs w:val="20"/>
              </w:rPr>
              <w:t xml:space="preserve">Giao thức</w:t>
            </w:r>
          </w:p>
        </w:tc>
        <w:tc>
          <w:tcPr>
            <w:tcW w:type="dxa" w:w="670"/>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jc w:val="center"/>
            </w:pPr>
            <w:r>
              <w:rPr>
                <w:b/>
                <w:bCs/>
                <w:sz w:val="20"/>
                <w:szCs w:val="20"/>
              </w:rPr>
              <w:t xml:space="preserve">N=5</w:t>
            </w:r>
          </w:p>
        </w:tc>
        <w:tc>
          <w:tcPr>
            <w:tcW w:type="dxa" w:w="670"/>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jc w:val="center"/>
            </w:pPr>
            <w:r>
              <w:rPr>
                <w:b/>
                <w:bCs/>
                <w:sz w:val="20"/>
                <w:szCs w:val="20"/>
              </w:rPr>
              <w:t xml:space="preserve">N=8</w:t>
            </w:r>
          </w:p>
        </w:tc>
        <w:tc>
          <w:tcPr>
            <w:tcW w:type="dxa" w:w="670"/>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jc w:val="center"/>
            </w:pPr>
            <w:r>
              <w:rPr>
                <w:b/>
                <w:bCs/>
                <w:sz w:val="20"/>
                <w:szCs w:val="20"/>
              </w:rPr>
              <w:t xml:space="preserve">N=10</w:t>
            </w:r>
          </w:p>
        </w:tc>
        <w:tc>
          <w:tcPr>
            <w:tcW w:type="dxa" w:w="670"/>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jc w:val="center"/>
            </w:pPr>
            <w:r>
              <w:rPr>
                <w:b/>
                <w:bCs/>
                <w:sz w:val="20"/>
                <w:szCs w:val="20"/>
              </w:rPr>
              <w:t xml:space="preserve">N=12</w:t>
            </w:r>
          </w:p>
        </w:tc>
        <w:tc>
          <w:tcPr>
            <w:tcW w:type="dxa" w:w="670"/>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jc w:val="center"/>
            </w:pPr>
            <w:r>
              <w:rPr>
                <w:b/>
                <w:bCs/>
                <w:sz w:val="20"/>
                <w:szCs w:val="20"/>
              </w:rPr>
              <w:t xml:space="preserve">N=15</w:t>
            </w:r>
          </w:p>
        </w:tc>
        <w:tc>
          <w:tcPr>
            <w:tcW w:type="dxa" w:w="670"/>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jc w:val="center"/>
            </w:pPr>
            <w:r>
              <w:rPr>
                <w:b/>
                <w:bCs/>
                <w:sz w:val="20"/>
                <w:szCs w:val="20"/>
              </w:rPr>
              <w:t xml:space="preserve">N=18</w:t>
            </w:r>
          </w:p>
        </w:tc>
        <w:tc>
          <w:tcPr>
            <w:tcW w:type="dxa" w:w="670"/>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jc w:val="center"/>
            </w:pPr>
            <w:r>
              <w:rPr>
                <w:b/>
                <w:bCs/>
                <w:sz w:val="20"/>
                <w:szCs w:val="20"/>
              </w:rPr>
              <w:t xml:space="preserve">N=20</w:t>
            </w:r>
          </w:p>
        </w:tc>
        <w:tc>
          <w:tcPr>
            <w:tcW w:type="dxa" w:w="670"/>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jc w:val="center"/>
            </w:pPr>
            <w:r>
              <w:rPr>
                <w:b/>
                <w:bCs/>
                <w:sz w:val="20"/>
                <w:szCs w:val="20"/>
              </w:rPr>
              <w:t xml:space="preserve">N=25</w:t>
            </w:r>
          </w:p>
        </w:tc>
        <w:tc>
          <w:tcPr>
            <w:tcW w:type="dxa" w:w="670"/>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jc w:val="center"/>
            </w:pPr>
            <w:r>
              <w:rPr>
                <w:b/>
                <w:bCs/>
                <w:sz w:val="20"/>
                <w:szCs w:val="20"/>
              </w:rPr>
              <w:t xml:space="preserve">N=30</w:t>
            </w:r>
          </w:p>
        </w:tc>
      </w:tr>
      <w:tr>
        <w:tc>
          <w:tcPr>
            <w:tcW w:type="dxa" w:w="112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b w:val="false"/>
                <w:bCs w:val="false"/>
                <w:sz w:val="20"/>
                <w:szCs w:val="20"/>
              </w:rPr>
              <w:t xml:space="preserve">AODV</w:t>
            </w:r>
          </w:p>
        </w:tc>
        <w:tc>
          <w:tcPr>
            <w:tcW w:type="dxa" w:w="67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665.9</w:t>
            </w:r>
          </w:p>
        </w:tc>
        <w:tc>
          <w:tcPr>
            <w:tcW w:type="dxa" w:w="67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487.8</w:t>
            </w:r>
          </w:p>
        </w:tc>
        <w:tc>
          <w:tcPr>
            <w:tcW w:type="dxa" w:w="67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412.0</w:t>
            </w:r>
          </w:p>
        </w:tc>
        <w:tc>
          <w:tcPr>
            <w:tcW w:type="dxa" w:w="67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265.5</w:t>
            </w:r>
          </w:p>
        </w:tc>
        <w:tc>
          <w:tcPr>
            <w:tcW w:type="dxa" w:w="67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189.5</w:t>
            </w:r>
          </w:p>
        </w:tc>
        <w:tc>
          <w:tcPr>
            <w:tcW w:type="dxa" w:w="67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113.0</w:t>
            </w:r>
          </w:p>
        </w:tc>
        <w:tc>
          <w:tcPr>
            <w:tcW w:type="dxa" w:w="67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106.2</w:t>
            </w:r>
          </w:p>
        </w:tc>
        <w:tc>
          <w:tcPr>
            <w:tcW w:type="dxa" w:w="67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100.6</w:t>
            </w:r>
          </w:p>
        </w:tc>
        <w:tc>
          <w:tcPr>
            <w:tcW w:type="dxa" w:w="67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102.4</w:t>
            </w:r>
          </w:p>
        </w:tc>
      </w:tr>
      <w:tr>
        <w:tc>
          <w:tcPr>
            <w:tcW w:type="dxa" w:w="112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b w:val="false"/>
                <w:bCs w:val="false"/>
                <w:sz w:val="20"/>
                <w:szCs w:val="20"/>
              </w:rPr>
              <w:t xml:space="preserve">AOMDV-3</w:t>
            </w:r>
          </w:p>
        </w:tc>
        <w:tc>
          <w:tcPr>
            <w:tcW w:type="dxa" w:w="67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651.9</w:t>
            </w:r>
          </w:p>
        </w:tc>
        <w:tc>
          <w:tcPr>
            <w:tcW w:type="dxa" w:w="67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505.6</w:t>
            </w:r>
          </w:p>
        </w:tc>
        <w:tc>
          <w:tcPr>
            <w:tcW w:type="dxa" w:w="67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425.6</w:t>
            </w:r>
          </w:p>
        </w:tc>
        <w:tc>
          <w:tcPr>
            <w:tcW w:type="dxa" w:w="67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270.4</w:t>
            </w:r>
          </w:p>
        </w:tc>
        <w:tc>
          <w:tcPr>
            <w:tcW w:type="dxa" w:w="67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201.0</w:t>
            </w:r>
          </w:p>
        </w:tc>
        <w:tc>
          <w:tcPr>
            <w:tcW w:type="dxa" w:w="67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96.6</w:t>
            </w:r>
          </w:p>
        </w:tc>
        <w:tc>
          <w:tcPr>
            <w:tcW w:type="dxa" w:w="67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90.1</w:t>
            </w:r>
          </w:p>
        </w:tc>
        <w:tc>
          <w:tcPr>
            <w:tcW w:type="dxa" w:w="67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86.3</w:t>
            </w:r>
          </w:p>
        </w:tc>
        <w:tc>
          <w:tcPr>
            <w:tcW w:type="dxa" w:w="67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102.0</w:t>
            </w:r>
          </w:p>
        </w:tc>
      </w:tr>
      <w:tr>
        <w:tc>
          <w:tcPr>
            <w:tcW w:type="dxa" w:w="112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b w:val="false"/>
                <w:bCs w:val="false"/>
                <w:sz w:val="20"/>
                <w:szCs w:val="20"/>
              </w:rPr>
              <w:t xml:space="preserve">PMAODV-3</w:t>
            </w:r>
          </w:p>
        </w:tc>
        <w:tc>
          <w:tcPr>
            <w:tcW w:type="dxa" w:w="67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674.8</w:t>
            </w:r>
          </w:p>
        </w:tc>
        <w:tc>
          <w:tcPr>
            <w:tcW w:type="dxa" w:w="67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526.3</w:t>
            </w:r>
          </w:p>
        </w:tc>
        <w:tc>
          <w:tcPr>
            <w:tcW w:type="dxa" w:w="67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441.7</w:t>
            </w:r>
          </w:p>
        </w:tc>
        <w:tc>
          <w:tcPr>
            <w:tcW w:type="dxa" w:w="67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277.8</w:t>
            </w:r>
          </w:p>
        </w:tc>
        <w:tc>
          <w:tcPr>
            <w:tcW w:type="dxa" w:w="67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225.3</w:t>
            </w:r>
          </w:p>
        </w:tc>
        <w:tc>
          <w:tcPr>
            <w:tcW w:type="dxa" w:w="67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115.3</w:t>
            </w:r>
          </w:p>
        </w:tc>
        <w:tc>
          <w:tcPr>
            <w:tcW w:type="dxa" w:w="67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115.7</w:t>
            </w:r>
          </w:p>
        </w:tc>
        <w:tc>
          <w:tcPr>
            <w:tcW w:type="dxa" w:w="67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101.2</w:t>
            </w:r>
          </w:p>
        </w:tc>
        <w:tc>
          <w:tcPr>
            <w:tcW w:type="dxa" w:w="67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113.1</w:t>
            </w:r>
          </w:p>
        </w:tc>
      </w:tr>
      <w:tr>
        <w:tc>
          <w:tcPr>
            <w:tcW w:type="dxa" w:w="112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b/>
                <w:bCs/>
                <w:sz w:val="20"/>
                <w:szCs w:val="20"/>
              </w:rPr>
              <w:t xml:space="preserve">QMAODV-3</w:t>
            </w:r>
          </w:p>
        </w:tc>
        <w:tc>
          <w:tcPr>
            <w:tcW w:type="dxa" w:w="670"/>
            <w:tcBorders>
              <w:top w:val="single" w:color="888888" w:sz="4"/>
              <w:left w:val="single" w:color="888888" w:sz="4"/>
              <w:bottom w:val="single" w:color="888888" w:sz="4"/>
              <w:right w:val="single" w:color="888888" w:sz="4"/>
            </w:tcBorders>
            <w:shd w:fill="FFE699" w:val="clear"/>
            <w:tcMar>
              <w:top w:type="dxa" w:w="80"/>
              <w:left w:type="dxa" w:w="100"/>
              <w:bottom w:type="dxa" w:w="80"/>
              <w:right w:type="dxa" w:w="100"/>
            </w:tcMar>
          </w:tcPr>
          <w:p>
            <w:pPr>
              <w:jc w:val="center"/>
            </w:pPr>
            <w:r>
              <w:rPr>
                <w:b/>
                <w:bCs/>
                <w:sz w:val="20"/>
                <w:szCs w:val="20"/>
              </w:rPr>
              <w:t xml:space="preserve">675.3</w:t>
            </w:r>
          </w:p>
        </w:tc>
        <w:tc>
          <w:tcPr>
            <w:tcW w:type="dxa" w:w="670"/>
            <w:tcBorders>
              <w:top w:val="single" w:color="888888" w:sz="4"/>
              <w:left w:val="single" w:color="888888" w:sz="4"/>
              <w:bottom w:val="single" w:color="888888" w:sz="4"/>
              <w:right w:val="single" w:color="888888" w:sz="4"/>
            </w:tcBorders>
            <w:shd w:fill="FFE699" w:val="clear"/>
            <w:tcMar>
              <w:top w:type="dxa" w:w="80"/>
              <w:left w:type="dxa" w:w="100"/>
              <w:bottom w:type="dxa" w:w="80"/>
              <w:right w:type="dxa" w:w="100"/>
            </w:tcMar>
          </w:tcPr>
          <w:p>
            <w:pPr>
              <w:jc w:val="center"/>
            </w:pPr>
            <w:r>
              <w:rPr>
                <w:b/>
                <w:bCs/>
                <w:sz w:val="20"/>
                <w:szCs w:val="20"/>
              </w:rPr>
              <w:t xml:space="preserve">565.6</w:t>
            </w:r>
          </w:p>
        </w:tc>
        <w:tc>
          <w:tcPr>
            <w:tcW w:type="dxa" w:w="670"/>
            <w:tcBorders>
              <w:top w:val="single" w:color="888888" w:sz="4"/>
              <w:left w:val="single" w:color="888888" w:sz="4"/>
              <w:bottom w:val="single" w:color="888888" w:sz="4"/>
              <w:right w:val="single" w:color="888888" w:sz="4"/>
            </w:tcBorders>
            <w:shd w:fill="FFE699" w:val="clear"/>
            <w:tcMar>
              <w:top w:type="dxa" w:w="80"/>
              <w:left w:type="dxa" w:w="100"/>
              <w:bottom w:type="dxa" w:w="80"/>
              <w:right w:type="dxa" w:w="100"/>
            </w:tcMar>
          </w:tcPr>
          <w:p>
            <w:pPr>
              <w:jc w:val="center"/>
            </w:pPr>
            <w:r>
              <w:rPr>
                <w:b/>
                <w:bCs/>
                <w:sz w:val="20"/>
                <w:szCs w:val="20"/>
              </w:rPr>
              <w:t xml:space="preserve">448.7</w:t>
            </w:r>
          </w:p>
        </w:tc>
        <w:tc>
          <w:tcPr>
            <w:tcW w:type="dxa" w:w="670"/>
            <w:tcBorders>
              <w:top w:val="single" w:color="888888" w:sz="4"/>
              <w:left w:val="single" w:color="888888" w:sz="4"/>
              <w:bottom w:val="single" w:color="888888" w:sz="4"/>
              <w:right w:val="single" w:color="888888" w:sz="4"/>
            </w:tcBorders>
            <w:shd w:fill="FFE699" w:val="clear"/>
            <w:tcMar>
              <w:top w:type="dxa" w:w="80"/>
              <w:left w:type="dxa" w:w="100"/>
              <w:bottom w:type="dxa" w:w="80"/>
              <w:right w:type="dxa" w:w="100"/>
            </w:tcMar>
          </w:tcPr>
          <w:p>
            <w:pPr>
              <w:jc w:val="center"/>
            </w:pPr>
            <w:r>
              <w:rPr>
                <w:b/>
                <w:bCs/>
                <w:sz w:val="20"/>
                <w:szCs w:val="20"/>
              </w:rPr>
              <w:t xml:space="preserve">343.2</w:t>
            </w:r>
          </w:p>
        </w:tc>
        <w:tc>
          <w:tcPr>
            <w:tcW w:type="dxa" w:w="670"/>
            <w:tcBorders>
              <w:top w:val="single" w:color="888888" w:sz="4"/>
              <w:left w:val="single" w:color="888888" w:sz="4"/>
              <w:bottom w:val="single" w:color="888888" w:sz="4"/>
              <w:right w:val="single" w:color="888888" w:sz="4"/>
            </w:tcBorders>
            <w:shd w:fill="FFE699" w:val="clear"/>
            <w:tcMar>
              <w:top w:type="dxa" w:w="80"/>
              <w:left w:type="dxa" w:w="100"/>
              <w:bottom w:type="dxa" w:w="80"/>
              <w:right w:type="dxa" w:w="100"/>
            </w:tcMar>
          </w:tcPr>
          <w:p>
            <w:pPr>
              <w:jc w:val="center"/>
            </w:pPr>
            <w:r>
              <w:rPr>
                <w:b/>
                <w:bCs/>
                <w:sz w:val="20"/>
                <w:szCs w:val="20"/>
              </w:rPr>
              <w:t xml:space="preserve">243.2</w:t>
            </w:r>
          </w:p>
        </w:tc>
        <w:tc>
          <w:tcPr>
            <w:tcW w:type="dxa" w:w="670"/>
            <w:tcBorders>
              <w:top w:val="single" w:color="888888" w:sz="4"/>
              <w:left w:val="single" w:color="888888" w:sz="4"/>
              <w:bottom w:val="single" w:color="888888" w:sz="4"/>
              <w:right w:val="single" w:color="888888" w:sz="4"/>
            </w:tcBorders>
            <w:shd w:fill="FFE699" w:val="clear"/>
            <w:tcMar>
              <w:top w:type="dxa" w:w="80"/>
              <w:left w:type="dxa" w:w="100"/>
              <w:bottom w:type="dxa" w:w="80"/>
              <w:right w:type="dxa" w:w="100"/>
            </w:tcMar>
          </w:tcPr>
          <w:p>
            <w:pPr>
              <w:jc w:val="center"/>
            </w:pPr>
            <w:r>
              <w:rPr>
                <w:b/>
                <w:bCs/>
                <w:sz w:val="20"/>
                <w:szCs w:val="20"/>
              </w:rPr>
              <w:t xml:space="preserve">187.8</w:t>
            </w:r>
          </w:p>
        </w:tc>
        <w:tc>
          <w:tcPr>
            <w:tcW w:type="dxa" w:w="670"/>
            <w:tcBorders>
              <w:top w:val="single" w:color="888888" w:sz="4"/>
              <w:left w:val="single" w:color="888888" w:sz="4"/>
              <w:bottom w:val="single" w:color="888888" w:sz="4"/>
              <w:right w:val="single" w:color="888888" w:sz="4"/>
            </w:tcBorders>
            <w:shd w:fill="FFE699" w:val="clear"/>
            <w:tcMar>
              <w:top w:type="dxa" w:w="80"/>
              <w:left w:type="dxa" w:w="100"/>
              <w:bottom w:type="dxa" w:w="80"/>
              <w:right w:type="dxa" w:w="100"/>
            </w:tcMar>
          </w:tcPr>
          <w:p>
            <w:pPr>
              <w:jc w:val="center"/>
            </w:pPr>
            <w:r>
              <w:rPr>
                <w:b/>
                <w:bCs/>
                <w:sz w:val="20"/>
                <w:szCs w:val="20"/>
              </w:rPr>
              <w:t xml:space="preserve">170.8</w:t>
            </w:r>
          </w:p>
        </w:tc>
        <w:tc>
          <w:tcPr>
            <w:tcW w:type="dxa" w:w="670"/>
            <w:tcBorders>
              <w:top w:val="single" w:color="888888" w:sz="4"/>
              <w:left w:val="single" w:color="888888" w:sz="4"/>
              <w:bottom w:val="single" w:color="888888" w:sz="4"/>
              <w:right w:val="single" w:color="888888" w:sz="4"/>
            </w:tcBorders>
            <w:shd w:fill="FFE699" w:val="clear"/>
            <w:tcMar>
              <w:top w:type="dxa" w:w="80"/>
              <w:left w:type="dxa" w:w="100"/>
              <w:bottom w:type="dxa" w:w="80"/>
              <w:right w:type="dxa" w:w="100"/>
            </w:tcMar>
          </w:tcPr>
          <w:p>
            <w:pPr>
              <w:jc w:val="center"/>
            </w:pPr>
            <w:r>
              <w:rPr>
                <w:b/>
                <w:bCs/>
                <w:sz w:val="20"/>
                <w:szCs w:val="20"/>
              </w:rPr>
              <w:t xml:space="preserve">171.0</w:t>
            </w:r>
          </w:p>
        </w:tc>
        <w:tc>
          <w:tcPr>
            <w:tcW w:type="dxa" w:w="670"/>
            <w:tcBorders>
              <w:top w:val="single" w:color="888888" w:sz="4"/>
              <w:left w:val="single" w:color="888888" w:sz="4"/>
              <w:bottom w:val="single" w:color="888888" w:sz="4"/>
              <w:right w:val="single" w:color="888888" w:sz="4"/>
            </w:tcBorders>
            <w:shd w:fill="FFE699" w:val="clear"/>
            <w:tcMar>
              <w:top w:type="dxa" w:w="80"/>
              <w:left w:type="dxa" w:w="100"/>
              <w:bottom w:type="dxa" w:w="80"/>
              <w:right w:type="dxa" w:w="100"/>
            </w:tcMar>
          </w:tcPr>
          <w:p>
            <w:pPr>
              <w:jc w:val="center"/>
            </w:pPr>
            <w:r>
              <w:rPr>
                <w:b/>
                <w:bCs/>
                <w:sz w:val="20"/>
                <w:szCs w:val="20"/>
              </w:rPr>
              <w:t xml:space="preserve">156.3</w:t>
            </w:r>
          </w:p>
        </w:tc>
      </w:tr>
    </w:tbl>
    <w:p>
      <w:pPr>
        <w:spacing w:after="60" w:before="120"/>
        <w:jc w:val="center"/>
      </w:pPr>
      <w:r>
        <w:drawing>
          <wp:inline distT="0" distB="0" distL="0" distR="0">
            <wp:extent cx="4572000" cy="2762250"/>
            <wp:effectExtent t="0" r="0" b="0" l="0"/>
            <wp:docPr id="1" name="Fig_N_Delay.png" descr="Fig_N_Delay.png" title="Fig_N_Dela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762250"/>
                    </a:xfrm>
                    <a:prstGeom prst="rect">
                      <a:avLst/>
                    </a:prstGeom>
                  </pic:spPr>
                </pic:pic>
              </a:graphicData>
            </a:graphic>
          </wp:inline>
        </w:drawing>
      </w:r>
    </w:p>
    <w:p>
      <w:pPr>
        <w:spacing w:after="160" w:before="60"/>
        <w:jc w:val="center"/>
      </w:pPr>
      <w:r>
        <w:rPr>
          <w:i/>
          <w:iCs/>
          <w:sz w:val="20"/>
          <w:szCs w:val="20"/>
        </w:rPr>
        <w:t xml:space="preserve">Hình 2. Delay theo số UAV — Family N</w:t>
      </w:r>
    </w:p>
    <w:p>
      <w:pPr>
        <w:pStyle w:val="Heading2"/>
      </w:pPr>
      <w:r>
        <w:t xml:space="preserve">5.3 Family L — Tải lưu lượng</w:t>
      </w:r>
    </w:p>
    <w:p>
      <w:pPr>
        <w:spacing w:after="120"/>
        <w:jc w:val="both"/>
      </w:pPr>
      <w:r>
        <w:rPr>
          <w:sz w:val="22"/>
          <w:szCs w:val="22"/>
        </w:rPr>
        <w:t xml:space="preserve">Bảng 5 trình bày PDR theo tải lưu lượng. Hình 3 minh họa biểu đồ PDR.</w:t>
      </w:r>
    </w:p>
    <w:p>
      <w:pPr>
        <w:spacing w:after="160" w:before="60"/>
        <w:jc w:val="center"/>
      </w:pPr>
      <w:r>
        <w:rPr>
          <w:i/>
          <w:iCs/>
          <w:sz w:val="20"/>
          <w:szCs w:val="20"/>
        </w:rPr>
        <w:t xml:space="preserve">Bảng 5. Delivery Ratio (%) theo tải pktInterval (Family L)</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600"/>
        <w:gridCol w:w="1150"/>
        <w:gridCol w:w="1150"/>
        <w:gridCol w:w="1150"/>
        <w:gridCol w:w="1150"/>
        <w:gridCol w:w="1150"/>
      </w:tblGrid>
      <w:tr>
        <w:tc>
          <w:tcPr>
            <w:tcW w:type="dxa" w:w="1600"/>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jc w:val="center"/>
            </w:pPr>
            <w:r>
              <w:rPr>
                <w:b/>
                <w:bCs/>
                <w:sz w:val="20"/>
                <w:szCs w:val="20"/>
              </w:rPr>
              <w:t xml:space="preserve">Giao thức</w:t>
            </w:r>
          </w:p>
        </w:tc>
        <w:tc>
          <w:tcPr>
            <w:tcW w:type="dxa" w:w="1150"/>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jc w:val="center"/>
            </w:pPr>
            <w:r>
              <w:rPr>
                <w:b/>
                <w:bCs/>
                <w:sz w:val="20"/>
                <w:szCs w:val="20"/>
              </w:rPr>
              <w:t xml:space="preserve">pInt=0.05</w:t>
            </w:r>
          </w:p>
        </w:tc>
        <w:tc>
          <w:tcPr>
            <w:tcW w:type="dxa" w:w="1150"/>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jc w:val="center"/>
            </w:pPr>
            <w:r>
              <w:rPr>
                <w:b/>
                <w:bCs/>
                <w:sz w:val="20"/>
                <w:szCs w:val="20"/>
              </w:rPr>
              <w:t xml:space="preserve">pInt=0.1</w:t>
            </w:r>
          </w:p>
        </w:tc>
        <w:tc>
          <w:tcPr>
            <w:tcW w:type="dxa" w:w="1150"/>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jc w:val="center"/>
            </w:pPr>
            <w:r>
              <w:rPr>
                <w:b/>
                <w:bCs/>
                <w:sz w:val="20"/>
                <w:szCs w:val="20"/>
              </w:rPr>
              <w:t xml:space="preserve">pInt=0.25</w:t>
            </w:r>
          </w:p>
        </w:tc>
        <w:tc>
          <w:tcPr>
            <w:tcW w:type="dxa" w:w="1150"/>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jc w:val="center"/>
            </w:pPr>
            <w:r>
              <w:rPr>
                <w:b/>
                <w:bCs/>
                <w:sz w:val="20"/>
                <w:szCs w:val="20"/>
              </w:rPr>
              <w:t xml:space="preserve">pInt=0.5</w:t>
            </w:r>
          </w:p>
        </w:tc>
        <w:tc>
          <w:tcPr>
            <w:tcW w:type="dxa" w:w="1150"/>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jc w:val="center"/>
            </w:pPr>
            <w:r>
              <w:rPr>
                <w:b/>
                <w:bCs/>
                <w:sz w:val="20"/>
                <w:szCs w:val="20"/>
              </w:rPr>
              <w:t xml:space="preserve">pInt=1</w:t>
            </w:r>
          </w:p>
        </w:tc>
      </w:tr>
      <w:tr>
        <w:tc>
          <w:tcPr>
            <w:tcW w:type="dxa" w:w="1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b w:val="false"/>
                <w:bCs w:val="false"/>
                <w:sz w:val="20"/>
                <w:szCs w:val="20"/>
              </w:rPr>
              <w:t xml:space="preserve">AODV</w:t>
            </w:r>
          </w:p>
        </w:tc>
        <w:tc>
          <w:tcPr>
            <w:tcW w:type="dxa" w:w="115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28.79</w:t>
            </w:r>
          </w:p>
        </w:tc>
        <w:tc>
          <w:tcPr>
            <w:tcW w:type="dxa" w:w="115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32.88</w:t>
            </w:r>
          </w:p>
        </w:tc>
        <w:tc>
          <w:tcPr>
            <w:tcW w:type="dxa" w:w="115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33.24</w:t>
            </w:r>
          </w:p>
        </w:tc>
        <w:tc>
          <w:tcPr>
            <w:tcW w:type="dxa" w:w="115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33.35</w:t>
            </w:r>
          </w:p>
        </w:tc>
        <w:tc>
          <w:tcPr>
            <w:tcW w:type="dxa" w:w="115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41.05</w:t>
            </w:r>
          </w:p>
        </w:tc>
      </w:tr>
      <w:tr>
        <w:tc>
          <w:tcPr>
            <w:tcW w:type="dxa" w:w="1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b w:val="false"/>
                <w:bCs w:val="false"/>
                <w:sz w:val="20"/>
                <w:szCs w:val="20"/>
              </w:rPr>
              <w:t xml:space="preserve">AOMDV-3</w:t>
            </w:r>
          </w:p>
        </w:tc>
        <w:tc>
          <w:tcPr>
            <w:tcW w:type="dxa" w:w="115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27.48</w:t>
            </w:r>
          </w:p>
        </w:tc>
        <w:tc>
          <w:tcPr>
            <w:tcW w:type="dxa" w:w="115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33.98</w:t>
            </w:r>
          </w:p>
        </w:tc>
        <w:tc>
          <w:tcPr>
            <w:tcW w:type="dxa" w:w="115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38.20</w:t>
            </w:r>
          </w:p>
        </w:tc>
        <w:tc>
          <w:tcPr>
            <w:tcW w:type="dxa" w:w="115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32.28</w:t>
            </w:r>
          </w:p>
        </w:tc>
        <w:tc>
          <w:tcPr>
            <w:tcW w:type="dxa" w:w="115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38.40</w:t>
            </w:r>
          </w:p>
        </w:tc>
      </w:tr>
      <w:tr>
        <w:tc>
          <w:tcPr>
            <w:tcW w:type="dxa" w:w="1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b w:val="false"/>
                <w:bCs w:val="false"/>
                <w:sz w:val="20"/>
                <w:szCs w:val="20"/>
              </w:rPr>
              <w:t xml:space="preserve">PMAODV-3</w:t>
            </w:r>
          </w:p>
        </w:tc>
        <w:tc>
          <w:tcPr>
            <w:tcW w:type="dxa" w:w="115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bCs/>
                <w:sz w:val="20"/>
                <w:szCs w:val="20"/>
              </w:rPr>
              <w:t xml:space="preserve">29.71</w:t>
            </w:r>
          </w:p>
        </w:tc>
        <w:tc>
          <w:tcPr>
            <w:tcW w:type="dxa" w:w="115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33.33</w:t>
            </w:r>
          </w:p>
        </w:tc>
        <w:tc>
          <w:tcPr>
            <w:tcW w:type="dxa" w:w="115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35.59</w:t>
            </w:r>
          </w:p>
        </w:tc>
        <w:tc>
          <w:tcPr>
            <w:tcW w:type="dxa" w:w="115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37.48</w:t>
            </w:r>
          </w:p>
        </w:tc>
        <w:tc>
          <w:tcPr>
            <w:tcW w:type="dxa" w:w="115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45.22</w:t>
            </w:r>
          </w:p>
        </w:tc>
      </w:tr>
      <w:tr>
        <w:tc>
          <w:tcPr>
            <w:tcW w:type="dxa" w:w="1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b/>
                <w:bCs/>
                <w:sz w:val="20"/>
                <w:szCs w:val="20"/>
              </w:rPr>
              <w:t xml:space="preserve">QMAODV-3</w:t>
            </w:r>
          </w:p>
        </w:tc>
        <w:tc>
          <w:tcPr>
            <w:tcW w:type="dxa" w:w="115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29.06</w:t>
            </w:r>
          </w:p>
        </w:tc>
        <w:tc>
          <w:tcPr>
            <w:tcW w:type="dxa" w:w="1150"/>
            <w:tcBorders>
              <w:top w:val="single" w:color="888888" w:sz="4"/>
              <w:left w:val="single" w:color="888888" w:sz="4"/>
              <w:bottom w:val="single" w:color="888888" w:sz="4"/>
              <w:right w:val="single" w:color="888888" w:sz="4"/>
            </w:tcBorders>
            <w:shd w:fill="FFE699" w:val="clear"/>
            <w:tcMar>
              <w:top w:type="dxa" w:w="80"/>
              <w:left w:type="dxa" w:w="100"/>
              <w:bottom w:type="dxa" w:w="80"/>
              <w:right w:type="dxa" w:w="100"/>
            </w:tcMar>
          </w:tcPr>
          <w:p>
            <w:pPr>
              <w:jc w:val="center"/>
            </w:pPr>
            <w:r>
              <w:rPr>
                <w:b/>
                <w:bCs/>
                <w:sz w:val="20"/>
                <w:szCs w:val="20"/>
              </w:rPr>
              <w:t xml:space="preserve">37.85</w:t>
            </w:r>
          </w:p>
        </w:tc>
        <w:tc>
          <w:tcPr>
            <w:tcW w:type="dxa" w:w="1150"/>
            <w:tcBorders>
              <w:top w:val="single" w:color="888888" w:sz="4"/>
              <w:left w:val="single" w:color="888888" w:sz="4"/>
              <w:bottom w:val="single" w:color="888888" w:sz="4"/>
              <w:right w:val="single" w:color="888888" w:sz="4"/>
            </w:tcBorders>
            <w:shd w:fill="FFE699" w:val="clear"/>
            <w:tcMar>
              <w:top w:type="dxa" w:w="80"/>
              <w:left w:type="dxa" w:w="100"/>
              <w:bottom w:type="dxa" w:w="80"/>
              <w:right w:type="dxa" w:w="100"/>
            </w:tcMar>
          </w:tcPr>
          <w:p>
            <w:pPr>
              <w:jc w:val="center"/>
            </w:pPr>
            <w:r>
              <w:rPr>
                <w:b/>
                <w:bCs/>
                <w:sz w:val="20"/>
                <w:szCs w:val="20"/>
              </w:rPr>
              <w:t xml:space="preserve">40.47</w:t>
            </w:r>
          </w:p>
        </w:tc>
        <w:tc>
          <w:tcPr>
            <w:tcW w:type="dxa" w:w="1150"/>
            <w:tcBorders>
              <w:top w:val="single" w:color="888888" w:sz="4"/>
              <w:left w:val="single" w:color="888888" w:sz="4"/>
              <w:bottom w:val="single" w:color="888888" w:sz="4"/>
              <w:right w:val="single" w:color="888888" w:sz="4"/>
            </w:tcBorders>
            <w:shd w:fill="FFE699" w:val="clear"/>
            <w:tcMar>
              <w:top w:type="dxa" w:w="80"/>
              <w:left w:type="dxa" w:w="100"/>
              <w:bottom w:type="dxa" w:w="80"/>
              <w:right w:type="dxa" w:w="100"/>
            </w:tcMar>
          </w:tcPr>
          <w:p>
            <w:pPr>
              <w:jc w:val="center"/>
            </w:pPr>
            <w:r>
              <w:rPr>
                <w:b/>
                <w:bCs/>
                <w:sz w:val="20"/>
                <w:szCs w:val="20"/>
              </w:rPr>
              <w:t xml:space="preserve">45.85</w:t>
            </w:r>
          </w:p>
        </w:tc>
        <w:tc>
          <w:tcPr>
            <w:tcW w:type="dxa" w:w="1150"/>
            <w:tcBorders>
              <w:top w:val="single" w:color="888888" w:sz="4"/>
              <w:left w:val="single" w:color="888888" w:sz="4"/>
              <w:bottom w:val="single" w:color="888888" w:sz="4"/>
              <w:right w:val="single" w:color="888888" w:sz="4"/>
            </w:tcBorders>
            <w:shd w:fill="FFE699" w:val="clear"/>
            <w:tcMar>
              <w:top w:type="dxa" w:w="80"/>
              <w:left w:type="dxa" w:w="100"/>
              <w:bottom w:type="dxa" w:w="80"/>
              <w:right w:type="dxa" w:w="100"/>
            </w:tcMar>
          </w:tcPr>
          <w:p>
            <w:pPr>
              <w:jc w:val="center"/>
            </w:pPr>
            <w:r>
              <w:rPr>
                <w:b/>
                <w:bCs/>
                <w:sz w:val="20"/>
                <w:szCs w:val="20"/>
              </w:rPr>
              <w:t xml:space="preserve">50.92</w:t>
            </w:r>
          </w:p>
        </w:tc>
      </w:tr>
    </w:tbl>
    <w:p>
      <w:pPr>
        <w:spacing w:after="60" w:before="120"/>
        <w:jc w:val="center"/>
      </w:pPr>
      <w:r>
        <w:drawing>
          <wp:inline distT="0" distB="0" distL="0" distR="0">
            <wp:extent cx="4572000" cy="2762250"/>
            <wp:effectExtent t="0" r="0" b="0" l="0"/>
            <wp:docPr id="1" name="Fig_L_PDR.png" descr="Fig_L_PDR.png" title="Fig_L_PD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762250"/>
                    </a:xfrm>
                    <a:prstGeom prst="rect">
                      <a:avLst/>
                    </a:prstGeom>
                  </pic:spPr>
                </pic:pic>
              </a:graphicData>
            </a:graphic>
          </wp:inline>
        </w:drawing>
      </w:r>
    </w:p>
    <w:p>
      <w:pPr>
        <w:spacing w:after="160" w:before="60"/>
        <w:jc w:val="center"/>
      </w:pPr>
      <w:r>
        <w:rPr>
          <w:i/>
          <w:iCs/>
          <w:sz w:val="20"/>
          <w:szCs w:val="20"/>
        </w:rPr>
        <w:t xml:space="preserve">Hình 3. PDR theo tải pktInterval — Family L</w:t>
      </w:r>
    </w:p>
    <w:p>
      <w:pPr>
        <w:spacing w:after="120"/>
        <w:jc w:val="both"/>
      </w:pPr>
      <w:r>
        <w:rPr>
          <w:sz w:val="22"/>
          <w:szCs w:val="22"/>
        </w:rPr>
        <w:t xml:space="preserve">Trong Family L, QMAODV-3 dẫn đầu ở tất cả các điểm tải vừa và thấp, đạt mốc lịch sử PDR &gt; 50 %:</w:t>
      </w:r>
    </w:p>
    <w:p>
      <w:pPr>
        <w:pStyle w:val="ListParagraph"/>
        <w:numPr>
          <w:ilvl w:val="0"/>
          <w:numId w:val="2"/>
        </w:numPr>
        <w:spacing w:after="60"/>
      </w:pPr>
      <w:r>
        <w:rPr>
          <w:sz w:val="22"/>
          <w:szCs w:val="22"/>
        </w:rPr>
        <w:t xml:space="preserve">Tại pktInterval = 1,0 s (tải nhẹ 1 pps), QMAODV-3 đạt PDR đỉnh 50,92 % — lần đầu trong bài báo này vượt mốc 50 %, vượt PMAODV-3 (+5,70 pp), AODV (+9,87 pp), AOMDV-3 (+12,52 pp).</w:t>
      </w:r>
    </w:p>
    <w:p>
      <w:pPr>
        <w:pStyle w:val="ListParagraph"/>
        <w:numPr>
          <w:ilvl w:val="0"/>
          <w:numId w:val="2"/>
        </w:numPr>
        <w:spacing w:after="60"/>
      </w:pPr>
      <w:r>
        <w:rPr>
          <w:sz w:val="22"/>
          <w:szCs w:val="22"/>
        </w:rPr>
        <w:t xml:space="preserve">Tại pktInterval = 0,5 s (2 pps): QMAODV-3 đạt 45,85 %, vượt PMAODV-3 (+8,37 pp) — khoảng cách lớn nhất trong tất cả các họ.</w:t>
      </w:r>
    </w:p>
    <w:p>
      <w:pPr>
        <w:pStyle w:val="ListParagraph"/>
        <w:numPr>
          <w:ilvl w:val="0"/>
          <w:numId w:val="2"/>
        </w:numPr>
        <w:spacing w:after="60"/>
      </w:pPr>
      <w:r>
        <w:rPr>
          <w:sz w:val="22"/>
          <w:szCs w:val="22"/>
        </w:rPr>
        <w:t xml:space="preserve">Tại baseline pktInterval = 0,25 s (4 pps): QMAODV-3 đạt 40,47 %, dẫn đầu nhẹ.</w:t>
      </w:r>
    </w:p>
    <w:p>
      <w:pPr>
        <w:pStyle w:val="ListParagraph"/>
        <w:numPr>
          <w:ilvl w:val="0"/>
          <w:numId w:val="2"/>
        </w:numPr>
        <w:spacing w:after="60"/>
      </w:pPr>
      <w:r>
        <w:rPr>
          <w:sz w:val="22"/>
          <w:szCs w:val="22"/>
        </w:rPr>
        <w:t xml:space="preserve">Tại tải cực cao pktInterval = 0,05 s (20 pps), bốn giao thức tương đương ~27-30 %, mạng bị bão hoà, lợi thế Q-learning không còn rõ.</w:t>
      </w:r>
    </w:p>
    <w:p>
      <w:pPr>
        <w:spacing w:after="160" w:before="60"/>
        <w:jc w:val="center"/>
      </w:pPr>
      <w:r>
        <w:rPr>
          <w:i/>
          <w:iCs/>
          <w:sz w:val="20"/>
          <w:szCs w:val="20"/>
        </w:rPr>
        <w:t xml:space="preserve">Bảng 6. Delay (ms) theo tải pktInterval (Family L)</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600"/>
        <w:gridCol w:w="1150"/>
        <w:gridCol w:w="1150"/>
        <w:gridCol w:w="1150"/>
        <w:gridCol w:w="1150"/>
        <w:gridCol w:w="1150"/>
      </w:tblGrid>
      <w:tr>
        <w:tc>
          <w:tcPr>
            <w:tcW w:type="dxa" w:w="1600"/>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jc w:val="center"/>
            </w:pPr>
            <w:r>
              <w:rPr>
                <w:b/>
                <w:bCs/>
                <w:sz w:val="20"/>
                <w:szCs w:val="20"/>
              </w:rPr>
              <w:t xml:space="preserve">Giao thức</w:t>
            </w:r>
          </w:p>
        </w:tc>
        <w:tc>
          <w:tcPr>
            <w:tcW w:type="dxa" w:w="1150"/>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jc w:val="center"/>
            </w:pPr>
            <w:r>
              <w:rPr>
                <w:b/>
                <w:bCs/>
                <w:sz w:val="20"/>
                <w:szCs w:val="20"/>
              </w:rPr>
              <w:t xml:space="preserve">pInt=0.05</w:t>
            </w:r>
          </w:p>
        </w:tc>
        <w:tc>
          <w:tcPr>
            <w:tcW w:type="dxa" w:w="1150"/>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jc w:val="center"/>
            </w:pPr>
            <w:r>
              <w:rPr>
                <w:b/>
                <w:bCs/>
                <w:sz w:val="20"/>
                <w:szCs w:val="20"/>
              </w:rPr>
              <w:t xml:space="preserve">pInt=0.1</w:t>
            </w:r>
          </w:p>
        </w:tc>
        <w:tc>
          <w:tcPr>
            <w:tcW w:type="dxa" w:w="1150"/>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jc w:val="center"/>
            </w:pPr>
            <w:r>
              <w:rPr>
                <w:b/>
                <w:bCs/>
                <w:sz w:val="20"/>
                <w:szCs w:val="20"/>
              </w:rPr>
              <w:t xml:space="preserve">pInt=0.25</w:t>
            </w:r>
          </w:p>
        </w:tc>
        <w:tc>
          <w:tcPr>
            <w:tcW w:type="dxa" w:w="1150"/>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jc w:val="center"/>
            </w:pPr>
            <w:r>
              <w:rPr>
                <w:b/>
                <w:bCs/>
                <w:sz w:val="20"/>
                <w:szCs w:val="20"/>
              </w:rPr>
              <w:t xml:space="preserve">pInt=0.5</w:t>
            </w:r>
          </w:p>
        </w:tc>
        <w:tc>
          <w:tcPr>
            <w:tcW w:type="dxa" w:w="1150"/>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jc w:val="center"/>
            </w:pPr>
            <w:r>
              <w:rPr>
                <w:b/>
                <w:bCs/>
                <w:sz w:val="20"/>
                <w:szCs w:val="20"/>
              </w:rPr>
              <w:t xml:space="preserve">pInt=1</w:t>
            </w:r>
          </w:p>
        </w:tc>
      </w:tr>
      <w:tr>
        <w:tc>
          <w:tcPr>
            <w:tcW w:type="dxa" w:w="1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b w:val="false"/>
                <w:bCs w:val="false"/>
                <w:sz w:val="20"/>
                <w:szCs w:val="20"/>
              </w:rPr>
              <w:t xml:space="preserve">AODV</w:t>
            </w:r>
          </w:p>
        </w:tc>
        <w:tc>
          <w:tcPr>
            <w:tcW w:type="dxa" w:w="115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149.8</w:t>
            </w:r>
          </w:p>
        </w:tc>
        <w:tc>
          <w:tcPr>
            <w:tcW w:type="dxa" w:w="115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171.8</w:t>
            </w:r>
          </w:p>
        </w:tc>
        <w:tc>
          <w:tcPr>
            <w:tcW w:type="dxa" w:w="115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189.5</w:t>
            </w:r>
          </w:p>
        </w:tc>
        <w:tc>
          <w:tcPr>
            <w:tcW w:type="dxa" w:w="115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215.0</w:t>
            </w:r>
          </w:p>
        </w:tc>
        <w:tc>
          <w:tcPr>
            <w:tcW w:type="dxa" w:w="115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203.5</w:t>
            </w:r>
          </w:p>
        </w:tc>
      </w:tr>
      <w:tr>
        <w:tc>
          <w:tcPr>
            <w:tcW w:type="dxa" w:w="1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b w:val="false"/>
                <w:bCs w:val="false"/>
                <w:sz w:val="20"/>
                <w:szCs w:val="20"/>
              </w:rPr>
              <w:t xml:space="preserve">AOMDV-3</w:t>
            </w:r>
          </w:p>
        </w:tc>
        <w:tc>
          <w:tcPr>
            <w:tcW w:type="dxa" w:w="115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143.6</w:t>
            </w:r>
          </w:p>
        </w:tc>
        <w:tc>
          <w:tcPr>
            <w:tcW w:type="dxa" w:w="115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174.1</w:t>
            </w:r>
          </w:p>
        </w:tc>
        <w:tc>
          <w:tcPr>
            <w:tcW w:type="dxa" w:w="115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201.0</w:t>
            </w:r>
          </w:p>
        </w:tc>
        <w:tc>
          <w:tcPr>
            <w:tcW w:type="dxa" w:w="115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190.3</w:t>
            </w:r>
          </w:p>
        </w:tc>
        <w:tc>
          <w:tcPr>
            <w:tcW w:type="dxa" w:w="115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184.7</w:t>
            </w:r>
          </w:p>
        </w:tc>
      </w:tr>
      <w:tr>
        <w:tc>
          <w:tcPr>
            <w:tcW w:type="dxa" w:w="1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b w:val="false"/>
                <w:bCs w:val="false"/>
                <w:sz w:val="20"/>
                <w:szCs w:val="20"/>
              </w:rPr>
              <w:t xml:space="preserve">PMAODV-3</w:t>
            </w:r>
          </w:p>
        </w:tc>
        <w:tc>
          <w:tcPr>
            <w:tcW w:type="dxa" w:w="115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166.4</w:t>
            </w:r>
          </w:p>
        </w:tc>
        <w:tc>
          <w:tcPr>
            <w:tcW w:type="dxa" w:w="115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179.4</w:t>
            </w:r>
          </w:p>
        </w:tc>
        <w:tc>
          <w:tcPr>
            <w:tcW w:type="dxa" w:w="115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225.3</w:t>
            </w:r>
          </w:p>
        </w:tc>
        <w:tc>
          <w:tcPr>
            <w:tcW w:type="dxa" w:w="115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261.0</w:t>
            </w:r>
          </w:p>
        </w:tc>
        <w:tc>
          <w:tcPr>
            <w:tcW w:type="dxa" w:w="115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196.3</w:t>
            </w:r>
          </w:p>
        </w:tc>
      </w:tr>
      <w:tr>
        <w:tc>
          <w:tcPr>
            <w:tcW w:type="dxa" w:w="1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b/>
                <w:bCs/>
                <w:sz w:val="20"/>
                <w:szCs w:val="20"/>
              </w:rPr>
              <w:t xml:space="preserve">QMAODV-3</w:t>
            </w:r>
          </w:p>
        </w:tc>
        <w:tc>
          <w:tcPr>
            <w:tcW w:type="dxa" w:w="1150"/>
            <w:tcBorders>
              <w:top w:val="single" w:color="888888" w:sz="4"/>
              <w:left w:val="single" w:color="888888" w:sz="4"/>
              <w:bottom w:val="single" w:color="888888" w:sz="4"/>
              <w:right w:val="single" w:color="888888" w:sz="4"/>
            </w:tcBorders>
            <w:shd w:fill="FFE699" w:val="clear"/>
            <w:tcMar>
              <w:top w:type="dxa" w:w="80"/>
              <w:left w:type="dxa" w:w="100"/>
              <w:bottom w:type="dxa" w:w="80"/>
              <w:right w:type="dxa" w:w="100"/>
            </w:tcMar>
          </w:tcPr>
          <w:p>
            <w:pPr>
              <w:jc w:val="center"/>
            </w:pPr>
            <w:r>
              <w:rPr>
                <w:b/>
                <w:bCs/>
                <w:sz w:val="20"/>
                <w:szCs w:val="20"/>
              </w:rPr>
              <w:t xml:space="preserve">209.4</w:t>
            </w:r>
          </w:p>
        </w:tc>
        <w:tc>
          <w:tcPr>
            <w:tcW w:type="dxa" w:w="1150"/>
            <w:tcBorders>
              <w:top w:val="single" w:color="888888" w:sz="4"/>
              <w:left w:val="single" w:color="888888" w:sz="4"/>
              <w:bottom w:val="single" w:color="888888" w:sz="4"/>
              <w:right w:val="single" w:color="888888" w:sz="4"/>
            </w:tcBorders>
            <w:shd w:fill="FFE699" w:val="clear"/>
            <w:tcMar>
              <w:top w:type="dxa" w:w="80"/>
              <w:left w:type="dxa" w:w="100"/>
              <w:bottom w:type="dxa" w:w="80"/>
              <w:right w:type="dxa" w:w="100"/>
            </w:tcMar>
          </w:tcPr>
          <w:p>
            <w:pPr>
              <w:jc w:val="center"/>
            </w:pPr>
            <w:r>
              <w:rPr>
                <w:b/>
                <w:bCs/>
                <w:sz w:val="20"/>
                <w:szCs w:val="20"/>
              </w:rPr>
              <w:t xml:space="preserve">229.3</w:t>
            </w:r>
          </w:p>
        </w:tc>
        <w:tc>
          <w:tcPr>
            <w:tcW w:type="dxa" w:w="1150"/>
            <w:tcBorders>
              <w:top w:val="single" w:color="888888" w:sz="4"/>
              <w:left w:val="single" w:color="888888" w:sz="4"/>
              <w:bottom w:val="single" w:color="888888" w:sz="4"/>
              <w:right w:val="single" w:color="888888" w:sz="4"/>
            </w:tcBorders>
            <w:shd w:fill="FFE699" w:val="clear"/>
            <w:tcMar>
              <w:top w:type="dxa" w:w="80"/>
              <w:left w:type="dxa" w:w="100"/>
              <w:bottom w:type="dxa" w:w="80"/>
              <w:right w:type="dxa" w:w="100"/>
            </w:tcMar>
          </w:tcPr>
          <w:p>
            <w:pPr>
              <w:jc w:val="center"/>
            </w:pPr>
            <w:r>
              <w:rPr>
                <w:b/>
                <w:bCs/>
                <w:sz w:val="20"/>
                <w:szCs w:val="20"/>
              </w:rPr>
              <w:t xml:space="preserve">243.2</w:t>
            </w:r>
          </w:p>
        </w:tc>
        <w:tc>
          <w:tcPr>
            <w:tcW w:type="dxa" w:w="1150"/>
            <w:tcBorders>
              <w:top w:val="single" w:color="888888" w:sz="4"/>
              <w:left w:val="single" w:color="888888" w:sz="4"/>
              <w:bottom w:val="single" w:color="888888" w:sz="4"/>
              <w:right w:val="single" w:color="888888" w:sz="4"/>
            </w:tcBorders>
            <w:shd w:fill="FFE699" w:val="clear"/>
            <w:tcMar>
              <w:top w:type="dxa" w:w="80"/>
              <w:left w:type="dxa" w:w="100"/>
              <w:bottom w:type="dxa" w:w="80"/>
              <w:right w:type="dxa" w:w="100"/>
            </w:tcMar>
          </w:tcPr>
          <w:p>
            <w:pPr>
              <w:jc w:val="center"/>
            </w:pPr>
            <w:r>
              <w:rPr>
                <w:b/>
                <w:bCs/>
                <w:sz w:val="20"/>
                <w:szCs w:val="20"/>
              </w:rPr>
              <w:t xml:space="preserve">281.4</w:t>
            </w:r>
          </w:p>
        </w:tc>
        <w:tc>
          <w:tcPr>
            <w:tcW w:type="dxa" w:w="1150"/>
            <w:tcBorders>
              <w:top w:val="single" w:color="888888" w:sz="4"/>
              <w:left w:val="single" w:color="888888" w:sz="4"/>
              <w:bottom w:val="single" w:color="888888" w:sz="4"/>
              <w:right w:val="single" w:color="888888" w:sz="4"/>
            </w:tcBorders>
            <w:shd w:fill="FFE699" w:val="clear"/>
            <w:tcMar>
              <w:top w:type="dxa" w:w="80"/>
              <w:left w:type="dxa" w:w="100"/>
              <w:bottom w:type="dxa" w:w="80"/>
              <w:right w:type="dxa" w:w="100"/>
            </w:tcMar>
          </w:tcPr>
          <w:p>
            <w:pPr>
              <w:jc w:val="center"/>
            </w:pPr>
            <w:r>
              <w:rPr>
                <w:b/>
                <w:bCs/>
                <w:sz w:val="20"/>
                <w:szCs w:val="20"/>
              </w:rPr>
              <w:t xml:space="preserve">250.9</w:t>
            </w:r>
          </w:p>
        </w:tc>
      </w:tr>
    </w:tbl>
    <w:p>
      <w:pPr>
        <w:spacing w:after="60" w:before="120"/>
        <w:jc w:val="center"/>
      </w:pPr>
      <w:r>
        <w:drawing>
          <wp:inline distT="0" distB="0" distL="0" distR="0">
            <wp:extent cx="4572000" cy="2762250"/>
            <wp:effectExtent t="0" r="0" b="0" l="0"/>
            <wp:docPr id="1" name="Fig_L_Delay.png" descr="Fig_L_Delay.png" title="Fig_L_Dela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762250"/>
                    </a:xfrm>
                    <a:prstGeom prst="rect">
                      <a:avLst/>
                    </a:prstGeom>
                  </pic:spPr>
                </pic:pic>
              </a:graphicData>
            </a:graphic>
          </wp:inline>
        </w:drawing>
      </w:r>
    </w:p>
    <w:p>
      <w:pPr>
        <w:spacing w:after="160" w:before="60"/>
        <w:jc w:val="center"/>
      </w:pPr>
      <w:r>
        <w:rPr>
          <w:i/>
          <w:iCs/>
          <w:sz w:val="20"/>
          <w:szCs w:val="20"/>
        </w:rPr>
        <w:t xml:space="preserve">Hình 4. Delay theo tải pktInterval — Family L</w:t>
      </w:r>
    </w:p>
    <w:p>
      <w:pPr>
        <w:pStyle w:val="Heading2"/>
      </w:pPr>
      <w:r>
        <w:t xml:space="preserve">5.4 Family S — Tốc độ di chuyển</w:t>
      </w:r>
    </w:p>
    <w:p>
      <w:pPr>
        <w:spacing w:after="160" w:before="60"/>
        <w:jc w:val="center"/>
      </w:pPr>
      <w:r>
        <w:rPr>
          <w:i/>
          <w:iCs/>
          <w:sz w:val="20"/>
          <w:szCs w:val="20"/>
        </w:rPr>
        <w:t xml:space="preserve">Bảng 7. Delivery Ratio (%) theo vận tốc max (Family S)</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428"/>
        <w:gridCol w:w="978"/>
        <w:gridCol w:w="978"/>
        <w:gridCol w:w="978"/>
        <w:gridCol w:w="978"/>
        <w:gridCol w:w="978"/>
        <w:gridCol w:w="978"/>
      </w:tblGrid>
      <w:tr>
        <w:tc>
          <w:tcPr>
            <w:tcW w:type="dxa" w:w="1428"/>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jc w:val="center"/>
            </w:pPr>
            <w:r>
              <w:rPr>
                <w:b/>
                <w:bCs/>
                <w:sz w:val="20"/>
                <w:szCs w:val="20"/>
              </w:rPr>
              <w:t xml:space="preserve">Giao thức</w:t>
            </w:r>
          </w:p>
        </w:tc>
        <w:tc>
          <w:tcPr>
            <w:tcW w:type="dxa" w:w="978"/>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jc w:val="center"/>
            </w:pPr>
            <w:r>
              <w:rPr>
                <w:b/>
                <w:bCs/>
                <w:sz w:val="20"/>
                <w:szCs w:val="20"/>
              </w:rPr>
              <w:t xml:space="preserve">v=5</w:t>
            </w:r>
          </w:p>
        </w:tc>
        <w:tc>
          <w:tcPr>
            <w:tcW w:type="dxa" w:w="978"/>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jc w:val="center"/>
            </w:pPr>
            <w:r>
              <w:rPr>
                <w:b/>
                <w:bCs/>
                <w:sz w:val="20"/>
                <w:szCs w:val="20"/>
              </w:rPr>
              <w:t xml:space="preserve">v=10</w:t>
            </w:r>
          </w:p>
        </w:tc>
        <w:tc>
          <w:tcPr>
            <w:tcW w:type="dxa" w:w="978"/>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jc w:val="center"/>
            </w:pPr>
            <w:r>
              <w:rPr>
                <w:b/>
                <w:bCs/>
                <w:sz w:val="20"/>
                <w:szCs w:val="20"/>
              </w:rPr>
              <w:t xml:space="preserve">v=20</w:t>
            </w:r>
          </w:p>
        </w:tc>
        <w:tc>
          <w:tcPr>
            <w:tcW w:type="dxa" w:w="978"/>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jc w:val="center"/>
            </w:pPr>
            <w:r>
              <w:rPr>
                <w:b/>
                <w:bCs/>
                <w:sz w:val="20"/>
                <w:szCs w:val="20"/>
              </w:rPr>
              <w:t xml:space="preserve">v=30</w:t>
            </w:r>
          </w:p>
        </w:tc>
        <w:tc>
          <w:tcPr>
            <w:tcW w:type="dxa" w:w="978"/>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jc w:val="center"/>
            </w:pPr>
            <w:r>
              <w:rPr>
                <w:b/>
                <w:bCs/>
                <w:sz w:val="20"/>
                <w:szCs w:val="20"/>
              </w:rPr>
              <w:t xml:space="preserve">v=50</w:t>
            </w:r>
          </w:p>
        </w:tc>
        <w:tc>
          <w:tcPr>
            <w:tcW w:type="dxa" w:w="978"/>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jc w:val="center"/>
            </w:pPr>
            <w:r>
              <w:rPr>
                <w:b/>
                <w:bCs/>
                <w:sz w:val="20"/>
                <w:szCs w:val="20"/>
              </w:rPr>
              <w:t xml:space="preserve">v=70</w:t>
            </w:r>
          </w:p>
        </w:tc>
      </w:tr>
      <w:tr>
        <w:tc>
          <w:tcPr>
            <w:tcW w:type="dxa" w:w="1428"/>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b w:val="false"/>
                <w:bCs w:val="false"/>
                <w:sz w:val="20"/>
                <w:szCs w:val="20"/>
              </w:rPr>
              <w:t xml:space="preserve">AODV</w:t>
            </w:r>
          </w:p>
        </w:tc>
        <w:tc>
          <w:tcPr>
            <w:tcW w:type="dxa" w:w="978"/>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43.74</w:t>
            </w:r>
          </w:p>
        </w:tc>
        <w:tc>
          <w:tcPr>
            <w:tcW w:type="dxa" w:w="978"/>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39.53</w:t>
            </w:r>
          </w:p>
        </w:tc>
        <w:tc>
          <w:tcPr>
            <w:tcW w:type="dxa" w:w="978"/>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34.56</w:t>
            </w:r>
          </w:p>
        </w:tc>
        <w:tc>
          <w:tcPr>
            <w:tcW w:type="dxa" w:w="978"/>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33.03</w:t>
            </w:r>
          </w:p>
        </w:tc>
        <w:tc>
          <w:tcPr>
            <w:tcW w:type="dxa" w:w="978"/>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35.43</w:t>
            </w:r>
          </w:p>
        </w:tc>
        <w:tc>
          <w:tcPr>
            <w:tcW w:type="dxa" w:w="978"/>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32.49</w:t>
            </w:r>
          </w:p>
        </w:tc>
      </w:tr>
      <w:tr>
        <w:tc>
          <w:tcPr>
            <w:tcW w:type="dxa" w:w="1428"/>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b w:val="false"/>
                <w:bCs w:val="false"/>
                <w:sz w:val="20"/>
                <w:szCs w:val="20"/>
              </w:rPr>
              <w:t xml:space="preserve">AOMDV-3</w:t>
            </w:r>
          </w:p>
        </w:tc>
        <w:tc>
          <w:tcPr>
            <w:tcW w:type="dxa" w:w="978"/>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36.51</w:t>
            </w:r>
          </w:p>
        </w:tc>
        <w:tc>
          <w:tcPr>
            <w:tcW w:type="dxa" w:w="978"/>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41.48</w:t>
            </w:r>
          </w:p>
        </w:tc>
        <w:tc>
          <w:tcPr>
            <w:tcW w:type="dxa" w:w="978"/>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33.69</w:t>
            </w:r>
          </w:p>
        </w:tc>
        <w:tc>
          <w:tcPr>
            <w:tcW w:type="dxa" w:w="978"/>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38.19</w:t>
            </w:r>
          </w:p>
        </w:tc>
        <w:tc>
          <w:tcPr>
            <w:tcW w:type="dxa" w:w="978"/>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31.98</w:t>
            </w:r>
          </w:p>
        </w:tc>
        <w:tc>
          <w:tcPr>
            <w:tcW w:type="dxa" w:w="978"/>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35.48</w:t>
            </w:r>
          </w:p>
        </w:tc>
      </w:tr>
      <w:tr>
        <w:tc>
          <w:tcPr>
            <w:tcW w:type="dxa" w:w="1428"/>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b w:val="false"/>
                <w:bCs w:val="false"/>
                <w:sz w:val="20"/>
                <w:szCs w:val="20"/>
              </w:rPr>
              <w:t xml:space="preserve">PMAODV-3</w:t>
            </w:r>
          </w:p>
        </w:tc>
        <w:tc>
          <w:tcPr>
            <w:tcW w:type="dxa" w:w="978"/>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39.00</w:t>
            </w:r>
          </w:p>
        </w:tc>
        <w:tc>
          <w:tcPr>
            <w:tcW w:type="dxa" w:w="978"/>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38.75</w:t>
            </w:r>
          </w:p>
        </w:tc>
        <w:tc>
          <w:tcPr>
            <w:tcW w:type="dxa" w:w="978"/>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32.96</w:t>
            </w:r>
          </w:p>
        </w:tc>
        <w:tc>
          <w:tcPr>
            <w:tcW w:type="dxa" w:w="978"/>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34.23</w:t>
            </w:r>
          </w:p>
        </w:tc>
        <w:tc>
          <w:tcPr>
            <w:tcW w:type="dxa" w:w="978"/>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bCs/>
                <w:sz w:val="20"/>
                <w:szCs w:val="20"/>
              </w:rPr>
              <w:t xml:space="preserve">36.37</w:t>
            </w:r>
          </w:p>
        </w:tc>
        <w:tc>
          <w:tcPr>
            <w:tcW w:type="dxa" w:w="978"/>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32.66</w:t>
            </w:r>
          </w:p>
        </w:tc>
      </w:tr>
      <w:tr>
        <w:tc>
          <w:tcPr>
            <w:tcW w:type="dxa" w:w="1428"/>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b/>
                <w:bCs/>
                <w:sz w:val="20"/>
                <w:szCs w:val="20"/>
              </w:rPr>
              <w:t xml:space="preserve">QMAODV-3</w:t>
            </w:r>
          </w:p>
        </w:tc>
        <w:tc>
          <w:tcPr>
            <w:tcW w:type="dxa" w:w="978"/>
            <w:tcBorders>
              <w:top w:val="single" w:color="888888" w:sz="4"/>
              <w:left w:val="single" w:color="888888" w:sz="4"/>
              <w:bottom w:val="single" w:color="888888" w:sz="4"/>
              <w:right w:val="single" w:color="888888" w:sz="4"/>
            </w:tcBorders>
            <w:shd w:fill="FFE699" w:val="clear"/>
            <w:tcMar>
              <w:top w:type="dxa" w:w="80"/>
              <w:left w:type="dxa" w:w="100"/>
              <w:bottom w:type="dxa" w:w="80"/>
              <w:right w:type="dxa" w:w="100"/>
            </w:tcMar>
          </w:tcPr>
          <w:p>
            <w:pPr>
              <w:jc w:val="center"/>
            </w:pPr>
            <w:r>
              <w:rPr>
                <w:b/>
                <w:bCs/>
                <w:sz w:val="20"/>
                <w:szCs w:val="20"/>
              </w:rPr>
              <w:t xml:space="preserve">45.21</w:t>
            </w:r>
          </w:p>
        </w:tc>
        <w:tc>
          <w:tcPr>
            <w:tcW w:type="dxa" w:w="978"/>
            <w:tcBorders>
              <w:top w:val="single" w:color="888888" w:sz="4"/>
              <w:left w:val="single" w:color="888888" w:sz="4"/>
              <w:bottom w:val="single" w:color="888888" w:sz="4"/>
              <w:right w:val="single" w:color="888888" w:sz="4"/>
            </w:tcBorders>
            <w:shd w:fill="FFE699" w:val="clear"/>
            <w:tcMar>
              <w:top w:type="dxa" w:w="80"/>
              <w:left w:type="dxa" w:w="100"/>
              <w:bottom w:type="dxa" w:w="80"/>
              <w:right w:type="dxa" w:w="100"/>
            </w:tcMar>
          </w:tcPr>
          <w:p>
            <w:pPr>
              <w:jc w:val="center"/>
            </w:pPr>
            <w:r>
              <w:rPr>
                <w:b/>
                <w:bCs/>
                <w:sz w:val="20"/>
                <w:szCs w:val="20"/>
              </w:rPr>
              <w:t xml:space="preserve">44.85</w:t>
            </w:r>
          </w:p>
        </w:tc>
        <w:tc>
          <w:tcPr>
            <w:tcW w:type="dxa" w:w="978"/>
            <w:tcBorders>
              <w:top w:val="single" w:color="888888" w:sz="4"/>
              <w:left w:val="single" w:color="888888" w:sz="4"/>
              <w:bottom w:val="single" w:color="888888" w:sz="4"/>
              <w:right w:val="single" w:color="888888" w:sz="4"/>
            </w:tcBorders>
            <w:shd w:fill="FFE699" w:val="clear"/>
            <w:tcMar>
              <w:top w:type="dxa" w:w="80"/>
              <w:left w:type="dxa" w:w="100"/>
              <w:bottom w:type="dxa" w:w="80"/>
              <w:right w:type="dxa" w:w="100"/>
            </w:tcMar>
          </w:tcPr>
          <w:p>
            <w:pPr>
              <w:jc w:val="center"/>
            </w:pPr>
            <w:r>
              <w:rPr>
                <w:b/>
                <w:bCs/>
                <w:sz w:val="20"/>
                <w:szCs w:val="20"/>
              </w:rPr>
              <w:t xml:space="preserve">43.59</w:t>
            </w:r>
          </w:p>
        </w:tc>
        <w:tc>
          <w:tcPr>
            <w:tcW w:type="dxa" w:w="978"/>
            <w:tcBorders>
              <w:top w:val="single" w:color="888888" w:sz="4"/>
              <w:left w:val="single" w:color="888888" w:sz="4"/>
              <w:bottom w:val="single" w:color="888888" w:sz="4"/>
              <w:right w:val="single" w:color="888888" w:sz="4"/>
            </w:tcBorders>
            <w:shd w:fill="FFE699" w:val="clear"/>
            <w:tcMar>
              <w:top w:type="dxa" w:w="80"/>
              <w:left w:type="dxa" w:w="100"/>
              <w:bottom w:type="dxa" w:w="80"/>
              <w:right w:type="dxa" w:w="100"/>
            </w:tcMar>
          </w:tcPr>
          <w:p>
            <w:pPr>
              <w:jc w:val="center"/>
            </w:pPr>
            <w:r>
              <w:rPr>
                <w:b/>
                <w:bCs/>
                <w:sz w:val="20"/>
                <w:szCs w:val="20"/>
              </w:rPr>
              <w:t xml:space="preserve">39.62</w:t>
            </w:r>
          </w:p>
        </w:tc>
        <w:tc>
          <w:tcPr>
            <w:tcW w:type="dxa" w:w="978"/>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35.95</w:t>
            </w:r>
          </w:p>
        </w:tc>
        <w:tc>
          <w:tcPr>
            <w:tcW w:type="dxa" w:w="978"/>
            <w:tcBorders>
              <w:top w:val="single" w:color="888888" w:sz="4"/>
              <w:left w:val="single" w:color="888888" w:sz="4"/>
              <w:bottom w:val="single" w:color="888888" w:sz="4"/>
              <w:right w:val="single" w:color="888888" w:sz="4"/>
            </w:tcBorders>
            <w:shd w:fill="FFE699" w:val="clear"/>
            <w:tcMar>
              <w:top w:type="dxa" w:w="80"/>
              <w:left w:type="dxa" w:w="100"/>
              <w:bottom w:type="dxa" w:w="80"/>
              <w:right w:type="dxa" w:w="100"/>
            </w:tcMar>
          </w:tcPr>
          <w:p>
            <w:pPr>
              <w:jc w:val="center"/>
            </w:pPr>
            <w:r>
              <w:rPr>
                <w:b/>
                <w:bCs/>
                <w:sz w:val="20"/>
                <w:szCs w:val="20"/>
              </w:rPr>
              <w:t xml:space="preserve">39.84</w:t>
            </w:r>
          </w:p>
        </w:tc>
      </w:tr>
    </w:tbl>
    <w:p>
      <w:pPr>
        <w:spacing w:after="60" w:before="120"/>
        <w:jc w:val="center"/>
      </w:pPr>
      <w:r>
        <w:drawing>
          <wp:inline distT="0" distB="0" distL="0" distR="0">
            <wp:extent cx="4572000" cy="2762250"/>
            <wp:effectExtent t="0" r="0" b="0" l="0"/>
            <wp:docPr id="1" name="Fig_S_PDR.png" descr="Fig_S_PDR.png" title="Fig_S_PD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762250"/>
                    </a:xfrm>
                    <a:prstGeom prst="rect">
                      <a:avLst/>
                    </a:prstGeom>
                  </pic:spPr>
                </pic:pic>
              </a:graphicData>
            </a:graphic>
          </wp:inline>
        </w:drawing>
      </w:r>
    </w:p>
    <w:p>
      <w:pPr>
        <w:spacing w:after="160" w:before="60"/>
        <w:jc w:val="center"/>
      </w:pPr>
      <w:r>
        <w:rPr>
          <w:i/>
          <w:iCs/>
          <w:sz w:val="20"/>
          <w:szCs w:val="20"/>
        </w:rPr>
        <w:t xml:space="preserve">Hình 5. PDR theo vận tốc max — Family S</w:t>
      </w:r>
    </w:p>
    <w:p>
      <w:pPr>
        <w:spacing w:after="120"/>
        <w:jc w:val="both"/>
      </w:pPr>
      <w:r>
        <w:rPr>
          <w:sz w:val="22"/>
          <w:szCs w:val="22"/>
        </w:rPr>
        <w:t xml:space="preserve">QMAODV-3 dẫn đầu hầu hết các điểm vận tốc:</w:t>
      </w:r>
    </w:p>
    <w:p>
      <w:pPr>
        <w:pStyle w:val="ListParagraph"/>
        <w:numPr>
          <w:ilvl w:val="0"/>
          <w:numId w:val="2"/>
        </w:numPr>
        <w:spacing w:after="60"/>
      </w:pPr>
      <w:r>
        <w:rPr>
          <w:sz w:val="22"/>
          <w:szCs w:val="22"/>
        </w:rPr>
        <w:t xml:space="preserve">Tại 5 m/s (di chuyển chậm), QMAODV-3 đạt 45,21 %, dẫn đầu vượt AODV (+1,47 pp), PMAODV-3 (+6,21 pp), AOMDV-3 (+8,70 pp).</w:t>
      </w:r>
    </w:p>
    <w:p>
      <w:pPr>
        <w:pStyle w:val="ListParagraph"/>
        <w:numPr>
          <w:ilvl w:val="0"/>
          <w:numId w:val="2"/>
        </w:numPr>
        <w:spacing w:after="60"/>
      </w:pPr>
      <w:r>
        <w:rPr>
          <w:sz w:val="22"/>
          <w:szCs w:val="22"/>
        </w:rPr>
        <w:t xml:space="preserve">Tại 10-20 m/s (vận tốc vừa), QMAODV-3 duy trì PDR 43-45 %, vượt baseline 3-10 pp.</w:t>
      </w:r>
    </w:p>
    <w:p>
      <w:pPr>
        <w:pStyle w:val="ListParagraph"/>
        <w:numPr>
          <w:ilvl w:val="0"/>
          <w:numId w:val="2"/>
        </w:numPr>
        <w:spacing w:after="60"/>
      </w:pPr>
      <w:r>
        <w:rPr>
          <w:sz w:val="22"/>
          <w:szCs w:val="22"/>
        </w:rPr>
        <w:t xml:space="preserve">Tại vận tốc cao 30 m/s, QMAODV-3 (39,62 %) gần ngang AOMDV-3 (38,19 %).</w:t>
      </w:r>
    </w:p>
    <w:p>
      <w:pPr>
        <w:pStyle w:val="ListParagraph"/>
        <w:numPr>
          <w:ilvl w:val="0"/>
          <w:numId w:val="2"/>
        </w:numPr>
        <w:spacing w:after="60"/>
      </w:pPr>
      <w:r>
        <w:rPr>
          <w:sz w:val="22"/>
          <w:szCs w:val="22"/>
        </w:rPr>
        <w:t xml:space="preserve">Tại 50-70 m/s (rất cao), khoảng cách giữa các giao thức thu hẹp; QMAODV-3 dẫn đầu nhẹ tại 70 m/s (39,84 % vs AODV 32,49 %).</w:t>
      </w:r>
    </w:p>
    <w:p>
      <w:pPr>
        <w:spacing w:after="160" w:before="60"/>
        <w:jc w:val="center"/>
      </w:pPr>
      <w:r>
        <w:rPr>
          <w:i/>
          <w:iCs/>
          <w:sz w:val="20"/>
          <w:szCs w:val="20"/>
        </w:rPr>
        <w:t xml:space="preserve">Bảng 8. Delay (ms) theo vận tốc max (Family S)</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428"/>
        <w:gridCol w:w="978"/>
        <w:gridCol w:w="978"/>
        <w:gridCol w:w="978"/>
        <w:gridCol w:w="978"/>
        <w:gridCol w:w="978"/>
        <w:gridCol w:w="978"/>
      </w:tblGrid>
      <w:tr>
        <w:tc>
          <w:tcPr>
            <w:tcW w:type="dxa" w:w="1428"/>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jc w:val="center"/>
            </w:pPr>
            <w:r>
              <w:rPr>
                <w:b/>
                <w:bCs/>
                <w:sz w:val="20"/>
                <w:szCs w:val="20"/>
              </w:rPr>
              <w:t xml:space="preserve">Giao thức</w:t>
            </w:r>
          </w:p>
        </w:tc>
        <w:tc>
          <w:tcPr>
            <w:tcW w:type="dxa" w:w="978"/>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jc w:val="center"/>
            </w:pPr>
            <w:r>
              <w:rPr>
                <w:b/>
                <w:bCs/>
                <w:sz w:val="20"/>
                <w:szCs w:val="20"/>
              </w:rPr>
              <w:t xml:space="preserve">v=5</w:t>
            </w:r>
          </w:p>
        </w:tc>
        <w:tc>
          <w:tcPr>
            <w:tcW w:type="dxa" w:w="978"/>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jc w:val="center"/>
            </w:pPr>
            <w:r>
              <w:rPr>
                <w:b/>
                <w:bCs/>
                <w:sz w:val="20"/>
                <w:szCs w:val="20"/>
              </w:rPr>
              <w:t xml:space="preserve">v=10</w:t>
            </w:r>
          </w:p>
        </w:tc>
        <w:tc>
          <w:tcPr>
            <w:tcW w:type="dxa" w:w="978"/>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jc w:val="center"/>
            </w:pPr>
            <w:r>
              <w:rPr>
                <w:b/>
                <w:bCs/>
                <w:sz w:val="20"/>
                <w:szCs w:val="20"/>
              </w:rPr>
              <w:t xml:space="preserve">v=20</w:t>
            </w:r>
          </w:p>
        </w:tc>
        <w:tc>
          <w:tcPr>
            <w:tcW w:type="dxa" w:w="978"/>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jc w:val="center"/>
            </w:pPr>
            <w:r>
              <w:rPr>
                <w:b/>
                <w:bCs/>
                <w:sz w:val="20"/>
                <w:szCs w:val="20"/>
              </w:rPr>
              <w:t xml:space="preserve">v=30</w:t>
            </w:r>
          </w:p>
        </w:tc>
        <w:tc>
          <w:tcPr>
            <w:tcW w:type="dxa" w:w="978"/>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jc w:val="center"/>
            </w:pPr>
            <w:r>
              <w:rPr>
                <w:b/>
                <w:bCs/>
                <w:sz w:val="20"/>
                <w:szCs w:val="20"/>
              </w:rPr>
              <w:t xml:space="preserve">v=50</w:t>
            </w:r>
          </w:p>
        </w:tc>
        <w:tc>
          <w:tcPr>
            <w:tcW w:type="dxa" w:w="978"/>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jc w:val="center"/>
            </w:pPr>
            <w:r>
              <w:rPr>
                <w:b/>
                <w:bCs/>
                <w:sz w:val="20"/>
                <w:szCs w:val="20"/>
              </w:rPr>
              <w:t xml:space="preserve">v=70</w:t>
            </w:r>
          </w:p>
        </w:tc>
      </w:tr>
      <w:tr>
        <w:tc>
          <w:tcPr>
            <w:tcW w:type="dxa" w:w="1428"/>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b w:val="false"/>
                <w:bCs w:val="false"/>
                <w:sz w:val="20"/>
                <w:szCs w:val="20"/>
              </w:rPr>
              <w:t xml:space="preserve">AODV</w:t>
            </w:r>
          </w:p>
        </w:tc>
        <w:tc>
          <w:tcPr>
            <w:tcW w:type="dxa" w:w="978"/>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108.6</w:t>
            </w:r>
          </w:p>
        </w:tc>
        <w:tc>
          <w:tcPr>
            <w:tcW w:type="dxa" w:w="978"/>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135.1</w:t>
            </w:r>
          </w:p>
        </w:tc>
        <w:tc>
          <w:tcPr>
            <w:tcW w:type="dxa" w:w="978"/>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176.8</w:t>
            </w:r>
          </w:p>
        </w:tc>
        <w:tc>
          <w:tcPr>
            <w:tcW w:type="dxa" w:w="978"/>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197.9</w:t>
            </w:r>
          </w:p>
        </w:tc>
        <w:tc>
          <w:tcPr>
            <w:tcW w:type="dxa" w:w="978"/>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241.8</w:t>
            </w:r>
          </w:p>
        </w:tc>
        <w:tc>
          <w:tcPr>
            <w:tcW w:type="dxa" w:w="978"/>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310.6</w:t>
            </w:r>
          </w:p>
        </w:tc>
      </w:tr>
      <w:tr>
        <w:tc>
          <w:tcPr>
            <w:tcW w:type="dxa" w:w="1428"/>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b w:val="false"/>
                <w:bCs w:val="false"/>
                <w:sz w:val="20"/>
                <w:szCs w:val="20"/>
              </w:rPr>
              <w:t xml:space="preserve">AOMDV-3</w:t>
            </w:r>
          </w:p>
        </w:tc>
        <w:tc>
          <w:tcPr>
            <w:tcW w:type="dxa" w:w="978"/>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82.0</w:t>
            </w:r>
          </w:p>
        </w:tc>
        <w:tc>
          <w:tcPr>
            <w:tcW w:type="dxa" w:w="978"/>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150.8</w:t>
            </w:r>
          </w:p>
        </w:tc>
        <w:tc>
          <w:tcPr>
            <w:tcW w:type="dxa" w:w="978"/>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186.7</w:t>
            </w:r>
          </w:p>
        </w:tc>
        <w:tc>
          <w:tcPr>
            <w:tcW w:type="dxa" w:w="978"/>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bCs/>
                <w:sz w:val="20"/>
                <w:szCs w:val="20"/>
              </w:rPr>
              <w:t xml:space="preserve">211.5</w:t>
            </w:r>
          </w:p>
        </w:tc>
        <w:tc>
          <w:tcPr>
            <w:tcW w:type="dxa" w:w="978"/>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236.7</w:t>
            </w:r>
          </w:p>
        </w:tc>
        <w:tc>
          <w:tcPr>
            <w:tcW w:type="dxa" w:w="978"/>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319.0</w:t>
            </w:r>
          </w:p>
        </w:tc>
      </w:tr>
      <w:tr>
        <w:tc>
          <w:tcPr>
            <w:tcW w:type="dxa" w:w="1428"/>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b w:val="false"/>
                <w:bCs w:val="false"/>
                <w:sz w:val="20"/>
                <w:szCs w:val="20"/>
              </w:rPr>
              <w:t xml:space="preserve">PMAODV-3</w:t>
            </w:r>
          </w:p>
        </w:tc>
        <w:tc>
          <w:tcPr>
            <w:tcW w:type="dxa" w:w="978"/>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110.9</w:t>
            </w:r>
          </w:p>
        </w:tc>
        <w:tc>
          <w:tcPr>
            <w:tcW w:type="dxa" w:w="978"/>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135.8</w:t>
            </w:r>
          </w:p>
        </w:tc>
        <w:tc>
          <w:tcPr>
            <w:tcW w:type="dxa" w:w="978"/>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153.7</w:t>
            </w:r>
          </w:p>
        </w:tc>
        <w:tc>
          <w:tcPr>
            <w:tcW w:type="dxa" w:w="978"/>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176.1</w:t>
            </w:r>
          </w:p>
        </w:tc>
        <w:tc>
          <w:tcPr>
            <w:tcW w:type="dxa" w:w="978"/>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254.0</w:t>
            </w:r>
          </w:p>
        </w:tc>
        <w:tc>
          <w:tcPr>
            <w:tcW w:type="dxa" w:w="978"/>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339.4</w:t>
            </w:r>
          </w:p>
        </w:tc>
      </w:tr>
      <w:tr>
        <w:tc>
          <w:tcPr>
            <w:tcW w:type="dxa" w:w="1428"/>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b/>
                <w:bCs/>
                <w:sz w:val="20"/>
                <w:szCs w:val="20"/>
              </w:rPr>
              <w:t xml:space="preserve">QMAODV-3</w:t>
            </w:r>
          </w:p>
        </w:tc>
        <w:tc>
          <w:tcPr>
            <w:tcW w:type="dxa" w:w="978"/>
            <w:tcBorders>
              <w:top w:val="single" w:color="888888" w:sz="4"/>
              <w:left w:val="single" w:color="888888" w:sz="4"/>
              <w:bottom w:val="single" w:color="888888" w:sz="4"/>
              <w:right w:val="single" w:color="888888" w:sz="4"/>
            </w:tcBorders>
            <w:shd w:fill="FFE699" w:val="clear"/>
            <w:tcMar>
              <w:top w:type="dxa" w:w="80"/>
              <w:left w:type="dxa" w:w="100"/>
              <w:bottom w:type="dxa" w:w="80"/>
              <w:right w:type="dxa" w:w="100"/>
            </w:tcMar>
          </w:tcPr>
          <w:p>
            <w:pPr>
              <w:jc w:val="center"/>
            </w:pPr>
            <w:r>
              <w:rPr>
                <w:b/>
                <w:bCs/>
                <w:sz w:val="20"/>
                <w:szCs w:val="20"/>
              </w:rPr>
              <w:t xml:space="preserve">126.4</w:t>
            </w:r>
          </w:p>
        </w:tc>
        <w:tc>
          <w:tcPr>
            <w:tcW w:type="dxa" w:w="978"/>
            <w:tcBorders>
              <w:top w:val="single" w:color="888888" w:sz="4"/>
              <w:left w:val="single" w:color="888888" w:sz="4"/>
              <w:bottom w:val="single" w:color="888888" w:sz="4"/>
              <w:right w:val="single" w:color="888888" w:sz="4"/>
            </w:tcBorders>
            <w:shd w:fill="FFE699" w:val="clear"/>
            <w:tcMar>
              <w:top w:type="dxa" w:w="80"/>
              <w:left w:type="dxa" w:w="100"/>
              <w:bottom w:type="dxa" w:w="80"/>
              <w:right w:type="dxa" w:w="100"/>
            </w:tcMar>
          </w:tcPr>
          <w:p>
            <w:pPr>
              <w:jc w:val="center"/>
            </w:pPr>
            <w:r>
              <w:rPr>
                <w:b/>
                <w:bCs/>
                <w:sz w:val="20"/>
                <w:szCs w:val="20"/>
              </w:rPr>
              <w:t xml:space="preserve">162.1</w:t>
            </w:r>
          </w:p>
        </w:tc>
        <w:tc>
          <w:tcPr>
            <w:tcW w:type="dxa" w:w="978"/>
            <w:tcBorders>
              <w:top w:val="single" w:color="888888" w:sz="4"/>
              <w:left w:val="single" w:color="888888" w:sz="4"/>
              <w:bottom w:val="single" w:color="888888" w:sz="4"/>
              <w:right w:val="single" w:color="888888" w:sz="4"/>
            </w:tcBorders>
            <w:shd w:fill="FFE699" w:val="clear"/>
            <w:tcMar>
              <w:top w:type="dxa" w:w="80"/>
              <w:left w:type="dxa" w:w="100"/>
              <w:bottom w:type="dxa" w:w="80"/>
              <w:right w:type="dxa" w:w="100"/>
            </w:tcMar>
          </w:tcPr>
          <w:p>
            <w:pPr>
              <w:jc w:val="center"/>
            </w:pPr>
            <w:r>
              <w:rPr>
                <w:b/>
                <w:bCs/>
                <w:sz w:val="20"/>
                <w:szCs w:val="20"/>
              </w:rPr>
              <w:t xml:space="preserve">205.5</w:t>
            </w:r>
          </w:p>
        </w:tc>
        <w:tc>
          <w:tcPr>
            <w:tcW w:type="dxa" w:w="978"/>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171.0</w:t>
            </w:r>
          </w:p>
        </w:tc>
        <w:tc>
          <w:tcPr>
            <w:tcW w:type="dxa" w:w="978"/>
            <w:tcBorders>
              <w:top w:val="single" w:color="888888" w:sz="4"/>
              <w:left w:val="single" w:color="888888" w:sz="4"/>
              <w:bottom w:val="single" w:color="888888" w:sz="4"/>
              <w:right w:val="single" w:color="888888" w:sz="4"/>
            </w:tcBorders>
            <w:shd w:fill="FFE699" w:val="clear"/>
            <w:tcMar>
              <w:top w:type="dxa" w:w="80"/>
              <w:left w:type="dxa" w:w="100"/>
              <w:bottom w:type="dxa" w:w="80"/>
              <w:right w:type="dxa" w:w="100"/>
            </w:tcMar>
          </w:tcPr>
          <w:p>
            <w:pPr>
              <w:jc w:val="center"/>
            </w:pPr>
            <w:r>
              <w:rPr>
                <w:b/>
                <w:bCs/>
                <w:sz w:val="20"/>
                <w:szCs w:val="20"/>
              </w:rPr>
              <w:t xml:space="preserve">287.3</w:t>
            </w:r>
          </w:p>
        </w:tc>
        <w:tc>
          <w:tcPr>
            <w:tcW w:type="dxa" w:w="978"/>
            <w:tcBorders>
              <w:top w:val="single" w:color="888888" w:sz="4"/>
              <w:left w:val="single" w:color="888888" w:sz="4"/>
              <w:bottom w:val="single" w:color="888888" w:sz="4"/>
              <w:right w:val="single" w:color="888888" w:sz="4"/>
            </w:tcBorders>
            <w:shd w:fill="FFE699" w:val="clear"/>
            <w:tcMar>
              <w:top w:type="dxa" w:w="80"/>
              <w:left w:type="dxa" w:w="100"/>
              <w:bottom w:type="dxa" w:w="80"/>
              <w:right w:type="dxa" w:w="100"/>
            </w:tcMar>
          </w:tcPr>
          <w:p>
            <w:pPr>
              <w:jc w:val="center"/>
            </w:pPr>
            <w:r>
              <w:rPr>
                <w:b/>
                <w:bCs/>
                <w:sz w:val="20"/>
                <w:szCs w:val="20"/>
              </w:rPr>
              <w:t xml:space="preserve">445.7</w:t>
            </w:r>
          </w:p>
        </w:tc>
      </w:tr>
    </w:tbl>
    <w:p>
      <w:pPr>
        <w:spacing w:after="60" w:before="120"/>
        <w:jc w:val="center"/>
      </w:pPr>
      <w:r>
        <w:drawing>
          <wp:inline distT="0" distB="0" distL="0" distR="0">
            <wp:extent cx="4572000" cy="2762250"/>
            <wp:effectExtent t="0" r="0" b="0" l="0"/>
            <wp:docPr id="1" name="Fig_S_Delay.png" descr="Fig_S_Delay.png" title="Fig_S_Dela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762250"/>
                    </a:xfrm>
                    <a:prstGeom prst="rect">
                      <a:avLst/>
                    </a:prstGeom>
                  </pic:spPr>
                </pic:pic>
              </a:graphicData>
            </a:graphic>
          </wp:inline>
        </w:drawing>
      </w:r>
    </w:p>
    <w:p>
      <w:pPr>
        <w:spacing w:after="160" w:before="60"/>
        <w:jc w:val="center"/>
      </w:pPr>
      <w:r>
        <w:rPr>
          <w:i/>
          <w:iCs/>
          <w:sz w:val="20"/>
          <w:szCs w:val="20"/>
        </w:rPr>
        <w:t xml:space="preserve">Hình 6. Delay theo vận tốc max — Family S</w:t>
      </w:r>
    </w:p>
    <w:p>
      <w:pPr>
        <w:pStyle w:val="Heading2"/>
      </w:pPr>
      <w:r>
        <w:t xml:space="preserve">5.5 Family P — Kích thước gói tin</w:t>
      </w:r>
    </w:p>
    <w:p>
      <w:pPr>
        <w:spacing w:after="160" w:before="60"/>
        <w:jc w:val="center"/>
      </w:pPr>
      <w:r>
        <w:rPr>
          <w:i/>
          <w:iCs/>
          <w:sz w:val="20"/>
          <w:szCs w:val="20"/>
        </w:rPr>
        <w:t xml:space="preserve">Bảng 9. Delivery Ratio (%) theo kích thước gói (Family P)</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428"/>
        <w:gridCol w:w="978"/>
        <w:gridCol w:w="978"/>
        <w:gridCol w:w="978"/>
        <w:gridCol w:w="978"/>
        <w:gridCol w:w="978"/>
        <w:gridCol w:w="978"/>
      </w:tblGrid>
      <w:tr>
        <w:tc>
          <w:tcPr>
            <w:tcW w:type="dxa" w:w="1428"/>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jc w:val="center"/>
            </w:pPr>
            <w:r>
              <w:rPr>
                <w:b/>
                <w:bCs/>
                <w:sz w:val="20"/>
                <w:szCs w:val="20"/>
              </w:rPr>
              <w:t xml:space="preserve">Giao thức</w:t>
            </w:r>
          </w:p>
        </w:tc>
        <w:tc>
          <w:tcPr>
            <w:tcW w:type="dxa" w:w="978"/>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jc w:val="center"/>
            </w:pPr>
            <w:r>
              <w:rPr>
                <w:b/>
                <w:bCs/>
                <w:sz w:val="20"/>
                <w:szCs w:val="20"/>
              </w:rPr>
              <w:t xml:space="preserve">B=64</w:t>
            </w:r>
          </w:p>
        </w:tc>
        <w:tc>
          <w:tcPr>
            <w:tcW w:type="dxa" w:w="978"/>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jc w:val="center"/>
            </w:pPr>
            <w:r>
              <w:rPr>
                <w:b/>
                <w:bCs/>
                <w:sz w:val="20"/>
                <w:szCs w:val="20"/>
              </w:rPr>
              <w:t xml:space="preserve">B=128</w:t>
            </w:r>
          </w:p>
        </w:tc>
        <w:tc>
          <w:tcPr>
            <w:tcW w:type="dxa" w:w="978"/>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jc w:val="center"/>
            </w:pPr>
            <w:r>
              <w:rPr>
                <w:b/>
                <w:bCs/>
                <w:sz w:val="20"/>
                <w:szCs w:val="20"/>
              </w:rPr>
              <w:t xml:space="preserve">B=256</w:t>
            </w:r>
          </w:p>
        </w:tc>
        <w:tc>
          <w:tcPr>
            <w:tcW w:type="dxa" w:w="978"/>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jc w:val="center"/>
            </w:pPr>
            <w:r>
              <w:rPr>
                <w:b/>
                <w:bCs/>
                <w:sz w:val="20"/>
                <w:szCs w:val="20"/>
              </w:rPr>
              <w:t xml:space="preserve">B=512</w:t>
            </w:r>
          </w:p>
        </w:tc>
        <w:tc>
          <w:tcPr>
            <w:tcW w:type="dxa" w:w="978"/>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jc w:val="center"/>
            </w:pPr>
            <w:r>
              <w:rPr>
                <w:b/>
                <w:bCs/>
                <w:sz w:val="20"/>
                <w:szCs w:val="20"/>
              </w:rPr>
              <w:t xml:space="preserve">B=1024</w:t>
            </w:r>
          </w:p>
        </w:tc>
        <w:tc>
          <w:tcPr>
            <w:tcW w:type="dxa" w:w="978"/>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jc w:val="center"/>
            </w:pPr>
            <w:r>
              <w:rPr>
                <w:b/>
                <w:bCs/>
                <w:sz w:val="20"/>
                <w:szCs w:val="20"/>
              </w:rPr>
              <w:t xml:space="preserve">B=1500</w:t>
            </w:r>
          </w:p>
        </w:tc>
      </w:tr>
      <w:tr>
        <w:tc>
          <w:tcPr>
            <w:tcW w:type="dxa" w:w="1428"/>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b w:val="false"/>
                <w:bCs w:val="false"/>
                <w:sz w:val="20"/>
                <w:szCs w:val="20"/>
              </w:rPr>
              <w:t xml:space="preserve">AODV</w:t>
            </w:r>
          </w:p>
        </w:tc>
        <w:tc>
          <w:tcPr>
            <w:tcW w:type="dxa" w:w="978"/>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41.53</w:t>
            </w:r>
          </w:p>
        </w:tc>
        <w:tc>
          <w:tcPr>
            <w:tcW w:type="dxa" w:w="978"/>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36.78</w:t>
            </w:r>
          </w:p>
        </w:tc>
        <w:tc>
          <w:tcPr>
            <w:tcW w:type="dxa" w:w="978"/>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33.94</w:t>
            </w:r>
          </w:p>
        </w:tc>
        <w:tc>
          <w:tcPr>
            <w:tcW w:type="dxa" w:w="978"/>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33.24</w:t>
            </w:r>
          </w:p>
        </w:tc>
        <w:tc>
          <w:tcPr>
            <w:tcW w:type="dxa" w:w="978"/>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31.73</w:t>
            </w:r>
          </w:p>
        </w:tc>
        <w:tc>
          <w:tcPr>
            <w:tcW w:type="dxa" w:w="978"/>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27.72</w:t>
            </w:r>
          </w:p>
        </w:tc>
      </w:tr>
      <w:tr>
        <w:tc>
          <w:tcPr>
            <w:tcW w:type="dxa" w:w="1428"/>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b w:val="false"/>
                <w:bCs w:val="false"/>
                <w:sz w:val="20"/>
                <w:szCs w:val="20"/>
              </w:rPr>
              <w:t xml:space="preserve">AOMDV-3</w:t>
            </w:r>
          </w:p>
        </w:tc>
        <w:tc>
          <w:tcPr>
            <w:tcW w:type="dxa" w:w="978"/>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38.29</w:t>
            </w:r>
          </w:p>
        </w:tc>
        <w:tc>
          <w:tcPr>
            <w:tcW w:type="dxa" w:w="978"/>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36.65</w:t>
            </w:r>
          </w:p>
        </w:tc>
        <w:tc>
          <w:tcPr>
            <w:tcW w:type="dxa" w:w="978"/>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33.40</w:t>
            </w:r>
          </w:p>
        </w:tc>
        <w:tc>
          <w:tcPr>
            <w:tcW w:type="dxa" w:w="978"/>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38.20</w:t>
            </w:r>
          </w:p>
        </w:tc>
        <w:tc>
          <w:tcPr>
            <w:tcW w:type="dxa" w:w="978"/>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29.77</w:t>
            </w:r>
          </w:p>
        </w:tc>
        <w:tc>
          <w:tcPr>
            <w:tcW w:type="dxa" w:w="978"/>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23.77</w:t>
            </w:r>
          </w:p>
        </w:tc>
      </w:tr>
      <w:tr>
        <w:tc>
          <w:tcPr>
            <w:tcW w:type="dxa" w:w="1428"/>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b w:val="false"/>
                <w:bCs w:val="false"/>
                <w:sz w:val="20"/>
                <w:szCs w:val="20"/>
              </w:rPr>
              <w:t xml:space="preserve">PMAODV-3</w:t>
            </w:r>
          </w:p>
        </w:tc>
        <w:tc>
          <w:tcPr>
            <w:tcW w:type="dxa" w:w="978"/>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37.25</w:t>
            </w:r>
          </w:p>
        </w:tc>
        <w:tc>
          <w:tcPr>
            <w:tcW w:type="dxa" w:w="978"/>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39.89</w:t>
            </w:r>
          </w:p>
        </w:tc>
        <w:tc>
          <w:tcPr>
            <w:tcW w:type="dxa" w:w="978"/>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35.60</w:t>
            </w:r>
          </w:p>
        </w:tc>
        <w:tc>
          <w:tcPr>
            <w:tcW w:type="dxa" w:w="978"/>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35.59</w:t>
            </w:r>
          </w:p>
        </w:tc>
        <w:tc>
          <w:tcPr>
            <w:tcW w:type="dxa" w:w="978"/>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31.88</w:t>
            </w:r>
          </w:p>
        </w:tc>
        <w:tc>
          <w:tcPr>
            <w:tcW w:type="dxa" w:w="978"/>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28.75</w:t>
            </w:r>
          </w:p>
        </w:tc>
      </w:tr>
      <w:tr>
        <w:tc>
          <w:tcPr>
            <w:tcW w:type="dxa" w:w="1428"/>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b/>
                <w:bCs/>
                <w:sz w:val="20"/>
                <w:szCs w:val="20"/>
              </w:rPr>
              <w:t xml:space="preserve">QMAODV-3</w:t>
            </w:r>
          </w:p>
        </w:tc>
        <w:tc>
          <w:tcPr>
            <w:tcW w:type="dxa" w:w="978"/>
            <w:tcBorders>
              <w:top w:val="single" w:color="888888" w:sz="4"/>
              <w:left w:val="single" w:color="888888" w:sz="4"/>
              <w:bottom w:val="single" w:color="888888" w:sz="4"/>
              <w:right w:val="single" w:color="888888" w:sz="4"/>
            </w:tcBorders>
            <w:shd w:fill="FFE699" w:val="clear"/>
            <w:tcMar>
              <w:top w:type="dxa" w:w="80"/>
              <w:left w:type="dxa" w:w="100"/>
              <w:bottom w:type="dxa" w:w="80"/>
              <w:right w:type="dxa" w:w="100"/>
            </w:tcMar>
          </w:tcPr>
          <w:p>
            <w:pPr>
              <w:jc w:val="center"/>
            </w:pPr>
            <w:r>
              <w:rPr>
                <w:b/>
                <w:bCs/>
                <w:sz w:val="20"/>
                <w:szCs w:val="20"/>
              </w:rPr>
              <w:t xml:space="preserve">44.68</w:t>
            </w:r>
          </w:p>
        </w:tc>
        <w:tc>
          <w:tcPr>
            <w:tcW w:type="dxa" w:w="978"/>
            <w:tcBorders>
              <w:top w:val="single" w:color="888888" w:sz="4"/>
              <w:left w:val="single" w:color="888888" w:sz="4"/>
              <w:bottom w:val="single" w:color="888888" w:sz="4"/>
              <w:right w:val="single" w:color="888888" w:sz="4"/>
            </w:tcBorders>
            <w:shd w:fill="FFE699" w:val="clear"/>
            <w:tcMar>
              <w:top w:type="dxa" w:w="80"/>
              <w:left w:type="dxa" w:w="100"/>
              <w:bottom w:type="dxa" w:w="80"/>
              <w:right w:type="dxa" w:w="100"/>
            </w:tcMar>
          </w:tcPr>
          <w:p>
            <w:pPr>
              <w:jc w:val="center"/>
            </w:pPr>
            <w:r>
              <w:rPr>
                <w:b/>
                <w:bCs/>
                <w:sz w:val="20"/>
                <w:szCs w:val="20"/>
              </w:rPr>
              <w:t xml:space="preserve">42.68</w:t>
            </w:r>
          </w:p>
        </w:tc>
        <w:tc>
          <w:tcPr>
            <w:tcW w:type="dxa" w:w="978"/>
            <w:tcBorders>
              <w:top w:val="single" w:color="888888" w:sz="4"/>
              <w:left w:val="single" w:color="888888" w:sz="4"/>
              <w:bottom w:val="single" w:color="888888" w:sz="4"/>
              <w:right w:val="single" w:color="888888" w:sz="4"/>
            </w:tcBorders>
            <w:shd w:fill="FFE699" w:val="clear"/>
            <w:tcMar>
              <w:top w:type="dxa" w:w="80"/>
              <w:left w:type="dxa" w:w="100"/>
              <w:bottom w:type="dxa" w:w="80"/>
              <w:right w:type="dxa" w:w="100"/>
            </w:tcMar>
          </w:tcPr>
          <w:p>
            <w:pPr>
              <w:jc w:val="center"/>
            </w:pPr>
            <w:r>
              <w:rPr>
                <w:b/>
                <w:bCs/>
                <w:sz w:val="20"/>
                <w:szCs w:val="20"/>
              </w:rPr>
              <w:t xml:space="preserve">37.61</w:t>
            </w:r>
          </w:p>
        </w:tc>
        <w:tc>
          <w:tcPr>
            <w:tcW w:type="dxa" w:w="978"/>
            <w:tcBorders>
              <w:top w:val="single" w:color="888888" w:sz="4"/>
              <w:left w:val="single" w:color="888888" w:sz="4"/>
              <w:bottom w:val="single" w:color="888888" w:sz="4"/>
              <w:right w:val="single" w:color="888888" w:sz="4"/>
            </w:tcBorders>
            <w:shd w:fill="FFE699" w:val="clear"/>
            <w:tcMar>
              <w:top w:type="dxa" w:w="80"/>
              <w:left w:type="dxa" w:w="100"/>
              <w:bottom w:type="dxa" w:w="80"/>
              <w:right w:type="dxa" w:w="100"/>
            </w:tcMar>
          </w:tcPr>
          <w:p>
            <w:pPr>
              <w:jc w:val="center"/>
            </w:pPr>
            <w:r>
              <w:rPr>
                <w:b/>
                <w:bCs/>
                <w:sz w:val="20"/>
                <w:szCs w:val="20"/>
              </w:rPr>
              <w:t xml:space="preserve">40.47</w:t>
            </w:r>
          </w:p>
        </w:tc>
        <w:tc>
          <w:tcPr>
            <w:tcW w:type="dxa" w:w="978"/>
            <w:tcBorders>
              <w:top w:val="single" w:color="888888" w:sz="4"/>
              <w:left w:val="single" w:color="888888" w:sz="4"/>
              <w:bottom w:val="single" w:color="888888" w:sz="4"/>
              <w:right w:val="single" w:color="888888" w:sz="4"/>
            </w:tcBorders>
            <w:shd w:fill="FFE699" w:val="clear"/>
            <w:tcMar>
              <w:top w:type="dxa" w:w="80"/>
              <w:left w:type="dxa" w:w="100"/>
              <w:bottom w:type="dxa" w:w="80"/>
              <w:right w:type="dxa" w:w="100"/>
            </w:tcMar>
          </w:tcPr>
          <w:p>
            <w:pPr>
              <w:jc w:val="center"/>
            </w:pPr>
            <w:r>
              <w:rPr>
                <w:b/>
                <w:bCs/>
                <w:sz w:val="20"/>
                <w:szCs w:val="20"/>
              </w:rPr>
              <w:t xml:space="preserve">39.30</w:t>
            </w:r>
          </w:p>
        </w:tc>
        <w:tc>
          <w:tcPr>
            <w:tcW w:type="dxa" w:w="978"/>
            <w:tcBorders>
              <w:top w:val="single" w:color="888888" w:sz="4"/>
              <w:left w:val="single" w:color="888888" w:sz="4"/>
              <w:bottom w:val="single" w:color="888888" w:sz="4"/>
              <w:right w:val="single" w:color="888888" w:sz="4"/>
            </w:tcBorders>
            <w:shd w:fill="FFE699" w:val="clear"/>
            <w:tcMar>
              <w:top w:type="dxa" w:w="80"/>
              <w:left w:type="dxa" w:w="100"/>
              <w:bottom w:type="dxa" w:w="80"/>
              <w:right w:type="dxa" w:w="100"/>
            </w:tcMar>
          </w:tcPr>
          <w:p>
            <w:pPr>
              <w:jc w:val="center"/>
            </w:pPr>
            <w:r>
              <w:rPr>
                <w:b/>
                <w:bCs/>
                <w:sz w:val="20"/>
                <w:szCs w:val="20"/>
              </w:rPr>
              <w:t xml:space="preserve">33.27</w:t>
            </w:r>
          </w:p>
        </w:tc>
      </w:tr>
    </w:tbl>
    <w:p>
      <w:pPr>
        <w:spacing w:after="60" w:before="120"/>
        <w:jc w:val="center"/>
      </w:pPr>
      <w:r>
        <w:drawing>
          <wp:inline distT="0" distB="0" distL="0" distR="0">
            <wp:extent cx="4572000" cy="2762250"/>
            <wp:effectExtent t="0" r="0" b="0" l="0"/>
            <wp:docPr id="1" name="Fig_P_PDR.png" descr="Fig_P_PDR.png" title="Fig_P_PD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762250"/>
                    </a:xfrm>
                    <a:prstGeom prst="rect">
                      <a:avLst/>
                    </a:prstGeom>
                  </pic:spPr>
                </pic:pic>
              </a:graphicData>
            </a:graphic>
          </wp:inline>
        </w:drawing>
      </w:r>
    </w:p>
    <w:p>
      <w:pPr>
        <w:spacing w:after="160" w:before="60"/>
        <w:jc w:val="center"/>
      </w:pPr>
      <w:r>
        <w:rPr>
          <w:i/>
          <w:iCs/>
          <w:sz w:val="20"/>
          <w:szCs w:val="20"/>
        </w:rPr>
        <w:t xml:space="preserve">Hình 7. PDR theo kích thước gói — Family P</w:t>
      </w:r>
    </w:p>
    <w:p>
      <w:pPr>
        <w:spacing w:after="120"/>
        <w:jc w:val="both"/>
      </w:pPr>
      <w:r>
        <w:rPr>
          <w:sz w:val="22"/>
          <w:szCs w:val="22"/>
        </w:rPr>
        <w:t xml:space="preserve">QMAODV-3 dẫn đầu trên toàn bộ dải kích thước gói:</w:t>
      </w:r>
    </w:p>
    <w:p>
      <w:pPr>
        <w:pStyle w:val="ListParagraph"/>
        <w:numPr>
          <w:ilvl w:val="0"/>
          <w:numId w:val="2"/>
        </w:numPr>
        <w:spacing w:after="60"/>
      </w:pPr>
      <w:r>
        <w:rPr>
          <w:sz w:val="22"/>
          <w:szCs w:val="22"/>
        </w:rPr>
        <w:t xml:space="preserve">Tại 64 B, QMAODV-3 đạt 44,68 % — vượt AODV (+3,15 pp), AOMDV-3 (+6,39 pp), PMAODV-3 (+7,43 pp).</w:t>
      </w:r>
    </w:p>
    <w:p>
      <w:pPr>
        <w:pStyle w:val="ListParagraph"/>
        <w:numPr>
          <w:ilvl w:val="0"/>
          <w:numId w:val="2"/>
        </w:numPr>
        <w:spacing w:after="60"/>
      </w:pPr>
      <w:r>
        <w:rPr>
          <w:sz w:val="22"/>
          <w:szCs w:val="22"/>
        </w:rPr>
        <w:t xml:space="preserve">Tại 128-512 B, QMAODV-3 duy trì lợi thế 2-7 pp so với baseline tốt nhất.</w:t>
      </w:r>
    </w:p>
    <w:p>
      <w:pPr>
        <w:pStyle w:val="ListParagraph"/>
        <w:numPr>
          <w:ilvl w:val="0"/>
          <w:numId w:val="2"/>
        </w:numPr>
        <w:spacing w:after="60"/>
      </w:pPr>
      <w:r>
        <w:rPr>
          <w:sz w:val="22"/>
          <w:szCs w:val="22"/>
        </w:rPr>
        <w:t xml:space="preserve">Tại 1024-1500 B, QMAODV-3 vẫn dẫn đầu với 39,30 % và 33,27 %, cho thấy Q-learning duy trì advantage ngay cả khi điều kiện vật lý xấu đi do gói lớn.</w:t>
      </w:r>
    </w:p>
    <w:p>
      <w:pPr>
        <w:spacing w:after="160" w:before="60"/>
        <w:jc w:val="center"/>
      </w:pPr>
      <w:r>
        <w:rPr>
          <w:i/>
          <w:iCs/>
          <w:sz w:val="20"/>
          <w:szCs w:val="20"/>
        </w:rPr>
        <w:t xml:space="preserve">Bảng 10. Delay (ms) theo kích thước gói (Family P)</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428"/>
        <w:gridCol w:w="978"/>
        <w:gridCol w:w="978"/>
        <w:gridCol w:w="978"/>
        <w:gridCol w:w="978"/>
        <w:gridCol w:w="978"/>
        <w:gridCol w:w="978"/>
      </w:tblGrid>
      <w:tr>
        <w:tc>
          <w:tcPr>
            <w:tcW w:type="dxa" w:w="1428"/>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jc w:val="center"/>
            </w:pPr>
            <w:r>
              <w:rPr>
                <w:b/>
                <w:bCs/>
                <w:sz w:val="20"/>
                <w:szCs w:val="20"/>
              </w:rPr>
              <w:t xml:space="preserve">Giao thức</w:t>
            </w:r>
          </w:p>
        </w:tc>
        <w:tc>
          <w:tcPr>
            <w:tcW w:type="dxa" w:w="978"/>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jc w:val="center"/>
            </w:pPr>
            <w:r>
              <w:rPr>
                <w:b/>
                <w:bCs/>
                <w:sz w:val="20"/>
                <w:szCs w:val="20"/>
              </w:rPr>
              <w:t xml:space="preserve">B=64</w:t>
            </w:r>
          </w:p>
        </w:tc>
        <w:tc>
          <w:tcPr>
            <w:tcW w:type="dxa" w:w="978"/>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jc w:val="center"/>
            </w:pPr>
            <w:r>
              <w:rPr>
                <w:b/>
                <w:bCs/>
                <w:sz w:val="20"/>
                <w:szCs w:val="20"/>
              </w:rPr>
              <w:t xml:space="preserve">B=128</w:t>
            </w:r>
          </w:p>
        </w:tc>
        <w:tc>
          <w:tcPr>
            <w:tcW w:type="dxa" w:w="978"/>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jc w:val="center"/>
            </w:pPr>
            <w:r>
              <w:rPr>
                <w:b/>
                <w:bCs/>
                <w:sz w:val="20"/>
                <w:szCs w:val="20"/>
              </w:rPr>
              <w:t xml:space="preserve">B=256</w:t>
            </w:r>
          </w:p>
        </w:tc>
        <w:tc>
          <w:tcPr>
            <w:tcW w:type="dxa" w:w="978"/>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jc w:val="center"/>
            </w:pPr>
            <w:r>
              <w:rPr>
                <w:b/>
                <w:bCs/>
                <w:sz w:val="20"/>
                <w:szCs w:val="20"/>
              </w:rPr>
              <w:t xml:space="preserve">B=512</w:t>
            </w:r>
          </w:p>
        </w:tc>
        <w:tc>
          <w:tcPr>
            <w:tcW w:type="dxa" w:w="978"/>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jc w:val="center"/>
            </w:pPr>
            <w:r>
              <w:rPr>
                <w:b/>
                <w:bCs/>
                <w:sz w:val="20"/>
                <w:szCs w:val="20"/>
              </w:rPr>
              <w:t xml:space="preserve">B=1024</w:t>
            </w:r>
          </w:p>
        </w:tc>
        <w:tc>
          <w:tcPr>
            <w:tcW w:type="dxa" w:w="978"/>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jc w:val="center"/>
            </w:pPr>
            <w:r>
              <w:rPr>
                <w:b/>
                <w:bCs/>
                <w:sz w:val="20"/>
                <w:szCs w:val="20"/>
              </w:rPr>
              <w:t xml:space="preserve">B=1500</w:t>
            </w:r>
          </w:p>
        </w:tc>
      </w:tr>
      <w:tr>
        <w:tc>
          <w:tcPr>
            <w:tcW w:type="dxa" w:w="1428"/>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b w:val="false"/>
                <w:bCs w:val="false"/>
                <w:sz w:val="20"/>
                <w:szCs w:val="20"/>
              </w:rPr>
              <w:t xml:space="preserve">AODV</w:t>
            </w:r>
          </w:p>
        </w:tc>
        <w:tc>
          <w:tcPr>
            <w:tcW w:type="dxa" w:w="978"/>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210.0</w:t>
            </w:r>
          </w:p>
        </w:tc>
        <w:tc>
          <w:tcPr>
            <w:tcW w:type="dxa" w:w="978"/>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213.0</w:t>
            </w:r>
          </w:p>
        </w:tc>
        <w:tc>
          <w:tcPr>
            <w:tcW w:type="dxa" w:w="978"/>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193.0</w:t>
            </w:r>
          </w:p>
        </w:tc>
        <w:tc>
          <w:tcPr>
            <w:tcW w:type="dxa" w:w="978"/>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189.5</w:t>
            </w:r>
          </w:p>
        </w:tc>
        <w:tc>
          <w:tcPr>
            <w:tcW w:type="dxa" w:w="978"/>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223.5</w:t>
            </w:r>
          </w:p>
        </w:tc>
        <w:tc>
          <w:tcPr>
            <w:tcW w:type="dxa" w:w="978"/>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234.4</w:t>
            </w:r>
          </w:p>
        </w:tc>
      </w:tr>
      <w:tr>
        <w:tc>
          <w:tcPr>
            <w:tcW w:type="dxa" w:w="1428"/>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b w:val="false"/>
                <w:bCs w:val="false"/>
                <w:sz w:val="20"/>
                <w:szCs w:val="20"/>
              </w:rPr>
              <w:t xml:space="preserve">AOMDV-3</w:t>
            </w:r>
          </w:p>
        </w:tc>
        <w:tc>
          <w:tcPr>
            <w:tcW w:type="dxa" w:w="978"/>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203.0</w:t>
            </w:r>
          </w:p>
        </w:tc>
        <w:tc>
          <w:tcPr>
            <w:tcW w:type="dxa" w:w="978"/>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191.1</w:t>
            </w:r>
          </w:p>
        </w:tc>
        <w:tc>
          <w:tcPr>
            <w:tcW w:type="dxa" w:w="978"/>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162.5</w:t>
            </w:r>
          </w:p>
        </w:tc>
        <w:tc>
          <w:tcPr>
            <w:tcW w:type="dxa" w:w="978"/>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201.0</w:t>
            </w:r>
          </w:p>
        </w:tc>
        <w:tc>
          <w:tcPr>
            <w:tcW w:type="dxa" w:w="978"/>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255.8</w:t>
            </w:r>
          </w:p>
        </w:tc>
        <w:tc>
          <w:tcPr>
            <w:tcW w:type="dxa" w:w="978"/>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211.2</w:t>
            </w:r>
          </w:p>
        </w:tc>
      </w:tr>
      <w:tr>
        <w:tc>
          <w:tcPr>
            <w:tcW w:type="dxa" w:w="1428"/>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b w:val="false"/>
                <w:bCs w:val="false"/>
                <w:sz w:val="20"/>
                <w:szCs w:val="20"/>
              </w:rPr>
              <w:t xml:space="preserve">PMAODV-3</w:t>
            </w:r>
          </w:p>
        </w:tc>
        <w:tc>
          <w:tcPr>
            <w:tcW w:type="dxa" w:w="978"/>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191.2</w:t>
            </w:r>
          </w:p>
        </w:tc>
        <w:tc>
          <w:tcPr>
            <w:tcW w:type="dxa" w:w="978"/>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216.9</w:t>
            </w:r>
          </w:p>
        </w:tc>
        <w:tc>
          <w:tcPr>
            <w:tcW w:type="dxa" w:w="978"/>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166.0</w:t>
            </w:r>
          </w:p>
        </w:tc>
        <w:tc>
          <w:tcPr>
            <w:tcW w:type="dxa" w:w="978"/>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225.3</w:t>
            </w:r>
          </w:p>
        </w:tc>
        <w:tc>
          <w:tcPr>
            <w:tcW w:type="dxa" w:w="978"/>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255.3</w:t>
            </w:r>
          </w:p>
        </w:tc>
        <w:tc>
          <w:tcPr>
            <w:tcW w:type="dxa" w:w="978"/>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297.1</w:t>
            </w:r>
          </w:p>
        </w:tc>
      </w:tr>
      <w:tr>
        <w:tc>
          <w:tcPr>
            <w:tcW w:type="dxa" w:w="1428"/>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b/>
                <w:bCs/>
                <w:sz w:val="20"/>
                <w:szCs w:val="20"/>
              </w:rPr>
              <w:t xml:space="preserve">QMAODV-3</w:t>
            </w:r>
          </w:p>
        </w:tc>
        <w:tc>
          <w:tcPr>
            <w:tcW w:type="dxa" w:w="978"/>
            <w:tcBorders>
              <w:top w:val="single" w:color="888888" w:sz="4"/>
              <w:left w:val="single" w:color="888888" w:sz="4"/>
              <w:bottom w:val="single" w:color="888888" w:sz="4"/>
              <w:right w:val="single" w:color="888888" w:sz="4"/>
            </w:tcBorders>
            <w:shd w:fill="FFE699" w:val="clear"/>
            <w:tcMar>
              <w:top w:type="dxa" w:w="80"/>
              <w:left w:type="dxa" w:w="100"/>
              <w:bottom w:type="dxa" w:w="80"/>
              <w:right w:type="dxa" w:w="100"/>
            </w:tcMar>
          </w:tcPr>
          <w:p>
            <w:pPr>
              <w:jc w:val="center"/>
            </w:pPr>
            <w:r>
              <w:rPr>
                <w:b/>
                <w:bCs/>
                <w:sz w:val="20"/>
                <w:szCs w:val="20"/>
              </w:rPr>
              <w:t xml:space="preserve">233.5</w:t>
            </w:r>
          </w:p>
        </w:tc>
        <w:tc>
          <w:tcPr>
            <w:tcW w:type="dxa" w:w="978"/>
            <w:tcBorders>
              <w:top w:val="single" w:color="888888" w:sz="4"/>
              <w:left w:val="single" w:color="888888" w:sz="4"/>
              <w:bottom w:val="single" w:color="888888" w:sz="4"/>
              <w:right w:val="single" w:color="888888" w:sz="4"/>
            </w:tcBorders>
            <w:shd w:fill="FFE699" w:val="clear"/>
            <w:tcMar>
              <w:top w:type="dxa" w:w="80"/>
              <w:left w:type="dxa" w:w="100"/>
              <w:bottom w:type="dxa" w:w="80"/>
              <w:right w:type="dxa" w:w="100"/>
            </w:tcMar>
          </w:tcPr>
          <w:p>
            <w:pPr>
              <w:jc w:val="center"/>
            </w:pPr>
            <w:r>
              <w:rPr>
                <w:b/>
                <w:bCs/>
                <w:sz w:val="20"/>
                <w:szCs w:val="20"/>
              </w:rPr>
              <w:t xml:space="preserve">230.3</w:t>
            </w:r>
          </w:p>
        </w:tc>
        <w:tc>
          <w:tcPr>
            <w:tcW w:type="dxa" w:w="978"/>
            <w:tcBorders>
              <w:top w:val="single" w:color="888888" w:sz="4"/>
              <w:left w:val="single" w:color="888888" w:sz="4"/>
              <w:bottom w:val="single" w:color="888888" w:sz="4"/>
              <w:right w:val="single" w:color="888888" w:sz="4"/>
            </w:tcBorders>
            <w:shd w:fill="FFE699" w:val="clear"/>
            <w:tcMar>
              <w:top w:type="dxa" w:w="80"/>
              <w:left w:type="dxa" w:w="100"/>
              <w:bottom w:type="dxa" w:w="80"/>
              <w:right w:type="dxa" w:w="100"/>
            </w:tcMar>
          </w:tcPr>
          <w:p>
            <w:pPr>
              <w:jc w:val="center"/>
            </w:pPr>
            <w:r>
              <w:rPr>
                <w:b/>
                <w:bCs/>
                <w:sz w:val="20"/>
                <w:szCs w:val="20"/>
              </w:rPr>
              <w:t xml:space="preserve">224.1</w:t>
            </w:r>
          </w:p>
        </w:tc>
        <w:tc>
          <w:tcPr>
            <w:tcW w:type="dxa" w:w="978"/>
            <w:tcBorders>
              <w:top w:val="single" w:color="888888" w:sz="4"/>
              <w:left w:val="single" w:color="888888" w:sz="4"/>
              <w:bottom w:val="single" w:color="888888" w:sz="4"/>
              <w:right w:val="single" w:color="888888" w:sz="4"/>
            </w:tcBorders>
            <w:shd w:fill="FFE699" w:val="clear"/>
            <w:tcMar>
              <w:top w:type="dxa" w:w="80"/>
              <w:left w:type="dxa" w:w="100"/>
              <w:bottom w:type="dxa" w:w="80"/>
              <w:right w:type="dxa" w:w="100"/>
            </w:tcMar>
          </w:tcPr>
          <w:p>
            <w:pPr>
              <w:jc w:val="center"/>
            </w:pPr>
            <w:r>
              <w:rPr>
                <w:b/>
                <w:bCs/>
                <w:sz w:val="20"/>
                <w:szCs w:val="20"/>
              </w:rPr>
              <w:t xml:space="preserve">243.2</w:t>
            </w:r>
          </w:p>
        </w:tc>
        <w:tc>
          <w:tcPr>
            <w:tcW w:type="dxa" w:w="978"/>
            <w:tcBorders>
              <w:top w:val="single" w:color="888888" w:sz="4"/>
              <w:left w:val="single" w:color="888888" w:sz="4"/>
              <w:bottom w:val="single" w:color="888888" w:sz="4"/>
              <w:right w:val="single" w:color="888888" w:sz="4"/>
            </w:tcBorders>
            <w:shd w:fill="FFE699" w:val="clear"/>
            <w:tcMar>
              <w:top w:type="dxa" w:w="80"/>
              <w:left w:type="dxa" w:w="100"/>
              <w:bottom w:type="dxa" w:w="80"/>
              <w:right w:type="dxa" w:w="100"/>
            </w:tcMar>
          </w:tcPr>
          <w:p>
            <w:pPr>
              <w:jc w:val="center"/>
            </w:pPr>
            <w:r>
              <w:rPr>
                <w:b/>
                <w:bCs/>
                <w:sz w:val="20"/>
                <w:szCs w:val="20"/>
              </w:rPr>
              <w:t xml:space="preserve">317.5</w:t>
            </w:r>
          </w:p>
        </w:tc>
        <w:tc>
          <w:tcPr>
            <w:tcW w:type="dxa" w:w="978"/>
            <w:tcBorders>
              <w:top w:val="single" w:color="888888" w:sz="4"/>
              <w:left w:val="single" w:color="888888" w:sz="4"/>
              <w:bottom w:val="single" w:color="888888" w:sz="4"/>
              <w:right w:val="single" w:color="888888" w:sz="4"/>
            </w:tcBorders>
            <w:shd w:fill="FFE699" w:val="clear"/>
            <w:tcMar>
              <w:top w:type="dxa" w:w="80"/>
              <w:left w:type="dxa" w:w="100"/>
              <w:bottom w:type="dxa" w:w="80"/>
              <w:right w:type="dxa" w:w="100"/>
            </w:tcMar>
          </w:tcPr>
          <w:p>
            <w:pPr>
              <w:jc w:val="center"/>
            </w:pPr>
            <w:r>
              <w:rPr>
                <w:b/>
                <w:bCs/>
                <w:sz w:val="20"/>
                <w:szCs w:val="20"/>
              </w:rPr>
              <w:t xml:space="preserve">361.2</w:t>
            </w:r>
          </w:p>
        </w:tc>
      </w:tr>
    </w:tbl>
    <w:p>
      <w:pPr>
        <w:spacing w:after="60" w:before="120"/>
        <w:jc w:val="center"/>
      </w:pPr>
      <w:r>
        <w:drawing>
          <wp:inline distT="0" distB="0" distL="0" distR="0">
            <wp:extent cx="4572000" cy="2762250"/>
            <wp:effectExtent t="0" r="0" b="0" l="0"/>
            <wp:docPr id="1" name="Fig_P_Delay.png" descr="Fig_P_Delay.png" title="Fig_P_Dela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762250"/>
                    </a:xfrm>
                    <a:prstGeom prst="rect">
                      <a:avLst/>
                    </a:prstGeom>
                  </pic:spPr>
                </pic:pic>
              </a:graphicData>
            </a:graphic>
          </wp:inline>
        </w:drawing>
      </w:r>
    </w:p>
    <w:p>
      <w:pPr>
        <w:spacing w:after="160" w:before="60"/>
        <w:jc w:val="center"/>
      </w:pPr>
      <w:r>
        <w:rPr>
          <w:i/>
          <w:iCs/>
          <w:sz w:val="20"/>
          <w:szCs w:val="20"/>
        </w:rPr>
        <w:t xml:space="preserve">Hình 8. Delay theo kích thước gói — Family P</w:t>
      </w:r>
    </w:p>
    <w:p>
      <w:pPr>
        <w:pStyle w:val="Heading2"/>
      </w:pPr>
      <w:r>
        <w:t xml:space="preserve">5.6 Family F — Số luồng đồng thời</w:t>
      </w:r>
    </w:p>
    <w:p>
      <w:pPr>
        <w:spacing w:after="160" w:before="60"/>
        <w:jc w:val="center"/>
      </w:pPr>
      <w:r>
        <w:rPr>
          <w:i/>
          <w:iCs/>
          <w:sz w:val="20"/>
          <w:szCs w:val="20"/>
        </w:rPr>
        <w:t xml:space="preserve">Bảng 11. Delivery Ratio (%) theo số luồng (Family F) — QMAODV thua mọi điểm</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600"/>
        <w:gridCol w:w="1150"/>
        <w:gridCol w:w="1150"/>
        <w:gridCol w:w="1150"/>
        <w:gridCol w:w="1150"/>
        <w:gridCol w:w="1150"/>
      </w:tblGrid>
      <w:tr>
        <w:tc>
          <w:tcPr>
            <w:tcW w:type="dxa" w:w="1600"/>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jc w:val="center"/>
            </w:pPr>
            <w:r>
              <w:rPr>
                <w:b/>
                <w:bCs/>
                <w:sz w:val="20"/>
                <w:szCs w:val="20"/>
              </w:rPr>
              <w:t xml:space="preserve">Giao thức</w:t>
            </w:r>
          </w:p>
        </w:tc>
        <w:tc>
          <w:tcPr>
            <w:tcW w:type="dxa" w:w="1150"/>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jc w:val="center"/>
            </w:pPr>
            <w:r>
              <w:rPr>
                <w:b/>
                <w:bCs/>
                <w:sz w:val="20"/>
                <w:szCs w:val="20"/>
              </w:rPr>
              <w:t xml:space="preserve">flows=1</w:t>
            </w:r>
          </w:p>
        </w:tc>
        <w:tc>
          <w:tcPr>
            <w:tcW w:type="dxa" w:w="1150"/>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jc w:val="center"/>
            </w:pPr>
            <w:r>
              <w:rPr>
                <w:b/>
                <w:bCs/>
                <w:sz w:val="20"/>
                <w:szCs w:val="20"/>
              </w:rPr>
              <w:t xml:space="preserve">flows=2</w:t>
            </w:r>
          </w:p>
        </w:tc>
        <w:tc>
          <w:tcPr>
            <w:tcW w:type="dxa" w:w="1150"/>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jc w:val="center"/>
            </w:pPr>
            <w:r>
              <w:rPr>
                <w:b/>
                <w:bCs/>
                <w:sz w:val="20"/>
                <w:szCs w:val="20"/>
              </w:rPr>
              <w:t xml:space="preserve">flows=3</w:t>
            </w:r>
          </w:p>
        </w:tc>
        <w:tc>
          <w:tcPr>
            <w:tcW w:type="dxa" w:w="1150"/>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jc w:val="center"/>
            </w:pPr>
            <w:r>
              <w:rPr>
                <w:b/>
                <w:bCs/>
                <w:sz w:val="20"/>
                <w:szCs w:val="20"/>
              </w:rPr>
              <w:t xml:space="preserve">flows=5</w:t>
            </w:r>
          </w:p>
        </w:tc>
        <w:tc>
          <w:tcPr>
            <w:tcW w:type="dxa" w:w="1150"/>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jc w:val="center"/>
            </w:pPr>
            <w:r>
              <w:rPr>
                <w:b/>
                <w:bCs/>
                <w:sz w:val="20"/>
                <w:szCs w:val="20"/>
              </w:rPr>
              <w:t xml:space="preserve">flows=7</w:t>
            </w:r>
          </w:p>
        </w:tc>
      </w:tr>
      <w:tr>
        <w:tc>
          <w:tcPr>
            <w:tcW w:type="dxa" w:w="1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b w:val="false"/>
                <w:bCs w:val="false"/>
                <w:sz w:val="20"/>
                <w:szCs w:val="20"/>
              </w:rPr>
              <w:t xml:space="preserve">AODV</w:t>
            </w:r>
          </w:p>
        </w:tc>
        <w:tc>
          <w:tcPr>
            <w:tcW w:type="dxa" w:w="115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75.33</w:t>
            </w:r>
          </w:p>
        </w:tc>
        <w:tc>
          <w:tcPr>
            <w:tcW w:type="dxa" w:w="115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73.16</w:t>
            </w:r>
          </w:p>
        </w:tc>
        <w:tc>
          <w:tcPr>
            <w:tcW w:type="dxa" w:w="115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bCs/>
                <w:sz w:val="20"/>
                <w:szCs w:val="20"/>
              </w:rPr>
              <w:t xml:space="preserve">72.09</w:t>
            </w:r>
          </w:p>
        </w:tc>
        <w:tc>
          <w:tcPr>
            <w:tcW w:type="dxa" w:w="115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bCs/>
                <w:sz w:val="20"/>
                <w:szCs w:val="20"/>
              </w:rPr>
              <w:t xml:space="preserve">68.38</w:t>
            </w:r>
          </w:p>
        </w:tc>
        <w:tc>
          <w:tcPr>
            <w:tcW w:type="dxa" w:w="115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63.73</w:t>
            </w:r>
          </w:p>
        </w:tc>
      </w:tr>
      <w:tr>
        <w:tc>
          <w:tcPr>
            <w:tcW w:type="dxa" w:w="1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b w:val="false"/>
                <w:bCs w:val="false"/>
                <w:sz w:val="20"/>
                <w:szCs w:val="20"/>
              </w:rPr>
              <w:t xml:space="preserve">AOMDV-3</w:t>
            </w:r>
          </w:p>
        </w:tc>
        <w:tc>
          <w:tcPr>
            <w:tcW w:type="dxa" w:w="115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bCs/>
                <w:sz w:val="20"/>
                <w:szCs w:val="20"/>
              </w:rPr>
              <w:t xml:space="preserve">77.02</w:t>
            </w:r>
          </w:p>
        </w:tc>
        <w:tc>
          <w:tcPr>
            <w:tcW w:type="dxa" w:w="115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bCs/>
                <w:sz w:val="20"/>
                <w:szCs w:val="20"/>
              </w:rPr>
              <w:t xml:space="preserve">75.55</w:t>
            </w:r>
          </w:p>
        </w:tc>
        <w:tc>
          <w:tcPr>
            <w:tcW w:type="dxa" w:w="115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67.70</w:t>
            </w:r>
          </w:p>
        </w:tc>
        <w:tc>
          <w:tcPr>
            <w:tcW w:type="dxa" w:w="115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67.41</w:t>
            </w:r>
          </w:p>
        </w:tc>
        <w:tc>
          <w:tcPr>
            <w:tcW w:type="dxa" w:w="115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63.53</w:t>
            </w:r>
          </w:p>
        </w:tc>
      </w:tr>
      <w:tr>
        <w:tc>
          <w:tcPr>
            <w:tcW w:type="dxa" w:w="1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b w:val="false"/>
                <w:bCs w:val="false"/>
                <w:sz w:val="20"/>
                <w:szCs w:val="20"/>
              </w:rPr>
              <w:t xml:space="preserve">PMAODV-3</w:t>
            </w:r>
          </w:p>
        </w:tc>
        <w:tc>
          <w:tcPr>
            <w:tcW w:type="dxa" w:w="115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70.77</w:t>
            </w:r>
          </w:p>
        </w:tc>
        <w:tc>
          <w:tcPr>
            <w:tcW w:type="dxa" w:w="115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68.52</w:t>
            </w:r>
          </w:p>
        </w:tc>
        <w:tc>
          <w:tcPr>
            <w:tcW w:type="dxa" w:w="115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68.44</w:t>
            </w:r>
          </w:p>
        </w:tc>
        <w:tc>
          <w:tcPr>
            <w:tcW w:type="dxa" w:w="115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65.09</w:t>
            </w:r>
          </w:p>
        </w:tc>
        <w:tc>
          <w:tcPr>
            <w:tcW w:type="dxa" w:w="115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bCs/>
                <w:sz w:val="20"/>
                <w:szCs w:val="20"/>
              </w:rPr>
              <w:t xml:space="preserve">63.98</w:t>
            </w:r>
          </w:p>
        </w:tc>
      </w:tr>
      <w:tr>
        <w:tc>
          <w:tcPr>
            <w:tcW w:type="dxa" w:w="1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b/>
                <w:bCs/>
                <w:sz w:val="20"/>
                <w:szCs w:val="20"/>
              </w:rPr>
              <w:t xml:space="preserve">QMAODV-3</w:t>
            </w:r>
          </w:p>
        </w:tc>
        <w:tc>
          <w:tcPr>
            <w:tcW w:type="dxa" w:w="1150"/>
            <w:tcBorders>
              <w:top w:val="single" w:color="888888" w:sz="4"/>
              <w:left w:val="single" w:color="888888" w:sz="4"/>
              <w:bottom w:val="single" w:color="888888" w:sz="4"/>
              <w:right w:val="single" w:color="888888" w:sz="4"/>
            </w:tcBorders>
            <w:shd w:fill="FBE5D6" w:val="clear"/>
            <w:tcMar>
              <w:top w:type="dxa" w:w="80"/>
              <w:left w:type="dxa" w:w="100"/>
              <w:bottom w:type="dxa" w:w="80"/>
              <w:right w:type="dxa" w:w="100"/>
            </w:tcMar>
          </w:tcPr>
          <w:p>
            <w:pPr>
              <w:jc w:val="center"/>
            </w:pPr>
            <w:r>
              <w:rPr>
                <w:sz w:val="20"/>
                <w:szCs w:val="20"/>
              </w:rPr>
              <w:t xml:space="preserve">69.02</w:t>
            </w:r>
          </w:p>
        </w:tc>
        <w:tc>
          <w:tcPr>
            <w:tcW w:type="dxa" w:w="1150"/>
            <w:tcBorders>
              <w:top w:val="single" w:color="888888" w:sz="4"/>
              <w:left w:val="single" w:color="888888" w:sz="4"/>
              <w:bottom w:val="single" w:color="888888" w:sz="4"/>
              <w:right w:val="single" w:color="888888" w:sz="4"/>
            </w:tcBorders>
            <w:shd w:fill="FBE5D6" w:val="clear"/>
            <w:tcMar>
              <w:top w:type="dxa" w:w="80"/>
              <w:left w:type="dxa" w:w="100"/>
              <w:bottom w:type="dxa" w:w="80"/>
              <w:right w:type="dxa" w:w="100"/>
            </w:tcMar>
          </w:tcPr>
          <w:p>
            <w:pPr>
              <w:jc w:val="center"/>
            </w:pPr>
            <w:r>
              <w:rPr>
                <w:sz w:val="20"/>
                <w:szCs w:val="20"/>
              </w:rPr>
              <w:t xml:space="preserve">65.71</w:t>
            </w:r>
          </w:p>
        </w:tc>
        <w:tc>
          <w:tcPr>
            <w:tcW w:type="dxa" w:w="1150"/>
            <w:tcBorders>
              <w:top w:val="single" w:color="888888" w:sz="4"/>
              <w:left w:val="single" w:color="888888" w:sz="4"/>
              <w:bottom w:val="single" w:color="888888" w:sz="4"/>
              <w:right w:val="single" w:color="888888" w:sz="4"/>
            </w:tcBorders>
            <w:shd w:fill="FBE5D6" w:val="clear"/>
            <w:tcMar>
              <w:top w:type="dxa" w:w="80"/>
              <w:left w:type="dxa" w:w="100"/>
              <w:bottom w:type="dxa" w:w="80"/>
              <w:right w:type="dxa" w:w="100"/>
            </w:tcMar>
          </w:tcPr>
          <w:p>
            <w:pPr>
              <w:jc w:val="center"/>
            </w:pPr>
            <w:r>
              <w:rPr>
                <w:sz w:val="20"/>
                <w:szCs w:val="20"/>
              </w:rPr>
              <w:t xml:space="preserve">63.89</w:t>
            </w:r>
          </w:p>
        </w:tc>
        <w:tc>
          <w:tcPr>
            <w:tcW w:type="dxa" w:w="1150"/>
            <w:tcBorders>
              <w:top w:val="single" w:color="888888" w:sz="4"/>
              <w:left w:val="single" w:color="888888" w:sz="4"/>
              <w:bottom w:val="single" w:color="888888" w:sz="4"/>
              <w:right w:val="single" w:color="888888" w:sz="4"/>
            </w:tcBorders>
            <w:shd w:fill="FBE5D6" w:val="clear"/>
            <w:tcMar>
              <w:top w:type="dxa" w:w="80"/>
              <w:left w:type="dxa" w:w="100"/>
              <w:bottom w:type="dxa" w:w="80"/>
              <w:right w:type="dxa" w:w="100"/>
            </w:tcMar>
          </w:tcPr>
          <w:p>
            <w:pPr>
              <w:jc w:val="center"/>
            </w:pPr>
            <w:r>
              <w:rPr>
                <w:sz w:val="20"/>
                <w:szCs w:val="20"/>
              </w:rPr>
              <w:t xml:space="preserve">58.95</w:t>
            </w:r>
          </w:p>
        </w:tc>
        <w:tc>
          <w:tcPr>
            <w:tcW w:type="dxa" w:w="1150"/>
            <w:tcBorders>
              <w:top w:val="single" w:color="888888" w:sz="4"/>
              <w:left w:val="single" w:color="888888" w:sz="4"/>
              <w:bottom w:val="single" w:color="888888" w:sz="4"/>
              <w:right w:val="single" w:color="888888" w:sz="4"/>
            </w:tcBorders>
            <w:shd w:fill="FBE5D6" w:val="clear"/>
            <w:tcMar>
              <w:top w:type="dxa" w:w="80"/>
              <w:left w:type="dxa" w:w="100"/>
              <w:bottom w:type="dxa" w:w="80"/>
              <w:right w:type="dxa" w:w="100"/>
            </w:tcMar>
          </w:tcPr>
          <w:p>
            <w:pPr>
              <w:jc w:val="center"/>
            </w:pPr>
            <w:r>
              <w:rPr>
                <w:sz w:val="20"/>
                <w:szCs w:val="20"/>
              </w:rPr>
              <w:t xml:space="preserve">56.90</w:t>
            </w:r>
          </w:p>
        </w:tc>
      </w:tr>
    </w:tbl>
    <w:p>
      <w:pPr>
        <w:spacing w:after="60" w:before="120"/>
        <w:jc w:val="center"/>
      </w:pPr>
      <w:r>
        <w:drawing>
          <wp:inline distT="0" distB="0" distL="0" distR="0">
            <wp:extent cx="4572000" cy="2762250"/>
            <wp:effectExtent t="0" r="0" b="0" l="0"/>
            <wp:docPr id="1" name="Fig_F_PDR.png" descr="Fig_F_PDR.png" title="Fig_F_PD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2762250"/>
                    </a:xfrm>
                    <a:prstGeom prst="rect">
                      <a:avLst/>
                    </a:prstGeom>
                  </pic:spPr>
                </pic:pic>
              </a:graphicData>
            </a:graphic>
          </wp:inline>
        </w:drawing>
      </w:r>
    </w:p>
    <w:p>
      <w:pPr>
        <w:spacing w:after="160" w:before="60"/>
        <w:jc w:val="center"/>
      </w:pPr>
      <w:r>
        <w:rPr>
          <w:i/>
          <w:iCs/>
          <w:sz w:val="20"/>
          <w:szCs w:val="20"/>
        </w:rPr>
        <w:t xml:space="preserve">Hình 9. PDR theo số luồng — Family F (QMAODV-3 dưới mọi baseline)</w:t>
      </w:r>
    </w:p>
    <w:p>
      <w:pPr>
        <w:spacing w:after="120"/>
        <w:jc w:val="both"/>
      </w:pPr>
      <w:r>
        <w:rPr>
          <w:sz w:val="22"/>
          <w:szCs w:val="22"/>
        </w:rPr>
        <w:t xml:space="preserve">Family F bộc lộ giới hạn quan trọng của QMAODV trong kịch bản đa luồng đồng thời:</w:t>
      </w:r>
    </w:p>
    <w:p>
      <w:pPr>
        <w:pStyle w:val="ListParagraph"/>
        <w:numPr>
          <w:ilvl w:val="0"/>
          <w:numId w:val="2"/>
        </w:numPr>
        <w:spacing w:after="60"/>
      </w:pPr>
      <w:r>
        <w:rPr>
          <w:sz w:val="22"/>
          <w:szCs w:val="22"/>
        </w:rPr>
        <w:t xml:space="preserve">Tại 1 flow, AOMDV-3 dẫn đầu (77,02 %), AODV thứ hai (75,33 %); QMAODV-3 chỉ 69,02 % — kém AOMDV-3 8,00 pp.</w:t>
      </w:r>
    </w:p>
    <w:p>
      <w:pPr>
        <w:pStyle w:val="ListParagraph"/>
        <w:numPr>
          <w:ilvl w:val="0"/>
          <w:numId w:val="2"/>
        </w:numPr>
        <w:spacing w:after="60"/>
      </w:pPr>
      <w:r>
        <w:rPr>
          <w:sz w:val="22"/>
          <w:szCs w:val="22"/>
        </w:rPr>
        <w:t xml:space="preserve">Tại 2-3 flow, QMAODV-3 cải thiện so với phiên bản Strategy A nhưng vẫn dưới các baseline 4-10 pp.</w:t>
      </w:r>
    </w:p>
    <w:p>
      <w:pPr>
        <w:pStyle w:val="ListParagraph"/>
        <w:numPr>
          <w:ilvl w:val="0"/>
          <w:numId w:val="2"/>
        </w:numPr>
        <w:spacing w:after="60"/>
      </w:pPr>
      <w:r>
        <w:rPr>
          <w:sz w:val="22"/>
          <w:szCs w:val="22"/>
        </w:rPr>
        <w:t xml:space="preserve">Tại 5-7 flow, QMAODV-3 tiếp tục dưới các baseline; khoảng cách không thu hẹp khi số flow tăng.</w:t>
      </w:r>
    </w:p>
    <w:p>
      <w:pPr>
        <w:spacing w:after="120"/>
        <w:jc w:val="both"/>
      </w:pPr>
      <w:r>
        <w:rPr>
          <w:sz w:val="22"/>
          <w:szCs w:val="22"/>
        </w:rPr>
        <w:t xml:space="preserve">Nguyên nhân: trong scenario đa luồng đồng thời, mỗi node phải xử lý nhiều destination cùng lúc, dẫn đến bảng Q lớn và phân tán (sparse). Mỗi destination chỉ nhận một phần feedback ACK, khiến Q-value hội tụ chậm và nhiễu. Ngược lại, AODV/AOMDV cổ điển chọn next-hop dựa trên hop count nên không bị ảnh hưởng bởi sự phân mảnh feedback. Đây là một hạn chế intrinsic của Q-learning tabular trong môi trường đa-destination.</w:t>
      </w:r>
    </w:p>
    <w:p>
      <w:pPr>
        <w:spacing w:after="160" w:before="60"/>
        <w:jc w:val="center"/>
      </w:pPr>
      <w:r>
        <w:rPr>
          <w:i/>
          <w:iCs/>
          <w:sz w:val="20"/>
          <w:szCs w:val="20"/>
        </w:rPr>
        <w:t xml:space="preserve">Bảng 12. Delay (ms) theo số luồng (Family F)</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600"/>
        <w:gridCol w:w="1150"/>
        <w:gridCol w:w="1150"/>
        <w:gridCol w:w="1150"/>
        <w:gridCol w:w="1150"/>
        <w:gridCol w:w="1150"/>
      </w:tblGrid>
      <w:tr>
        <w:tc>
          <w:tcPr>
            <w:tcW w:type="dxa" w:w="1600"/>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jc w:val="center"/>
            </w:pPr>
            <w:r>
              <w:rPr>
                <w:b/>
                <w:bCs/>
                <w:sz w:val="20"/>
                <w:szCs w:val="20"/>
              </w:rPr>
              <w:t xml:space="preserve">Giao thức</w:t>
            </w:r>
          </w:p>
        </w:tc>
        <w:tc>
          <w:tcPr>
            <w:tcW w:type="dxa" w:w="1150"/>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jc w:val="center"/>
            </w:pPr>
            <w:r>
              <w:rPr>
                <w:b/>
                <w:bCs/>
                <w:sz w:val="20"/>
                <w:szCs w:val="20"/>
              </w:rPr>
              <w:t xml:space="preserve">flows=1</w:t>
            </w:r>
          </w:p>
        </w:tc>
        <w:tc>
          <w:tcPr>
            <w:tcW w:type="dxa" w:w="1150"/>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jc w:val="center"/>
            </w:pPr>
            <w:r>
              <w:rPr>
                <w:b/>
                <w:bCs/>
                <w:sz w:val="20"/>
                <w:szCs w:val="20"/>
              </w:rPr>
              <w:t xml:space="preserve">flows=2</w:t>
            </w:r>
          </w:p>
        </w:tc>
        <w:tc>
          <w:tcPr>
            <w:tcW w:type="dxa" w:w="1150"/>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jc w:val="center"/>
            </w:pPr>
            <w:r>
              <w:rPr>
                <w:b/>
                <w:bCs/>
                <w:sz w:val="20"/>
                <w:szCs w:val="20"/>
              </w:rPr>
              <w:t xml:space="preserve">flows=3</w:t>
            </w:r>
          </w:p>
        </w:tc>
        <w:tc>
          <w:tcPr>
            <w:tcW w:type="dxa" w:w="1150"/>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jc w:val="center"/>
            </w:pPr>
            <w:r>
              <w:rPr>
                <w:b/>
                <w:bCs/>
                <w:sz w:val="20"/>
                <w:szCs w:val="20"/>
              </w:rPr>
              <w:t xml:space="preserve">flows=5</w:t>
            </w:r>
          </w:p>
        </w:tc>
        <w:tc>
          <w:tcPr>
            <w:tcW w:type="dxa" w:w="1150"/>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jc w:val="center"/>
            </w:pPr>
            <w:r>
              <w:rPr>
                <w:b/>
                <w:bCs/>
                <w:sz w:val="20"/>
                <w:szCs w:val="20"/>
              </w:rPr>
              <w:t xml:space="preserve">flows=7</w:t>
            </w:r>
          </w:p>
        </w:tc>
      </w:tr>
      <w:tr>
        <w:tc>
          <w:tcPr>
            <w:tcW w:type="dxa" w:w="1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b w:val="false"/>
                <w:bCs w:val="false"/>
                <w:sz w:val="20"/>
                <w:szCs w:val="20"/>
              </w:rPr>
              <w:t xml:space="preserve">AODV</w:t>
            </w:r>
          </w:p>
        </w:tc>
        <w:tc>
          <w:tcPr>
            <w:tcW w:type="dxa" w:w="115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48.9</w:t>
            </w:r>
          </w:p>
        </w:tc>
        <w:tc>
          <w:tcPr>
            <w:tcW w:type="dxa" w:w="115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66.8</w:t>
            </w:r>
          </w:p>
        </w:tc>
        <w:tc>
          <w:tcPr>
            <w:tcW w:type="dxa" w:w="115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bCs/>
                <w:sz w:val="20"/>
                <w:szCs w:val="20"/>
              </w:rPr>
              <w:t xml:space="preserve">73.9</w:t>
            </w:r>
          </w:p>
        </w:tc>
        <w:tc>
          <w:tcPr>
            <w:tcW w:type="dxa" w:w="115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96.5</w:t>
            </w:r>
          </w:p>
        </w:tc>
        <w:tc>
          <w:tcPr>
            <w:tcW w:type="dxa" w:w="115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96.9</w:t>
            </w:r>
          </w:p>
        </w:tc>
      </w:tr>
      <w:tr>
        <w:tc>
          <w:tcPr>
            <w:tcW w:type="dxa" w:w="1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b w:val="false"/>
                <w:bCs w:val="false"/>
                <w:sz w:val="20"/>
                <w:szCs w:val="20"/>
              </w:rPr>
              <w:t xml:space="preserve">AOMDV-3</w:t>
            </w:r>
          </w:p>
        </w:tc>
        <w:tc>
          <w:tcPr>
            <w:tcW w:type="dxa" w:w="115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53.6</w:t>
            </w:r>
          </w:p>
        </w:tc>
        <w:tc>
          <w:tcPr>
            <w:tcW w:type="dxa" w:w="115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67.5</w:t>
            </w:r>
          </w:p>
        </w:tc>
        <w:tc>
          <w:tcPr>
            <w:tcW w:type="dxa" w:w="115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63.2</w:t>
            </w:r>
          </w:p>
        </w:tc>
        <w:tc>
          <w:tcPr>
            <w:tcW w:type="dxa" w:w="115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99.0</w:t>
            </w:r>
          </w:p>
        </w:tc>
        <w:tc>
          <w:tcPr>
            <w:tcW w:type="dxa" w:w="115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97.3</w:t>
            </w:r>
          </w:p>
        </w:tc>
      </w:tr>
      <w:tr>
        <w:tc>
          <w:tcPr>
            <w:tcW w:type="dxa" w:w="1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b w:val="false"/>
                <w:bCs w:val="false"/>
                <w:sz w:val="20"/>
                <w:szCs w:val="20"/>
              </w:rPr>
              <w:t xml:space="preserve">PMAODV-3</w:t>
            </w:r>
          </w:p>
        </w:tc>
        <w:tc>
          <w:tcPr>
            <w:tcW w:type="dxa" w:w="115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bCs/>
                <w:sz w:val="20"/>
                <w:szCs w:val="20"/>
              </w:rPr>
              <w:t xml:space="preserve">68.9</w:t>
            </w:r>
          </w:p>
        </w:tc>
        <w:tc>
          <w:tcPr>
            <w:tcW w:type="dxa" w:w="115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bCs/>
                <w:sz w:val="20"/>
                <w:szCs w:val="20"/>
              </w:rPr>
              <w:t xml:space="preserve">82.3</w:t>
            </w:r>
          </w:p>
        </w:tc>
        <w:tc>
          <w:tcPr>
            <w:tcW w:type="dxa" w:w="115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60.9</w:t>
            </w:r>
          </w:p>
        </w:tc>
        <w:tc>
          <w:tcPr>
            <w:tcW w:type="dxa" w:w="115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94.7</w:t>
            </w:r>
          </w:p>
        </w:tc>
        <w:tc>
          <w:tcPr>
            <w:tcW w:type="dxa" w:w="115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116.3</w:t>
            </w:r>
          </w:p>
        </w:tc>
      </w:tr>
      <w:tr>
        <w:tc>
          <w:tcPr>
            <w:tcW w:type="dxa" w:w="1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b/>
                <w:bCs/>
                <w:sz w:val="20"/>
                <w:szCs w:val="20"/>
              </w:rPr>
              <w:t xml:space="preserve">QMAODV-3</w:t>
            </w:r>
          </w:p>
        </w:tc>
        <w:tc>
          <w:tcPr>
            <w:tcW w:type="dxa" w:w="115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61.8</w:t>
            </w:r>
          </w:p>
        </w:tc>
        <w:tc>
          <w:tcPr>
            <w:tcW w:type="dxa" w:w="115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55.6</w:t>
            </w:r>
          </w:p>
        </w:tc>
        <w:tc>
          <w:tcPr>
            <w:tcW w:type="dxa" w:w="115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20"/>
                <w:szCs w:val="20"/>
              </w:rPr>
              <w:t xml:space="preserve">68.3</w:t>
            </w:r>
          </w:p>
        </w:tc>
        <w:tc>
          <w:tcPr>
            <w:tcW w:type="dxa" w:w="115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bCs/>
                <w:sz w:val="20"/>
                <w:szCs w:val="20"/>
              </w:rPr>
              <w:t xml:space="preserve">107.3</w:t>
            </w:r>
          </w:p>
        </w:tc>
        <w:tc>
          <w:tcPr>
            <w:tcW w:type="dxa" w:w="115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bCs/>
                <w:sz w:val="20"/>
                <w:szCs w:val="20"/>
              </w:rPr>
              <w:t xml:space="preserve">131.8</w:t>
            </w:r>
          </w:p>
        </w:tc>
      </w:tr>
    </w:tbl>
    <w:p>
      <w:pPr>
        <w:spacing w:after="60" w:before="120"/>
        <w:jc w:val="center"/>
      </w:pPr>
      <w:r>
        <w:drawing>
          <wp:inline distT="0" distB="0" distL="0" distR="0">
            <wp:extent cx="4572000" cy="2762250"/>
            <wp:effectExtent t="0" r="0" b="0" l="0"/>
            <wp:docPr id="1" name="Fig_F_Delay.png" descr="Fig_F_Delay.png" title="Fig_F_Dela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2762250"/>
                    </a:xfrm>
                    <a:prstGeom prst="rect">
                      <a:avLst/>
                    </a:prstGeom>
                  </pic:spPr>
                </pic:pic>
              </a:graphicData>
            </a:graphic>
          </wp:inline>
        </w:drawing>
      </w:r>
    </w:p>
    <w:p>
      <w:pPr>
        <w:spacing w:after="160" w:before="60"/>
        <w:jc w:val="center"/>
      </w:pPr>
      <w:r>
        <w:rPr>
          <w:i/>
          <w:iCs/>
          <w:sz w:val="20"/>
          <w:szCs w:val="20"/>
        </w:rPr>
        <w:t xml:space="preserve">Hình 10. Delay theo số luồng — Family F</w:t>
      </w:r>
    </w:p>
    <w:p>
      <w:pPr>
        <w:pStyle w:val="Heading1"/>
      </w:pPr>
      <w:r>
        <w:t xml:space="preserve">6. Thảo luận</w:t>
      </w:r>
    </w:p>
    <w:p>
      <w:pPr>
        <w:pStyle w:val="Heading2"/>
      </w:pPr>
      <w:r>
        <w:t xml:space="preserve">6.1 Vùng vận hành tối ưu của QMAODV</w:t>
      </w:r>
    </w:p>
    <w:p>
      <w:pPr>
        <w:spacing w:after="120"/>
        <w:jc w:val="both"/>
      </w:pPr>
      <w:r>
        <w:rPr>
          <w:sz w:val="22"/>
          <w:szCs w:val="22"/>
        </w:rPr>
        <w:t xml:space="preserve">Tổng hợp kết quả qua sáu họ kịch bản, vùng vận hành tối ưu của QMAODV với Strategy B (α=0,7, γ=0,6, ε=0,3, decay=0,1) được xác định như sau:</w:t>
      </w:r>
    </w:p>
    <w:p>
      <w:pPr>
        <w:pStyle w:val="ListParagraph"/>
        <w:numPr>
          <w:ilvl w:val="0"/>
          <w:numId w:val="2"/>
        </w:numPr>
        <w:spacing w:after="60"/>
      </w:pPr>
      <w:r>
        <w:rPr>
          <w:sz w:val="22"/>
          <w:szCs w:val="22"/>
        </w:rPr>
        <w:t xml:space="preserve">Mật độ trung bình (N = 10-20 UAV trong vùng 1 km²): PDR vượt baseline 6-10 pp, với cực đại 48,01 % tại N = 12.</w:t>
      </w:r>
    </w:p>
    <w:p>
      <w:pPr>
        <w:pStyle w:val="ListParagraph"/>
        <w:numPr>
          <w:ilvl w:val="0"/>
          <w:numId w:val="2"/>
        </w:numPr>
        <w:spacing w:after="60"/>
      </w:pPr>
      <w:r>
        <w:rPr>
          <w:sz w:val="22"/>
          <w:szCs w:val="22"/>
        </w:rPr>
        <w:t xml:space="preserve">Tải vừa và nhẹ (1-4 pps, tương ứng 4-16 kbps/nguồn): PDR vượt baseline 5-13 pp, với cực đại 50,92 % tại 1 pps — vượt mốc 50 % lần đầu.</w:t>
      </w:r>
    </w:p>
    <w:p>
      <w:pPr>
        <w:pStyle w:val="ListParagraph"/>
        <w:numPr>
          <w:ilvl w:val="0"/>
          <w:numId w:val="2"/>
        </w:numPr>
        <w:spacing w:after="60"/>
      </w:pPr>
      <w:r>
        <w:rPr>
          <w:sz w:val="22"/>
          <w:szCs w:val="22"/>
        </w:rPr>
        <w:t xml:space="preserve">Mobility 5-70 m/s: QMAODV thích ứng tốt với dải vận tốc rộng, dẫn đầu ở hầu hết điểm.</w:t>
      </w:r>
    </w:p>
    <w:p>
      <w:pPr>
        <w:pStyle w:val="ListParagraph"/>
        <w:numPr>
          <w:ilvl w:val="0"/>
          <w:numId w:val="2"/>
        </w:numPr>
        <w:spacing w:after="60"/>
      </w:pPr>
      <w:r>
        <w:rPr>
          <w:sz w:val="22"/>
          <w:szCs w:val="22"/>
        </w:rPr>
        <w:t xml:space="preserve">Mọi kích thước gói tin 64-1500 B: QMAODV consistent dẫn đầu, với peak 44,68 % tại 64 B.</w:t>
      </w:r>
    </w:p>
    <w:p>
      <w:pPr>
        <w:pStyle w:val="ListParagraph"/>
        <w:numPr>
          <w:ilvl w:val="0"/>
          <w:numId w:val="2"/>
        </w:numPr>
        <w:spacing w:after="60"/>
      </w:pPr>
      <w:r>
        <w:rPr>
          <w:sz w:val="22"/>
          <w:szCs w:val="22"/>
        </w:rPr>
        <w:t xml:space="preserve">Single-flow scenario: QMAODV tận dụng tốt cấu trúc đa đường + Q-learning.</w:t>
      </w:r>
    </w:p>
    <w:p>
      <w:pPr>
        <w:spacing w:after="120"/>
        <w:jc w:val="both"/>
      </w:pPr>
      <w:r>
        <w:rPr>
          <w:sz w:val="22"/>
          <w:szCs w:val="22"/>
        </w:rPr>
        <w:t xml:space="preserve">Trong vùng vận hành này, các cơ chế Q-learning và multipath bổ trợ nhau hiệu quả.</w:t>
      </w:r>
    </w:p>
    <w:p>
      <w:pPr>
        <w:pStyle w:val="Heading2"/>
      </w:pPr>
      <w:r>
        <w:t xml:space="preserve">6.2 Tầm quan trọng của tuning siêu tham số</w:t>
      </w:r>
    </w:p>
    <w:p>
      <w:pPr>
        <w:spacing w:after="120"/>
        <w:jc w:val="both"/>
      </w:pPr>
      <w:r>
        <w:rPr>
          <w:sz w:val="22"/>
          <w:szCs w:val="22"/>
        </w:rPr>
        <w:t xml:space="preserve">Family H là đóng góp methodology quan trọng của bài báo. Khoảng cách 7 điểm phần trăm giữa Strategy A (cấu hình mặc định trước đây) và Strategy B (tối ưu sau Family H) tại N=15 cho thấy: việc công bố hyperparam mặc định mà không qua sweep sensitivity có thể dẫn đến đánh giá thấp hiệu năng thực sự của giao thức. Khuyến nghị: các nghiên cứu Q-learning routing tương lai nên đính kèm Family H hoặc tương đương.</w:t>
      </w:r>
    </w:p>
    <w:p>
      <w:pPr>
        <w:spacing w:after="120"/>
        <w:jc w:val="both"/>
      </w:pPr>
      <w:r>
        <w:rPr>
          <w:sz w:val="22"/>
          <w:szCs w:val="22"/>
        </w:rPr>
        <w:t xml:space="preserve">Một quan sát phụ là quy trình marginal analysis đề xuất cấu hình tối ưu trùng với top-1/180 grid — chứng tỏ trong không gian siêu tham số khá smooth của QMAODV, marginal có thể là proxy đủ tốt thay vì phải sweep full grid trong các thí nghiệm tương lai.</w:t>
      </w:r>
    </w:p>
    <w:p>
      <w:pPr>
        <w:pStyle w:val="Heading2"/>
      </w:pPr>
      <w:r>
        <w:t xml:space="preserve">6.3 Giới hạn của QMAODV trong kịch bản đa luồng</w:t>
      </w:r>
    </w:p>
    <w:p>
      <w:pPr>
        <w:spacing w:after="120"/>
        <w:jc w:val="both"/>
      </w:pPr>
      <w:r>
        <w:rPr>
          <w:sz w:val="22"/>
          <w:szCs w:val="22"/>
        </w:rPr>
        <w:t xml:space="preserve">Phát hiện quan trọng từ Family F là QMAODV thua các baseline trong scenario đa luồng đồng thời. Phân tích nguyên nhân:</w:t>
      </w:r>
    </w:p>
    <w:p>
      <w:pPr>
        <w:pStyle w:val="ListParagraph"/>
        <w:numPr>
          <w:ilvl w:val="0"/>
          <w:numId w:val="2"/>
        </w:numPr>
        <w:spacing w:after="60"/>
      </w:pPr>
      <w:r>
        <w:rPr>
          <w:sz w:val="22"/>
          <w:szCs w:val="22"/>
        </w:rPr>
        <w:t xml:space="preserve">Bảng Q phân mảnh: với 7 destination khác nhau, mỗi destination chỉ nhận khoảng 1/7 lượng feedback ACK. Q-table dành riêng cho từng destination hội tụ rất chậm.</w:t>
      </w:r>
    </w:p>
    <w:p>
      <w:pPr>
        <w:pStyle w:val="ListParagraph"/>
        <w:numPr>
          <w:ilvl w:val="0"/>
          <w:numId w:val="2"/>
        </w:numPr>
        <w:spacing w:after="60"/>
      </w:pPr>
      <w:r>
        <w:rPr>
          <w:sz w:val="22"/>
          <w:szCs w:val="22"/>
        </w:rPr>
        <w:t xml:space="preserve">Chi phí cập nhật cộng dồn: mỗi gói tin trigger một Q-update; với nhiều flows đồng thời, tần suất update cao gấp nhiều lần khiến CPU bị overhead.</w:t>
      </w:r>
    </w:p>
    <w:p>
      <w:pPr>
        <w:pStyle w:val="ListParagraph"/>
        <w:numPr>
          <w:ilvl w:val="0"/>
          <w:numId w:val="2"/>
        </w:numPr>
        <w:spacing w:after="60"/>
      </w:pPr>
      <w:r>
        <w:rPr>
          <w:sz w:val="22"/>
          <w:szCs w:val="22"/>
        </w:rPr>
        <w:t xml:space="preserve">Exploration noise: ε-greedy với ε = 0,3 (Strategy B) tạo 30 % quyết định ngẫu nhiên — randomness này khuếch đại trong môi trường nhiều destination.</w:t>
      </w:r>
    </w:p>
    <w:p>
      <w:pPr>
        <w:spacing w:after="120"/>
        <w:jc w:val="both"/>
      </w:pPr>
      <w:r>
        <w:rPr>
          <w:sz w:val="22"/>
          <w:szCs w:val="22"/>
        </w:rPr>
        <w:t xml:space="preserve">Đây là một giới hạn intrinsic của tabular Q-learning, đã được ghi nhận trong literature [20]. Hướng giải quyết bao gồm sử dụng function approximation (deep Q-learning) hoặc shared Q-table giữa các flows.</w:t>
      </w:r>
    </w:p>
    <w:p>
      <w:pPr>
        <w:pStyle w:val="Heading2"/>
      </w:pPr>
      <w:r>
        <w:t xml:space="preserve">6.4 So sánh QMAODV với các baseline truyền thống</w:t>
      </w:r>
    </w:p>
    <w:p>
      <w:pPr>
        <w:spacing w:after="120"/>
        <w:jc w:val="both"/>
      </w:pPr>
      <w:r>
        <w:rPr>
          <w:sz w:val="22"/>
          <w:szCs w:val="22"/>
        </w:rPr>
        <w:t xml:space="preserve">So với AODV cổ điển, QMAODV với Strategy B cải thiện PDR trung bình 6-10 pp ở vùng vận hành tối ưu nhờ duy trì đa tuyến và chọn route theo Q-value học được. Trade-off là chi phí: delay end-to-end cao hơn AODV khoảng 40-100 ms; routing overhead cao hơn 20-50 %.</w:t>
      </w:r>
    </w:p>
    <w:p>
      <w:pPr>
        <w:spacing w:after="120"/>
        <w:jc w:val="both"/>
      </w:pPr>
      <w:r>
        <w:rPr>
          <w:sz w:val="22"/>
          <w:szCs w:val="22"/>
        </w:rPr>
        <w:t xml:space="preserve">So với AOMDV-3, QMAODV có cùng số đường K = 3 nhưng chọn route thông minh hơn nhờ Q-value thay vì heuristic số hop. Khoảng cách PDR trung bình 4-9 pp trong vùng tối ưu, nhưng đảo ngược trong Family F.</w:t>
      </w:r>
    </w:p>
    <w:p>
      <w:pPr>
        <w:spacing w:after="120"/>
        <w:jc w:val="both"/>
      </w:pPr>
      <w:r>
        <w:rPr>
          <w:sz w:val="22"/>
          <w:szCs w:val="22"/>
        </w:rPr>
        <w:t xml:space="preserve">So với PMAODV-3, QMAODV vượt trội mạnh trong Family L (đặc biệt tải vừa) và Family S (mobility cao). PMAODV sử dụng xác suất tĩnh dựa trên số hop, không phản ánh điều kiện mạng theo thời gian thực.</w:t>
      </w:r>
    </w:p>
    <w:p>
      <w:pPr>
        <w:pStyle w:val="Heading2"/>
      </w:pPr>
      <w:r>
        <w:t xml:space="preserve">6.5 Hướng dẫn triển khai thực tế</w:t>
      </w:r>
    </w:p>
    <w:p>
      <w:pPr>
        <w:pStyle w:val="ListParagraph"/>
        <w:numPr>
          <w:ilvl w:val="0"/>
          <w:numId w:val="2"/>
        </w:numPr>
        <w:spacing w:after="60"/>
      </w:pPr>
      <w:r>
        <w:rPr>
          <w:sz w:val="22"/>
          <w:szCs w:val="22"/>
        </w:rPr>
        <w:t xml:space="preserve">Triển khai QMAODV cho các ứng dụng single-flow hoặc dual-flow (thu thập dữ liệu UAV swarm về một ground station, command-and-control 1-to-N) với mật độ trung bình (10-25 UAV) và tải vừa (&lt; 10 pps). Sử dụng Strategy B (α=0,7, γ=0,6, ε=0,3, decay=0,1).</w:t>
      </w:r>
    </w:p>
    <w:p>
      <w:pPr>
        <w:pStyle w:val="ListParagraph"/>
        <w:numPr>
          <w:ilvl w:val="0"/>
          <w:numId w:val="2"/>
        </w:numPr>
        <w:spacing w:after="60"/>
      </w:pPr>
      <w:r>
        <w:rPr>
          <w:sz w:val="22"/>
          <w:szCs w:val="22"/>
        </w:rPr>
        <w:t xml:space="preserve">Ưu tiên AODV hoặc AOMDV cho các ứng dụng multi-sink hoặc mesh-style (nhiều cặp UAV-UAV trao đổi đồng thời) bất kể mật độ.</w:t>
      </w:r>
    </w:p>
    <w:p>
      <w:pPr>
        <w:pStyle w:val="ListParagraph"/>
        <w:numPr>
          <w:ilvl w:val="0"/>
          <w:numId w:val="2"/>
        </w:numPr>
        <w:spacing w:after="60"/>
      </w:pPr>
      <w:r>
        <w:rPr>
          <w:sz w:val="22"/>
          <w:szCs w:val="22"/>
        </w:rPr>
        <w:t xml:space="preserve">Khi tải mạng cực cao (≥ 20 pps) hoặc mật độ cực dày (≥ 30 nodes), lợi thế Q-learning không còn rõ — chọn AODV để giảm overhead.</w:t>
      </w:r>
    </w:p>
    <w:p>
      <w:pPr>
        <w:pStyle w:val="Heading1"/>
      </w:pPr>
      <w:r>
        <w:t xml:space="preserve">7. Kết luận</w:t>
      </w:r>
    </w:p>
    <w:p>
      <w:pPr>
        <w:spacing w:after="120"/>
        <w:jc w:val="both"/>
      </w:pPr>
      <w:r>
        <w:rPr>
          <w:sz w:val="22"/>
          <w:szCs w:val="22"/>
        </w:rPr>
        <w:t xml:space="preserve">Bài báo này tiến hành đánh giá toàn diện đa kịch bản giao thức QMAODV trong môi trường FANET, mở rộng đáng kể so với đánh giá hạn chế trong bài báo gốc [17]. Sáu họ kịch bản (Family H tuning + năm họ vận hành N, L, S, P, F) được thiết kế và thực hiện trên ns-3.40 với bốn giao thức so sánh: AODV, AOMDV-3, PMAODV-3, QMAODV-3, tổng 2400 lượt mô phỏng.</w:t>
      </w:r>
    </w:p>
    <w:p>
      <w:pPr>
        <w:spacing w:after="120"/>
        <w:jc w:val="both"/>
      </w:pPr>
      <w:r>
        <w:rPr>
          <w:sz w:val="22"/>
          <w:szCs w:val="22"/>
        </w:rPr>
        <w:t xml:space="preserve">Đóng góp methodology quan trọng nhất là việc tiến hành Family H — sweep 180 cấu hình siêu tham số học để xác định Strategy B (α=0,7, γ=0,6, ε=0,3, decay=0,1) — vượt cấu hình mặc định trước đó (Strategy A) 7 điểm phần trăm tại N=15. Áp dụng Strategy B vào năm họ vận hành, QMAODV đạt các kết quả nổi bật:</w:t>
      </w:r>
    </w:p>
    <w:p>
      <w:pPr>
        <w:pStyle w:val="ListParagraph"/>
        <w:numPr>
          <w:ilvl w:val="0"/>
          <w:numId w:val="2"/>
        </w:numPr>
        <w:spacing w:after="60"/>
      </w:pPr>
      <w:r>
        <w:rPr>
          <w:sz w:val="22"/>
          <w:szCs w:val="22"/>
        </w:rPr>
        <w:t xml:space="preserve">PDR đỉnh 50,92 % trong Family L tại tải nhẹ — lần đầu vượt mốc 50 % với 4 protocol so sánh.</w:t>
      </w:r>
    </w:p>
    <w:p>
      <w:pPr>
        <w:pStyle w:val="ListParagraph"/>
        <w:numPr>
          <w:ilvl w:val="0"/>
          <w:numId w:val="2"/>
        </w:numPr>
        <w:spacing w:after="60"/>
      </w:pPr>
      <w:r>
        <w:rPr>
          <w:sz w:val="22"/>
          <w:szCs w:val="22"/>
        </w:rPr>
        <w:t xml:space="preserve">PDR đỉnh 48,01 % trong Family N tại N = 12.</w:t>
      </w:r>
    </w:p>
    <w:p>
      <w:pPr>
        <w:pStyle w:val="ListParagraph"/>
        <w:numPr>
          <w:ilvl w:val="0"/>
          <w:numId w:val="2"/>
        </w:numPr>
        <w:spacing w:after="60"/>
      </w:pPr>
      <w:r>
        <w:rPr>
          <w:sz w:val="22"/>
          <w:szCs w:val="22"/>
        </w:rPr>
        <w:t xml:space="preserve">QMAODV dẫn đầu các baseline 4-10 điểm phần trăm trong bốn họ N, L, S, P.</w:t>
      </w:r>
    </w:p>
    <w:p>
      <w:pPr>
        <w:spacing w:after="120"/>
        <w:jc w:val="both"/>
      </w:pPr>
      <w:r>
        <w:rPr>
          <w:sz w:val="22"/>
          <w:szCs w:val="22"/>
        </w:rPr>
        <w:t xml:space="preserve">Tuy nhiên, nghiên cứu cũng bộc lộ giới hạn intrinsic: QMAODV kém các baseline 4-13 điểm phần trăm trong Family F (đa luồng đồng thời) do Q-table phân mảnh. Hướng nghiên cứu tiếp theo bao gồm: (i) chuyển từ tabular Q-learning sang deep Q-learning để giải quyết multi-destination scaling; (ii) cơ chế thích nghi tự động cho các tham số học theo điều kiện mạng thực; (iii) đánh giá QMAODV trong các kịch bản có pin không đồng nhất.</w:t>
      </w:r>
    </w:p>
    <w:p>
      <w:pPr>
        <w:pStyle w:val="Heading1"/>
      </w:pPr>
      <w:r>
        <w:t xml:space="preserve">Tài liệu tham khảo</w:t>
      </w:r>
    </w:p>
    <w:p>
      <w:pPr>
        <w:spacing w:after="120"/>
        <w:jc w:val="both"/>
      </w:pPr>
      <w:r>
        <w:rPr>
          <w:sz w:val="22"/>
          <w:szCs w:val="22"/>
        </w:rPr>
        <w:t xml:space="preserve">[1] Perkins, C. E., Royer, E. M., Das, S., "Ad hoc On-Demand Distance Vector (AODV) Routing," RFC 3561, IETF (2003)</w:t>
      </w:r>
    </w:p>
    <w:p>
      <w:pPr>
        <w:spacing w:after="120"/>
        <w:jc w:val="both"/>
      </w:pPr>
      <w:r>
        <w:rPr>
          <w:sz w:val="22"/>
          <w:szCs w:val="22"/>
        </w:rPr>
        <w:t xml:space="preserve">[2] Johnson, D. B., Maltz, D. A., Hu, Y.-C., "The Dynamic Source Routing Protocol (DSR) for Mobile Ad Hoc Networks for IPv4," RFC 4728 (2007)</w:t>
      </w:r>
    </w:p>
    <w:p>
      <w:pPr>
        <w:spacing w:after="120"/>
        <w:jc w:val="both"/>
      </w:pPr>
      <w:r>
        <w:rPr>
          <w:sz w:val="22"/>
          <w:szCs w:val="22"/>
        </w:rPr>
        <w:t xml:space="preserve">[3] Perkins, C. E., Bhagwat, P., "Highly Dynamic Destination-Sequenced Distance-Vector Routing (DSDV) for Mobile Computers," Proc. ACM SIGCOMM, pp. 234-244 (1994)</w:t>
      </w:r>
    </w:p>
    <w:p>
      <w:pPr>
        <w:spacing w:after="120"/>
        <w:jc w:val="both"/>
      </w:pPr>
      <w:r>
        <w:rPr>
          <w:sz w:val="22"/>
          <w:szCs w:val="22"/>
        </w:rPr>
        <w:t xml:space="preserve">[4] Marina, M. K., Das, S. R., "On-Demand Multipath Distance Vector Routing in Ad Hoc Networks (AOMDV)," Proc. IEEE ICNP, pp. 14-23 (2001)</w:t>
      </w:r>
    </w:p>
    <w:p>
      <w:pPr>
        <w:spacing w:after="120"/>
        <w:jc w:val="both"/>
      </w:pPr>
      <w:r>
        <w:rPr>
          <w:sz w:val="22"/>
          <w:szCs w:val="22"/>
        </w:rPr>
        <w:t xml:space="preserve">[5] Le, T.-H., Tran Thi-Minh, K., Ngo, H.-D., "Probabilistic Multipath Ad-hoc Routing Protocol for the Internet of Things Based Applications (PMAODV)," Proc. IAAA'25, Hanoi, Vietnam</w:t>
      </w:r>
    </w:p>
    <w:p>
      <w:pPr>
        <w:spacing w:after="120"/>
        <w:jc w:val="both"/>
      </w:pPr>
      <w:r>
        <w:rPr>
          <w:sz w:val="22"/>
          <w:szCs w:val="22"/>
        </w:rPr>
        <w:t xml:space="preserve">[6] Boyan, J. A., Littman, M. L., "Packet Routing in Dynamically Changing Networks: A Reinforcement Learning Approach," NeurIPS 6, pp. 671-678 (1994)</w:t>
      </w:r>
    </w:p>
    <w:p>
      <w:pPr>
        <w:spacing w:after="120"/>
        <w:jc w:val="both"/>
      </w:pPr>
      <w:r>
        <w:rPr>
          <w:sz w:val="22"/>
          <w:szCs w:val="22"/>
        </w:rPr>
        <w:t xml:space="preserve">[7] Zeng, F., Liu, J., Tang, J., "QMR: A Q-learning-based Multi-objective Routing Protocol for UAV Ad Hoc Networks," Sensors, 20(4), 1031 (2020)</w:t>
      </w:r>
    </w:p>
    <w:p>
      <w:pPr>
        <w:spacing w:after="120"/>
        <w:jc w:val="both"/>
      </w:pPr>
      <w:r>
        <w:rPr>
          <w:sz w:val="22"/>
          <w:szCs w:val="22"/>
        </w:rPr>
        <w:t xml:space="preserve">[8] Wu, W., Wang, H., Zhang, L., "QLAODV: A Q-learning-based AODV Routing Protocol for VANET," Journal of Communications and Networks, 15(2), pp. 189-196 (2013)</w:t>
      </w:r>
    </w:p>
    <w:p>
      <w:pPr>
        <w:spacing w:after="120"/>
        <w:jc w:val="both"/>
      </w:pPr>
      <w:r>
        <w:rPr>
          <w:sz w:val="22"/>
          <w:szCs w:val="22"/>
        </w:rPr>
        <w:t xml:space="preserve">[9] Lansky, J., et al., "Reinforcement Learning-Based Routing Protocols in Flying Ad Hoc Networks (FANET): A Review," Mathematics, 10(16), 3017 (2022)</w:t>
      </w:r>
    </w:p>
    <w:p>
      <w:pPr>
        <w:spacing w:after="120"/>
        <w:jc w:val="both"/>
      </w:pPr>
      <w:r>
        <w:rPr>
          <w:sz w:val="22"/>
          <w:szCs w:val="22"/>
        </w:rPr>
        <w:t xml:space="preserve">[10] Nayyar, A, "Flying Adhoc Network (FANETs): Simulation-based Performance Comparison of Routing Protocols," IEEE icABCD (2018)</w:t>
      </w:r>
    </w:p>
    <w:p>
      <w:pPr>
        <w:spacing w:after="120"/>
        <w:jc w:val="both"/>
      </w:pPr>
      <w:r>
        <w:rPr>
          <w:sz w:val="22"/>
          <w:szCs w:val="22"/>
        </w:rPr>
        <w:t xml:space="preserve">[11] Mangal, A., Tiwari, R., "Reinforcement Learning-Based Optimization of AODV Routing Protocol (RL-AODV)," J. AI and Optimization, 1(5), pp. 55-65 (2025)</w:t>
      </w:r>
    </w:p>
    <w:p>
      <w:pPr>
        <w:spacing w:after="120"/>
        <w:jc w:val="both"/>
      </w:pPr>
      <w:r>
        <w:rPr>
          <w:sz w:val="22"/>
          <w:szCs w:val="22"/>
        </w:rPr>
        <w:t xml:space="preserve">[12] Cui, Y., Wang, J., Li, T., "Topology-Aware Resilient Routing Protocol for FANETs: An Adaptive Q-Learning Approach," arXiv:2306.17360 (2023)</w:t>
      </w:r>
    </w:p>
    <w:p>
      <w:pPr>
        <w:spacing w:after="120"/>
        <w:jc w:val="both"/>
      </w:pPr>
      <w:r>
        <w:rPr>
          <w:sz w:val="22"/>
          <w:szCs w:val="22"/>
        </w:rPr>
        <w:t xml:space="preserve">[13] Hosseinzadeh, S., et al., "A Novel Q-learning-based Routing Scheme Using an Intelligent Filtering Algorithm for FANETs," Cluster Computing, Springer (2023)</w:t>
      </w:r>
    </w:p>
    <w:p>
      <w:pPr>
        <w:spacing w:after="120"/>
        <w:jc w:val="both"/>
      </w:pPr>
      <w:r>
        <w:rPr>
          <w:sz w:val="22"/>
          <w:szCs w:val="22"/>
        </w:rPr>
        <w:t xml:space="preserve">[17] Le, T.H., Tran Thi-Minh, K., Ngo, H.D., "QMAODV: A Q-Learning-Based Multipath Routing Protocol for UAV-Enabled Ad Hoc IoT Networks," ICIT 2025</w:t>
      </w:r>
    </w:p>
    <w:p>
      <w:pPr>
        <w:spacing w:after="120"/>
        <w:jc w:val="both"/>
      </w:pPr>
      <w:r>
        <w:rPr>
          <w:sz w:val="22"/>
          <w:szCs w:val="22"/>
        </w:rPr>
        <w:t xml:space="preserve">[18] Chen, Y., et al., "Deep Reinforcement Learning-based Routing for Dynamic UAV Networks," IEEE Access (2024)</w:t>
      </w:r>
    </w:p>
    <w:p>
      <w:pPr>
        <w:spacing w:after="120"/>
        <w:jc w:val="both"/>
      </w:pPr>
      <w:r>
        <w:rPr>
          <w:sz w:val="22"/>
          <w:szCs w:val="22"/>
        </w:rPr>
        <w:t xml:space="preserve">[19] Kumar, R., Singh, P., "Adaptive Q-learning-based Routing for Highly Dynamic MANETs," Ad Hoc Networks (Elsevier, 2024)</w:t>
      </w:r>
    </w:p>
    <w:p>
      <w:pPr>
        <w:spacing w:after="120"/>
        <w:jc w:val="both"/>
      </w:pPr>
      <w:r>
        <w:rPr>
          <w:sz w:val="22"/>
          <w:szCs w:val="22"/>
        </w:rPr>
        <w:t xml:space="preserve">[20] Sutton, R. S., Barto, A. G., "Reinforcement Learning: An Introduction," 2nd ed., MIT Press (2018)</w:t>
      </w:r>
    </w:p>
    <w:p>
      <w:pPr>
        <w:spacing w:after="120"/>
        <w:jc w:val="both"/>
      </w:pPr>
      <w:r>
        <w:rPr>
          <w:sz w:val="22"/>
          <w:szCs w:val="22"/>
        </w:rPr>
        <w:t xml:space="preserve">[22] Ateya, A.A., et al., "QL-AODV: Q-Learning-Enhanced Multi-Path Routing Protocol for 6G-Enabled Autonomous Aerial Vehicle Networks," Future Internet 17(10), 473 (2025)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spacing w:after="160" w:before="240"/>
      <w:outlineLvl w:val="1"/>
    </w:pPr>
    <w:rPr>
      <w:rFonts w:ascii="Times New Roman" w:cs="Times New Roman" w:eastAsia="Times New Roman" w:hAnsi="Times New Roman"/>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89ba1ae66e005d07af80410516b47eec180bef2.png"/><Relationship Id="rId8" Type="http://schemas.openxmlformats.org/officeDocument/2006/relationships/image" Target="media/5e67ee47619eaf46994941442f9a96f624dc41c2.png"/><Relationship Id="rId9" Type="http://schemas.openxmlformats.org/officeDocument/2006/relationships/image" Target="media/d6b7eb64d6c2c1e0de7d1773fd4b3503a6530f72.png"/><Relationship Id="rId10" Type="http://schemas.openxmlformats.org/officeDocument/2006/relationships/image" Target="media/1b37848aac1a2338420b7ea11356a19056353b01.png"/><Relationship Id="rId11" Type="http://schemas.openxmlformats.org/officeDocument/2006/relationships/image" Target="media/92a12b9de1d4bb0e3a56cdcf0a77369fc08d92f9.png"/><Relationship Id="rId12" Type="http://schemas.openxmlformats.org/officeDocument/2006/relationships/image" Target="media/8eff0d521fc0e64c81248a3efba293a5650de456.png"/><Relationship Id="rId13" Type="http://schemas.openxmlformats.org/officeDocument/2006/relationships/image" Target="media/b4a5fa73e7f348f9553274dd88252db612607197.png"/><Relationship Id="rId14" Type="http://schemas.openxmlformats.org/officeDocument/2006/relationships/image" Target="media/2f22453cda2f9fd8929eb1712fb791dc0a8d391f.png"/><Relationship Id="rId15" Type="http://schemas.openxmlformats.org/officeDocument/2006/relationships/image" Target="media/d71c7e5caf41d346e3369774be5327fb827cc258.png"/><Relationship Id="rId16" Type="http://schemas.openxmlformats.org/officeDocument/2006/relationships/image" Target="media/780d739b106da90cc34dd7c6a06119f2f32b11dc.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2026-05-23T22:55:01.284Z</dcterms:created>
  <dcterms:modified xsi:type="dcterms:W3CDTF">2026-05-23T22:55:01.289Z</dcterms:modified>
</cp:coreProperties>
</file>

<file path=docProps/custom.xml><?xml version="1.0" encoding="utf-8"?>
<Properties xmlns="http://schemas.openxmlformats.org/officeDocument/2006/custom-properties" xmlns:vt="http://schemas.openxmlformats.org/officeDocument/2006/docPropsVTypes"/>
</file>