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7F30" w14:textId="77777777" w:rsidR="00633B9E" w:rsidRDefault="00000000">
      <w:pPr>
        <w:shd w:val="clear" w:color="auto" w:fill="1F3864"/>
        <w:jc w:val="center"/>
      </w:pPr>
      <w:r>
        <w:rPr>
          <w:b/>
          <w:bCs/>
          <w:color w:val="FFFFFF"/>
          <w:sz w:val="30"/>
          <w:szCs w:val="30"/>
        </w:rPr>
        <w:t xml:space="preserve">  Enterprise Use Case Variants — All Assignments  </w:t>
      </w:r>
    </w:p>
    <w:p w14:paraId="021F7F31" w14:textId="77777777" w:rsidR="00633B9E" w:rsidRDefault="00000000">
      <w:pPr>
        <w:shd w:val="clear" w:color="auto" w:fill="2E5090"/>
        <w:jc w:val="center"/>
      </w:pPr>
      <w:r>
        <w:rPr>
          <w:i/>
          <w:iCs/>
          <w:color w:val="DDEEFF"/>
          <w:sz w:val="21"/>
          <w:szCs w:val="21"/>
        </w:rPr>
        <w:t xml:space="preserve">  Domain Data · Instruction Pairs · Models · Guidance for 1A, 1B, 2A, 2B &amp; 2C  </w:t>
      </w:r>
    </w:p>
    <w:p w14:paraId="021F7F32" w14:textId="77777777" w:rsidR="00633B9E" w:rsidRDefault="00633B9E">
      <w:pPr>
        <w:spacing w:before="20" w:after="40"/>
        <w:rPr>
          <w:sz w:val="24"/>
          <w:szCs w:val="24"/>
        </w:rPr>
      </w:pPr>
    </w:p>
    <w:p w14:paraId="021F7F33" w14:textId="77777777" w:rsidR="00633B9E" w:rsidRDefault="00000000">
      <w:pPr>
        <w:shd w:val="clear" w:color="auto" w:fill="E8F0FE"/>
        <w:spacing w:before="40" w:after="100"/>
        <w:ind w:left="340" w:right="283"/>
        <w:rPr>
          <w:sz w:val="24"/>
          <w:szCs w:val="24"/>
        </w:rPr>
      </w:pPr>
      <w:r>
        <w:rPr>
          <w:sz w:val="24"/>
          <w:szCs w:val="24"/>
        </w:rPr>
        <w:t>How to use this guide:</w:t>
      </w:r>
    </w:p>
    <w:p w14:paraId="021F7F34" w14:textId="575C8A55" w:rsidR="00633B9E" w:rsidRDefault="00000000">
      <w:pPr>
        <w:numPr>
          <w:ilvl w:val="0"/>
          <w:numId w:val="2"/>
        </w:numPr>
        <w:pBdr>
          <w:top w:val="nil"/>
          <w:left w:val="nil"/>
          <w:bottom w:val="nil"/>
          <w:right w:val="nil"/>
          <w:between w:val="nil"/>
        </w:pBdr>
        <w:shd w:val="clear" w:color="auto" w:fill="E8F0FE"/>
        <w:spacing w:before="40" w:after="0"/>
        <w:ind w:right="283"/>
        <w:rPr>
          <w:color w:val="000000"/>
          <w:sz w:val="24"/>
          <w:szCs w:val="24"/>
        </w:rPr>
      </w:pPr>
      <w:r>
        <w:rPr>
          <w:color w:val="000000"/>
          <w:sz w:val="24"/>
          <w:szCs w:val="24"/>
        </w:rPr>
        <w:t>Pick any variant (V1–V6). Your domain data sources, instruction pairs listed under that variant.</w:t>
      </w:r>
    </w:p>
    <w:p w14:paraId="021F7F35" w14:textId="77777777" w:rsidR="00633B9E" w:rsidRDefault="00000000">
      <w:pPr>
        <w:numPr>
          <w:ilvl w:val="0"/>
          <w:numId w:val="2"/>
        </w:numPr>
        <w:pBdr>
          <w:top w:val="nil"/>
          <w:left w:val="nil"/>
          <w:bottom w:val="nil"/>
          <w:right w:val="nil"/>
          <w:between w:val="nil"/>
        </w:pBdr>
        <w:shd w:val="clear" w:color="auto" w:fill="E8F0FE"/>
        <w:spacing w:after="0"/>
        <w:ind w:right="283"/>
        <w:rPr>
          <w:b/>
          <w:bCs/>
          <w:color w:val="C0504D"/>
          <w:sz w:val="24"/>
          <w:szCs w:val="24"/>
          <w:highlight w:val="yellow"/>
        </w:rPr>
      </w:pPr>
      <w:r>
        <w:rPr>
          <w:b/>
          <w:bCs/>
          <w:color w:val="C0504D"/>
          <w:sz w:val="24"/>
          <w:szCs w:val="24"/>
          <w:highlight w:val="yellow"/>
        </w:rPr>
        <w:t>Students can choose their respective enterprise use case. In that case, label it as a custom enterprise variant. You are required to create the template for your custom use case in the same format as given for V2 -V6 and submit as a separate doc.</w:t>
      </w:r>
    </w:p>
    <w:p w14:paraId="021F7F37" w14:textId="77777777" w:rsidR="00633B9E" w:rsidRDefault="00000000">
      <w:pPr>
        <w:numPr>
          <w:ilvl w:val="0"/>
          <w:numId w:val="2"/>
        </w:numPr>
        <w:pBdr>
          <w:top w:val="nil"/>
          <w:left w:val="nil"/>
          <w:bottom w:val="nil"/>
          <w:right w:val="nil"/>
          <w:between w:val="nil"/>
        </w:pBdr>
        <w:shd w:val="clear" w:color="auto" w:fill="E8F0FE"/>
        <w:spacing w:after="0"/>
        <w:ind w:right="283"/>
        <w:rPr>
          <w:color w:val="000000"/>
          <w:sz w:val="24"/>
          <w:szCs w:val="24"/>
        </w:rPr>
      </w:pPr>
      <w:r>
        <w:rPr>
          <w:color w:val="000000"/>
          <w:sz w:val="24"/>
          <w:szCs w:val="24"/>
        </w:rPr>
        <w:t>Pipeline steps, marking rubrics, and submission requirements are fixed per assignment and do NOT change across variants. Only domain data, instruction pairs, models, and technique choices differ.</w:t>
      </w:r>
    </w:p>
    <w:p w14:paraId="021F7F38" w14:textId="77777777" w:rsidR="00633B9E" w:rsidRDefault="00000000">
      <w:pPr>
        <w:numPr>
          <w:ilvl w:val="0"/>
          <w:numId w:val="2"/>
        </w:numPr>
        <w:pBdr>
          <w:top w:val="nil"/>
          <w:left w:val="nil"/>
          <w:bottom w:val="nil"/>
          <w:right w:val="nil"/>
          <w:between w:val="nil"/>
        </w:pBdr>
        <w:shd w:val="clear" w:color="auto" w:fill="E8F0FE"/>
        <w:spacing w:after="0"/>
        <w:ind w:right="283"/>
        <w:rPr>
          <w:color w:val="000000"/>
          <w:sz w:val="24"/>
          <w:szCs w:val="24"/>
        </w:rPr>
      </w:pPr>
      <w:r>
        <w:rPr>
          <w:color w:val="000000"/>
          <w:sz w:val="24"/>
          <w:szCs w:val="24"/>
        </w:rPr>
        <w:t xml:space="preserve">EL-2 assignments (2A, 2B, 2C) all reuse the same .txt files and </w:t>
      </w:r>
      <w:proofErr w:type="spellStart"/>
      <w:r>
        <w:rPr>
          <w:color w:val="000000"/>
          <w:sz w:val="24"/>
          <w:szCs w:val="24"/>
        </w:rPr>
        <w:t>instruction_dataset.jsonl</w:t>
      </w:r>
      <w:proofErr w:type="spellEnd"/>
      <w:r>
        <w:rPr>
          <w:color w:val="000000"/>
          <w:sz w:val="24"/>
          <w:szCs w:val="24"/>
        </w:rPr>
        <w:t xml:space="preserve"> you collected for your </w:t>
      </w:r>
      <w:r>
        <w:rPr>
          <w:sz w:val="24"/>
          <w:szCs w:val="24"/>
        </w:rPr>
        <w:t>EL</w:t>
      </w:r>
      <w:r>
        <w:rPr>
          <w:color w:val="000000"/>
          <w:sz w:val="24"/>
          <w:szCs w:val="24"/>
        </w:rPr>
        <w:t>-1 assignment. No new data collection is required.</w:t>
      </w:r>
    </w:p>
    <w:p w14:paraId="021F7F39" w14:textId="77777777" w:rsidR="00633B9E" w:rsidRDefault="00000000">
      <w:pPr>
        <w:numPr>
          <w:ilvl w:val="0"/>
          <w:numId w:val="2"/>
        </w:numPr>
        <w:pBdr>
          <w:top w:val="nil"/>
          <w:left w:val="nil"/>
          <w:bottom w:val="nil"/>
          <w:right w:val="nil"/>
          <w:between w:val="nil"/>
        </w:pBdr>
        <w:shd w:val="clear" w:color="auto" w:fill="E8F0FE"/>
        <w:spacing w:after="100"/>
        <w:ind w:right="283"/>
        <w:rPr>
          <w:b/>
          <w:bCs/>
          <w:color w:val="C0504D"/>
          <w:sz w:val="24"/>
          <w:szCs w:val="24"/>
          <w:highlight w:val="yellow"/>
        </w:rPr>
      </w:pPr>
      <w:r>
        <w:rPr>
          <w:b/>
          <w:bCs/>
          <w:color w:val="C0504D"/>
          <w:sz w:val="24"/>
          <w:szCs w:val="24"/>
          <w:highlight w:val="yellow"/>
        </w:rPr>
        <w:t>Students are encouraged to experiment with different models other than recommended</w:t>
      </w:r>
    </w:p>
    <w:p w14:paraId="021F7F3A" w14:textId="77777777" w:rsidR="00633B9E" w:rsidRDefault="00633B9E">
      <w:pPr>
        <w:spacing w:before="20" w:after="40"/>
      </w:pPr>
    </w:p>
    <w:p w14:paraId="021F7F7F" w14:textId="77777777" w:rsidR="00633B9E" w:rsidRDefault="00000000">
      <w:r>
        <w:br w:type="page"/>
      </w:r>
    </w:p>
    <w:p w14:paraId="021F7F80" w14:textId="77777777" w:rsidR="00633B9E" w:rsidRDefault="00000000">
      <w:pPr>
        <w:shd w:val="clear" w:color="auto" w:fill="1A3A5C"/>
      </w:pPr>
      <w:r>
        <w:rPr>
          <w:b/>
          <w:bCs/>
          <w:color w:val="FFFFFF"/>
          <w:sz w:val="28"/>
          <w:szCs w:val="28"/>
        </w:rPr>
        <w:lastRenderedPageBreak/>
        <w:t xml:space="preserve">  Variant 1 — Default — Domain Q&amp;A Assistant  </w:t>
      </w:r>
    </w:p>
    <w:p w14:paraId="021F7F81" w14:textId="77777777" w:rsidR="00633B9E" w:rsidRDefault="00000000">
      <w:pPr>
        <w:shd w:val="clear" w:color="auto" w:fill="2E5090"/>
      </w:pPr>
      <w:r>
        <w:rPr>
          <w:i/>
          <w:iCs/>
          <w:color w:val="DDEEFF"/>
          <w:sz w:val="21"/>
          <w:szCs w:val="21"/>
        </w:rPr>
        <w:t xml:space="preserve">  Open Choice · Medical · Legal · Financial · HR · Manufacturing · Scientific  </w:t>
      </w:r>
    </w:p>
    <w:p w14:paraId="021F7F82" w14:textId="77777777" w:rsidR="00633B9E" w:rsidRDefault="00633B9E">
      <w:pPr>
        <w:spacing w:before="20" w:after="40"/>
      </w:pPr>
    </w:p>
    <w:p w14:paraId="021F7F83" w14:textId="77777777" w:rsidR="00633B9E" w:rsidRDefault="00000000">
      <w:pPr>
        <w:spacing w:after="120"/>
        <w:ind w:left="170"/>
      </w:pPr>
      <w:r>
        <w:rPr>
          <w:sz w:val="21"/>
          <w:szCs w:val="21"/>
        </w:rPr>
        <w:t>This is the base variant for all assignments. Select any domain from the model selection table in your assignment document, collect domain PDFs, and build a domain Q&amp;A assistant. No additional domain-specific guidance is needed — refer directly to each assignment document for pipeline steps and marking criteria.</w:t>
      </w:r>
    </w:p>
    <w:p w14:paraId="021F7F90" w14:textId="77777777" w:rsidR="00633B9E" w:rsidRDefault="00000000">
      <w:r>
        <w:br w:type="page"/>
      </w:r>
    </w:p>
    <w:p w14:paraId="021F7F91" w14:textId="77777777" w:rsidR="00633B9E" w:rsidRDefault="00000000">
      <w:pPr>
        <w:shd w:val="clear" w:color="auto" w:fill="1A3A5C"/>
      </w:pPr>
      <w:r>
        <w:rPr>
          <w:b/>
          <w:bCs/>
          <w:color w:val="FFFFFF"/>
          <w:sz w:val="28"/>
          <w:szCs w:val="28"/>
        </w:rPr>
        <w:lastRenderedPageBreak/>
        <w:t xml:space="preserve">  Variant 2 — Troubleshooting Assistant for Customer Support  </w:t>
      </w:r>
    </w:p>
    <w:p w14:paraId="021F7F92" w14:textId="77777777" w:rsidR="00633B9E" w:rsidRDefault="00000000">
      <w:pPr>
        <w:shd w:val="clear" w:color="auto" w:fill="2E5090"/>
      </w:pPr>
      <w:r>
        <w:rPr>
          <w:i/>
          <w:iCs/>
          <w:color w:val="DDEEFF"/>
          <w:sz w:val="21"/>
          <w:szCs w:val="21"/>
        </w:rPr>
        <w:t xml:space="preserve">  Telecom / SaaS / Cloud Infrastructure — Support Ticket Deflection  </w:t>
      </w:r>
    </w:p>
    <w:p w14:paraId="021F7F93" w14:textId="77777777" w:rsidR="00633B9E" w:rsidRDefault="00633B9E">
      <w:pPr>
        <w:spacing w:before="20" w:after="40"/>
      </w:pPr>
    </w:p>
    <w:p w14:paraId="021F7F94" w14:textId="77777777" w:rsidR="00633B9E" w:rsidRDefault="00000000">
      <w:pPr>
        <w:spacing w:after="120"/>
        <w:ind w:left="170"/>
      </w:pPr>
      <w:r>
        <w:rPr>
          <w:sz w:val="21"/>
          <w:szCs w:val="21"/>
        </w:rPr>
        <w:t>A telecom or SaaS company receives thousands of Tier-1 support tickets daily for known, documented issues. The enterprise wants an LLM-powered assistant that reads a user's symptom description and generates accurate, step-by-step troubleshooting instructions — reducing agent load by deflecting routine queries automatically.</w:t>
      </w:r>
    </w:p>
    <w:p w14:paraId="021F7F95" w14:textId="77777777" w:rsidR="00633B9E" w:rsidRDefault="00000000">
      <w:pPr>
        <w:pStyle w:val="Heading2"/>
      </w:pPr>
      <w:r>
        <w:rPr>
          <w:color w:val="1A3A5C"/>
        </w:rPr>
        <w:t>Domain Data Sources</w:t>
      </w:r>
    </w:p>
    <w:p w14:paraId="021F7F96"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docs.cisco.com </w:t>
      </w:r>
      <w:r>
        <w:rPr>
          <w:color w:val="000000"/>
          <w:sz w:val="21"/>
          <w:szCs w:val="21"/>
        </w:rPr>
        <w:t>Cisco Support Documentation → Product Support → select any product → download PDF guides</w:t>
      </w:r>
    </w:p>
    <w:p w14:paraId="021F7F97"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help.ubuntu.com </w:t>
      </w:r>
      <w:r>
        <w:rPr>
          <w:color w:val="000000"/>
          <w:sz w:val="21"/>
          <w:szCs w:val="21"/>
        </w:rPr>
        <w:t>Ubuntu Help &amp; Manuals → downloadable server/desktop guides</w:t>
      </w:r>
    </w:p>
    <w:p w14:paraId="021F7F98"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docs.aws.amazon.com </w:t>
      </w:r>
      <w:r>
        <w:rPr>
          <w:color w:val="000000"/>
          <w:sz w:val="21"/>
          <w:szCs w:val="21"/>
        </w:rPr>
        <w:t>AWS Troubleshooting Guides → General Reference → Troubleshooting section</w:t>
      </w:r>
    </w:p>
    <w:p w14:paraId="021F7F99" w14:textId="77777777" w:rsidR="00633B9E" w:rsidRDefault="00000000">
      <w:pPr>
        <w:numPr>
          <w:ilvl w:val="0"/>
          <w:numId w:val="1"/>
        </w:numPr>
        <w:pBdr>
          <w:top w:val="nil"/>
          <w:left w:val="nil"/>
          <w:bottom w:val="nil"/>
          <w:right w:val="nil"/>
          <w:between w:val="nil"/>
        </w:pBdr>
        <w:spacing w:after="40"/>
        <w:ind w:left="283"/>
      </w:pPr>
      <w:r>
        <w:rPr>
          <w:b/>
          <w:bCs/>
          <w:color w:val="000000"/>
          <w:sz w:val="21"/>
          <w:szCs w:val="21"/>
        </w:rPr>
        <w:t xml:space="preserve">support.microsoft.com </w:t>
      </w:r>
      <w:r>
        <w:rPr>
          <w:color w:val="000000"/>
          <w:sz w:val="21"/>
          <w:szCs w:val="21"/>
        </w:rPr>
        <w:t>Microsoft Support Articles → search any product → export/print to PDF</w:t>
      </w:r>
    </w:p>
    <w:p w14:paraId="021F7F9A" w14:textId="77777777" w:rsidR="00633B9E" w:rsidRDefault="00633B9E">
      <w:pPr>
        <w:spacing w:before="20" w:after="40"/>
      </w:pPr>
    </w:p>
    <w:p w14:paraId="021F7F9B" w14:textId="77777777" w:rsidR="00633B9E" w:rsidRDefault="00000000">
      <w:pPr>
        <w:pStyle w:val="Heading2"/>
      </w:pPr>
      <w:r>
        <w:rPr>
          <w:color w:val="1A3A5C"/>
        </w:rPr>
        <w:t>Sample Instruction Pairs</w:t>
      </w:r>
    </w:p>
    <w:tbl>
      <w:tblPr>
        <w:tblStyle w:val="a1"/>
        <w:tblW w:w="9406" w:type="dxa"/>
        <w:jc w:val="center"/>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00" w:firstRow="0" w:lastRow="0" w:firstColumn="0" w:lastColumn="0" w:noHBand="0" w:noVBand="1"/>
      </w:tblPr>
      <w:tblGrid>
        <w:gridCol w:w="4703"/>
        <w:gridCol w:w="4703"/>
      </w:tblGrid>
      <w:tr w:rsidR="00633B9E" w14:paraId="021F7F9E" w14:textId="77777777">
        <w:trPr>
          <w:jc w:val="center"/>
        </w:trPr>
        <w:tc>
          <w:tcPr>
            <w:tcW w:w="4703" w:type="dxa"/>
            <w:shd w:val="clear" w:color="auto" w:fill="1F3864"/>
          </w:tcPr>
          <w:p w14:paraId="021F7F9C" w14:textId="77777777" w:rsidR="00633B9E" w:rsidRDefault="00000000">
            <w:pPr>
              <w:jc w:val="center"/>
            </w:pPr>
            <w:r>
              <w:rPr>
                <w:b/>
                <w:bCs/>
                <w:color w:val="FFFFFF"/>
                <w:sz w:val="18"/>
                <w:szCs w:val="18"/>
              </w:rPr>
              <w:t>instruction</w:t>
            </w:r>
          </w:p>
        </w:tc>
        <w:tc>
          <w:tcPr>
            <w:tcW w:w="4703" w:type="dxa"/>
            <w:shd w:val="clear" w:color="auto" w:fill="1F3864"/>
          </w:tcPr>
          <w:p w14:paraId="021F7F9D" w14:textId="77777777" w:rsidR="00633B9E" w:rsidRDefault="00000000">
            <w:pPr>
              <w:jc w:val="center"/>
            </w:pPr>
            <w:r>
              <w:rPr>
                <w:b/>
                <w:bCs/>
                <w:color w:val="FFFFFF"/>
                <w:sz w:val="18"/>
                <w:szCs w:val="18"/>
              </w:rPr>
              <w:t>response</w:t>
            </w:r>
          </w:p>
        </w:tc>
      </w:tr>
      <w:tr w:rsidR="00633B9E" w14:paraId="021F7FA1" w14:textId="77777777">
        <w:trPr>
          <w:jc w:val="center"/>
        </w:trPr>
        <w:tc>
          <w:tcPr>
            <w:tcW w:w="4703" w:type="dxa"/>
            <w:shd w:val="clear" w:color="auto" w:fill="FFFFFF"/>
          </w:tcPr>
          <w:p w14:paraId="021F7F9F" w14:textId="77777777" w:rsidR="00633B9E" w:rsidRDefault="00000000">
            <w:r>
              <w:rPr>
                <w:sz w:val="18"/>
                <w:szCs w:val="18"/>
              </w:rPr>
              <w:t>My router keeps dropping connection every 30 minutes. How do I fix this?</w:t>
            </w:r>
          </w:p>
        </w:tc>
        <w:tc>
          <w:tcPr>
            <w:tcW w:w="4703" w:type="dxa"/>
            <w:shd w:val="clear" w:color="auto" w:fill="FFFFFF"/>
          </w:tcPr>
          <w:p w14:paraId="021F7FA0" w14:textId="77777777" w:rsidR="00633B9E" w:rsidRDefault="00000000">
            <w:r>
              <w:rPr>
                <w:sz w:val="18"/>
                <w:szCs w:val="18"/>
              </w:rPr>
              <w:t>1. Check firmware — update if outdated.</w:t>
            </w:r>
            <w:r>
              <w:rPr>
                <w:sz w:val="18"/>
                <w:szCs w:val="18"/>
              </w:rPr>
              <w:br/>
              <w:t>2. Change wireless channel to 6 or 11.</w:t>
            </w:r>
            <w:r>
              <w:rPr>
                <w:sz w:val="18"/>
                <w:szCs w:val="18"/>
              </w:rPr>
              <w:br/>
              <w:t>3. Disable QoS under Advanced Settings.</w:t>
            </w:r>
            <w:r>
              <w:rPr>
                <w:sz w:val="18"/>
                <w:szCs w:val="18"/>
              </w:rPr>
              <w:br/>
              <w:t>4. Factory reset as last resort.</w:t>
            </w:r>
          </w:p>
        </w:tc>
      </w:tr>
      <w:tr w:rsidR="00633B9E" w14:paraId="021F7FA4" w14:textId="77777777">
        <w:trPr>
          <w:jc w:val="center"/>
        </w:trPr>
        <w:tc>
          <w:tcPr>
            <w:tcW w:w="4703" w:type="dxa"/>
            <w:shd w:val="clear" w:color="auto" w:fill="F0F4FF"/>
          </w:tcPr>
          <w:p w14:paraId="021F7FA2" w14:textId="77777777" w:rsidR="00633B9E" w:rsidRDefault="00000000">
            <w:r>
              <w:rPr>
                <w:sz w:val="18"/>
                <w:szCs w:val="18"/>
              </w:rPr>
              <w:t>Ubuntu 22.04 fails to mount external NTFS drive. Error: wrong fs type.</w:t>
            </w:r>
          </w:p>
        </w:tc>
        <w:tc>
          <w:tcPr>
            <w:tcW w:w="4703" w:type="dxa"/>
            <w:shd w:val="clear" w:color="auto" w:fill="F0F4FF"/>
          </w:tcPr>
          <w:p w14:paraId="021F7FA3" w14:textId="77777777" w:rsidR="00633B9E" w:rsidRDefault="00000000">
            <w:r>
              <w:rPr>
                <w:sz w:val="18"/>
                <w:szCs w:val="18"/>
              </w:rPr>
              <w:t xml:space="preserve">1. Install ntfs-3g: </w:t>
            </w:r>
            <w:proofErr w:type="spellStart"/>
            <w:r>
              <w:rPr>
                <w:sz w:val="18"/>
                <w:szCs w:val="18"/>
              </w:rPr>
              <w:t>sudo</w:t>
            </w:r>
            <w:proofErr w:type="spellEnd"/>
            <w:r>
              <w:rPr>
                <w:sz w:val="18"/>
                <w:szCs w:val="18"/>
              </w:rPr>
              <w:t xml:space="preserve"> apt install ntfs-3g.</w:t>
            </w:r>
            <w:r>
              <w:rPr>
                <w:sz w:val="18"/>
                <w:szCs w:val="18"/>
              </w:rPr>
              <w:br/>
              <w:t xml:space="preserve">2. Run: </w:t>
            </w:r>
            <w:proofErr w:type="spellStart"/>
            <w:r>
              <w:rPr>
                <w:sz w:val="18"/>
                <w:szCs w:val="18"/>
              </w:rPr>
              <w:t>sudo</w:t>
            </w:r>
            <w:proofErr w:type="spellEnd"/>
            <w:r>
              <w:rPr>
                <w:sz w:val="18"/>
                <w:szCs w:val="18"/>
              </w:rPr>
              <w:t xml:space="preserve"> </w:t>
            </w:r>
            <w:proofErr w:type="spellStart"/>
            <w:r>
              <w:rPr>
                <w:sz w:val="18"/>
                <w:szCs w:val="18"/>
              </w:rPr>
              <w:t>ntfsfix</w:t>
            </w:r>
            <w:proofErr w:type="spellEnd"/>
            <w:r>
              <w:rPr>
                <w:sz w:val="18"/>
                <w:szCs w:val="18"/>
              </w:rPr>
              <w:t xml:space="preserve"> /dev/sdX1.</w:t>
            </w:r>
            <w:r>
              <w:rPr>
                <w:sz w:val="18"/>
                <w:szCs w:val="18"/>
              </w:rPr>
              <w:br/>
              <w:t xml:space="preserve">3. Mount: </w:t>
            </w:r>
            <w:proofErr w:type="spellStart"/>
            <w:r>
              <w:rPr>
                <w:sz w:val="18"/>
                <w:szCs w:val="18"/>
              </w:rPr>
              <w:t>sudo</w:t>
            </w:r>
            <w:proofErr w:type="spellEnd"/>
            <w:r>
              <w:rPr>
                <w:sz w:val="18"/>
                <w:szCs w:val="18"/>
              </w:rPr>
              <w:t xml:space="preserve"> mount -t ntfs-3g /dev/sdX1 /</w:t>
            </w:r>
            <w:proofErr w:type="spellStart"/>
            <w:r>
              <w:rPr>
                <w:sz w:val="18"/>
                <w:szCs w:val="18"/>
              </w:rPr>
              <w:t>mnt</w:t>
            </w:r>
            <w:proofErr w:type="spellEnd"/>
            <w:r>
              <w:rPr>
                <w:sz w:val="18"/>
                <w:szCs w:val="18"/>
              </w:rPr>
              <w:t>/drive.</w:t>
            </w:r>
            <w:r>
              <w:rPr>
                <w:sz w:val="18"/>
                <w:szCs w:val="18"/>
              </w:rPr>
              <w:br/>
              <w:t xml:space="preserve">4. Check </w:t>
            </w:r>
            <w:proofErr w:type="spellStart"/>
            <w:r>
              <w:rPr>
                <w:sz w:val="18"/>
                <w:szCs w:val="18"/>
              </w:rPr>
              <w:t>dmesg</w:t>
            </w:r>
            <w:proofErr w:type="spellEnd"/>
            <w:r>
              <w:rPr>
                <w:sz w:val="18"/>
                <w:szCs w:val="18"/>
              </w:rPr>
              <w:t xml:space="preserve"> for hardware errors.</w:t>
            </w:r>
          </w:p>
        </w:tc>
      </w:tr>
      <w:tr w:rsidR="00633B9E" w14:paraId="021F7FA7" w14:textId="77777777">
        <w:trPr>
          <w:jc w:val="center"/>
        </w:trPr>
        <w:tc>
          <w:tcPr>
            <w:tcW w:w="4703" w:type="dxa"/>
            <w:shd w:val="clear" w:color="auto" w:fill="FFFFFF"/>
          </w:tcPr>
          <w:p w14:paraId="021F7FA5" w14:textId="77777777" w:rsidR="00633B9E" w:rsidRDefault="00000000">
            <w:r>
              <w:rPr>
                <w:sz w:val="18"/>
                <w:szCs w:val="18"/>
              </w:rPr>
              <w:t>AWS EC2 instance unreachable after security group change.</w:t>
            </w:r>
          </w:p>
        </w:tc>
        <w:tc>
          <w:tcPr>
            <w:tcW w:w="4703" w:type="dxa"/>
            <w:shd w:val="clear" w:color="auto" w:fill="FFFFFF"/>
          </w:tcPr>
          <w:p w14:paraId="021F7FA6" w14:textId="77777777" w:rsidR="00633B9E" w:rsidRDefault="00000000">
            <w:r>
              <w:rPr>
                <w:sz w:val="18"/>
                <w:szCs w:val="18"/>
              </w:rPr>
              <w:t>1. Verify inbound rules allow SSH (port 22) from your IP.</w:t>
            </w:r>
            <w:r>
              <w:rPr>
                <w:sz w:val="18"/>
                <w:szCs w:val="18"/>
              </w:rPr>
              <w:br/>
              <w:t>2. Check NACL — both inbound and outbound.</w:t>
            </w:r>
            <w:r>
              <w:rPr>
                <w:sz w:val="18"/>
                <w:szCs w:val="18"/>
              </w:rPr>
              <w:br/>
              <w:t>3. Confirm instance state is 'running'.</w:t>
            </w:r>
            <w:r>
              <w:rPr>
                <w:sz w:val="18"/>
                <w:szCs w:val="18"/>
              </w:rPr>
              <w:br/>
              <w:t>4. Use EC2 Instance Connect if SSH fails.</w:t>
            </w:r>
          </w:p>
        </w:tc>
      </w:tr>
    </w:tbl>
    <w:p w14:paraId="021F7FD4" w14:textId="77777777" w:rsidR="00633B9E" w:rsidRDefault="00000000">
      <w:r>
        <w:br w:type="page"/>
      </w:r>
    </w:p>
    <w:p w14:paraId="021F7FD5" w14:textId="77777777" w:rsidR="00633B9E" w:rsidRDefault="00000000">
      <w:pPr>
        <w:shd w:val="clear" w:color="auto" w:fill="1A3A5C"/>
      </w:pPr>
      <w:r>
        <w:rPr>
          <w:b/>
          <w:bCs/>
          <w:color w:val="FFFFFF"/>
          <w:sz w:val="28"/>
          <w:szCs w:val="28"/>
        </w:rPr>
        <w:lastRenderedPageBreak/>
        <w:t xml:space="preserve">  Variant 3 — Regulatory Compliance Q&amp;A Assistant  </w:t>
      </w:r>
    </w:p>
    <w:p w14:paraId="021F7FD6" w14:textId="77777777" w:rsidR="00633B9E" w:rsidRDefault="00000000">
      <w:pPr>
        <w:shd w:val="clear" w:color="auto" w:fill="2E5090"/>
      </w:pPr>
      <w:r>
        <w:rPr>
          <w:i/>
          <w:iCs/>
          <w:color w:val="DDEEFF"/>
          <w:sz w:val="21"/>
          <w:szCs w:val="21"/>
        </w:rPr>
        <w:t xml:space="preserve">  Banking / FinTech / Insurance — Regulatory Intelligence  </w:t>
      </w:r>
    </w:p>
    <w:p w14:paraId="021F7FD7" w14:textId="77777777" w:rsidR="00633B9E" w:rsidRDefault="00633B9E">
      <w:pPr>
        <w:spacing w:before="20" w:after="40"/>
      </w:pPr>
    </w:p>
    <w:p w14:paraId="021F7FD8" w14:textId="77777777" w:rsidR="00633B9E" w:rsidRDefault="00000000">
      <w:pPr>
        <w:spacing w:after="120"/>
        <w:ind w:left="170"/>
      </w:pPr>
      <w:r>
        <w:rPr>
          <w:sz w:val="21"/>
          <w:szCs w:val="21"/>
        </w:rPr>
        <w:t>A bank or NBFC wants compliance analysts to quickly locate and interpret regulatory requirements across hundreds of circulars, guidelines, and frameworks. An LLM fine-tuned on regulatory documents can answer queries such as 'What are RBI's KYC requirements for digital customers?' in seconds — significantly reducing manual lookup time.</w:t>
      </w:r>
    </w:p>
    <w:p w14:paraId="021F7FD9" w14:textId="77777777" w:rsidR="00633B9E" w:rsidRDefault="00000000">
      <w:pPr>
        <w:pStyle w:val="Heading2"/>
      </w:pPr>
      <w:r>
        <w:rPr>
          <w:color w:val="1A3A5C"/>
        </w:rPr>
        <w:t>Domain Data Sources</w:t>
      </w:r>
    </w:p>
    <w:p w14:paraId="021F7FDA"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rbi.org.in </w:t>
      </w:r>
      <w:r>
        <w:rPr>
          <w:color w:val="000000"/>
          <w:sz w:val="21"/>
          <w:szCs w:val="21"/>
        </w:rPr>
        <w:t>RBI Circulars &amp; Master Directions → Notifications → Master Directions (downloadable PDFs)</w:t>
      </w:r>
    </w:p>
    <w:p w14:paraId="021F7FDB"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sebi.gov.in </w:t>
      </w:r>
      <w:r>
        <w:rPr>
          <w:color w:val="000000"/>
          <w:sz w:val="21"/>
          <w:szCs w:val="21"/>
        </w:rPr>
        <w:t>SEBI Regulations → Legal Framework → Regulations</w:t>
      </w:r>
    </w:p>
    <w:p w14:paraId="021F7FDC"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irdai.gov.in </w:t>
      </w:r>
      <w:r>
        <w:rPr>
          <w:color w:val="000000"/>
          <w:sz w:val="21"/>
          <w:szCs w:val="21"/>
        </w:rPr>
        <w:t>IRDAI Guidelines → Regulations → Guidelines &amp; Circulars</w:t>
      </w:r>
    </w:p>
    <w:p w14:paraId="021F7FDD"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bis.org </w:t>
      </w:r>
      <w:r>
        <w:rPr>
          <w:color w:val="000000"/>
          <w:sz w:val="21"/>
          <w:szCs w:val="21"/>
        </w:rPr>
        <w:t>Basel III Framework → full Basel III text as PDF</w:t>
      </w:r>
    </w:p>
    <w:p w14:paraId="021F7FDE" w14:textId="77777777" w:rsidR="00633B9E" w:rsidRDefault="00000000">
      <w:pPr>
        <w:numPr>
          <w:ilvl w:val="0"/>
          <w:numId w:val="1"/>
        </w:numPr>
        <w:pBdr>
          <w:top w:val="nil"/>
          <w:left w:val="nil"/>
          <w:bottom w:val="nil"/>
          <w:right w:val="nil"/>
          <w:between w:val="nil"/>
        </w:pBdr>
        <w:spacing w:after="40"/>
        <w:ind w:left="283"/>
      </w:pPr>
      <w:r>
        <w:rPr>
          <w:b/>
          <w:bCs/>
          <w:color w:val="000000"/>
          <w:sz w:val="21"/>
          <w:szCs w:val="21"/>
        </w:rPr>
        <w:t xml:space="preserve">fatf-gafi.org </w:t>
      </w:r>
      <w:r>
        <w:rPr>
          <w:color w:val="000000"/>
          <w:sz w:val="21"/>
          <w:szCs w:val="21"/>
        </w:rPr>
        <w:t>FATF Recommendations → Publications → FATF Recommendations PDF</w:t>
      </w:r>
    </w:p>
    <w:p w14:paraId="021F7FDF" w14:textId="77777777" w:rsidR="00633B9E" w:rsidRDefault="00633B9E">
      <w:pPr>
        <w:spacing w:before="20" w:after="40"/>
      </w:pPr>
    </w:p>
    <w:p w14:paraId="021F7FE0" w14:textId="77777777" w:rsidR="00633B9E" w:rsidRDefault="00000000">
      <w:pPr>
        <w:pStyle w:val="Heading2"/>
      </w:pPr>
      <w:r>
        <w:rPr>
          <w:color w:val="1A3A5C"/>
        </w:rPr>
        <w:t>Sample Instruction Pairs</w:t>
      </w:r>
    </w:p>
    <w:tbl>
      <w:tblPr>
        <w:tblStyle w:val="a3"/>
        <w:tblW w:w="9406" w:type="dxa"/>
        <w:jc w:val="center"/>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00" w:firstRow="0" w:lastRow="0" w:firstColumn="0" w:lastColumn="0" w:noHBand="0" w:noVBand="1"/>
      </w:tblPr>
      <w:tblGrid>
        <w:gridCol w:w="4703"/>
        <w:gridCol w:w="4703"/>
      </w:tblGrid>
      <w:tr w:rsidR="00633B9E" w14:paraId="021F7FE3" w14:textId="77777777">
        <w:trPr>
          <w:jc w:val="center"/>
        </w:trPr>
        <w:tc>
          <w:tcPr>
            <w:tcW w:w="4703" w:type="dxa"/>
            <w:shd w:val="clear" w:color="auto" w:fill="1F3864"/>
          </w:tcPr>
          <w:p w14:paraId="021F7FE1" w14:textId="77777777" w:rsidR="00633B9E" w:rsidRDefault="00000000">
            <w:pPr>
              <w:jc w:val="center"/>
            </w:pPr>
            <w:r>
              <w:rPr>
                <w:b/>
                <w:bCs/>
                <w:color w:val="FFFFFF"/>
                <w:sz w:val="18"/>
                <w:szCs w:val="18"/>
              </w:rPr>
              <w:t>instruction</w:t>
            </w:r>
          </w:p>
        </w:tc>
        <w:tc>
          <w:tcPr>
            <w:tcW w:w="4703" w:type="dxa"/>
            <w:shd w:val="clear" w:color="auto" w:fill="1F3864"/>
          </w:tcPr>
          <w:p w14:paraId="021F7FE2" w14:textId="77777777" w:rsidR="00633B9E" w:rsidRDefault="00000000">
            <w:pPr>
              <w:jc w:val="center"/>
            </w:pPr>
            <w:r>
              <w:rPr>
                <w:b/>
                <w:bCs/>
                <w:color w:val="FFFFFF"/>
                <w:sz w:val="18"/>
                <w:szCs w:val="18"/>
              </w:rPr>
              <w:t>response</w:t>
            </w:r>
          </w:p>
        </w:tc>
      </w:tr>
      <w:tr w:rsidR="00633B9E" w14:paraId="021F7FE6" w14:textId="77777777">
        <w:trPr>
          <w:jc w:val="center"/>
        </w:trPr>
        <w:tc>
          <w:tcPr>
            <w:tcW w:w="4703" w:type="dxa"/>
            <w:shd w:val="clear" w:color="auto" w:fill="FFFFFF"/>
          </w:tcPr>
          <w:p w14:paraId="021F7FE4" w14:textId="77777777" w:rsidR="00633B9E" w:rsidRDefault="00000000">
            <w:r>
              <w:rPr>
                <w:sz w:val="18"/>
                <w:szCs w:val="18"/>
              </w:rPr>
              <w:t>What is the maximum LTV ratio for gold loans as per RBI guidelines?</w:t>
            </w:r>
          </w:p>
        </w:tc>
        <w:tc>
          <w:tcPr>
            <w:tcW w:w="4703" w:type="dxa"/>
            <w:shd w:val="clear" w:color="auto" w:fill="FFFFFF"/>
          </w:tcPr>
          <w:p w14:paraId="021F7FE5" w14:textId="77777777" w:rsidR="00633B9E" w:rsidRDefault="00000000">
            <w:r>
              <w:rPr>
                <w:sz w:val="18"/>
                <w:szCs w:val="18"/>
              </w:rPr>
              <w:t>Per RBI Master Direction on Loans and Advances (2023), LTV for gold loans must not exceed 75% of the value of gold ornaments accepted as collateral.</w:t>
            </w:r>
          </w:p>
        </w:tc>
      </w:tr>
      <w:tr w:rsidR="00633B9E" w14:paraId="021F7FE9" w14:textId="77777777">
        <w:trPr>
          <w:jc w:val="center"/>
        </w:trPr>
        <w:tc>
          <w:tcPr>
            <w:tcW w:w="4703" w:type="dxa"/>
            <w:shd w:val="clear" w:color="auto" w:fill="F0F4FF"/>
          </w:tcPr>
          <w:p w14:paraId="021F7FE7" w14:textId="77777777" w:rsidR="00633B9E" w:rsidRDefault="00000000">
            <w:r>
              <w:rPr>
                <w:sz w:val="18"/>
                <w:szCs w:val="18"/>
              </w:rPr>
              <w:t>What are the KYC requirements for a small savings account under RBI norms?</w:t>
            </w:r>
          </w:p>
        </w:tc>
        <w:tc>
          <w:tcPr>
            <w:tcW w:w="4703" w:type="dxa"/>
            <w:shd w:val="clear" w:color="auto" w:fill="F0F4FF"/>
          </w:tcPr>
          <w:p w14:paraId="021F7FE8" w14:textId="77777777" w:rsidR="00633B9E" w:rsidRDefault="00000000">
            <w:r>
              <w:rPr>
                <w:sz w:val="18"/>
                <w:szCs w:val="18"/>
              </w:rPr>
              <w:t>Under RBI Master Direction on KYC (updated 2023), a small account requires a self-certified photograph and one officially valid document. Maximum balance: ₹50,000.</w:t>
            </w:r>
          </w:p>
        </w:tc>
      </w:tr>
      <w:tr w:rsidR="00633B9E" w14:paraId="021F7FEC" w14:textId="77777777">
        <w:trPr>
          <w:jc w:val="center"/>
        </w:trPr>
        <w:tc>
          <w:tcPr>
            <w:tcW w:w="4703" w:type="dxa"/>
            <w:shd w:val="clear" w:color="auto" w:fill="FFFFFF"/>
          </w:tcPr>
          <w:p w14:paraId="021F7FEA" w14:textId="77777777" w:rsidR="00633B9E" w:rsidRDefault="00000000">
            <w:r>
              <w:rPr>
                <w:sz w:val="18"/>
                <w:szCs w:val="18"/>
              </w:rPr>
              <w:t>What does SEBI LODR Regulation 17 require for board composition?</w:t>
            </w:r>
          </w:p>
        </w:tc>
        <w:tc>
          <w:tcPr>
            <w:tcW w:w="4703" w:type="dxa"/>
            <w:shd w:val="clear" w:color="auto" w:fill="FFFFFF"/>
          </w:tcPr>
          <w:p w14:paraId="021F7FEB" w14:textId="77777777" w:rsidR="00633B9E" w:rsidRDefault="00000000">
            <w:r>
              <w:rPr>
                <w:sz w:val="18"/>
                <w:szCs w:val="18"/>
              </w:rPr>
              <w:t>SEBI LODR Regulation 17 mandates at least 50% independent directors on the board of listed entities. If the chairperson is non-executive, at least one-third must be independent.</w:t>
            </w:r>
          </w:p>
        </w:tc>
      </w:tr>
    </w:tbl>
    <w:p w14:paraId="021F8019" w14:textId="77777777" w:rsidR="00633B9E" w:rsidRDefault="00000000">
      <w:r>
        <w:br w:type="page"/>
      </w:r>
    </w:p>
    <w:p w14:paraId="021F801A" w14:textId="77777777" w:rsidR="00633B9E" w:rsidRDefault="00000000">
      <w:pPr>
        <w:shd w:val="clear" w:color="auto" w:fill="1A3A5C"/>
      </w:pPr>
      <w:r>
        <w:rPr>
          <w:b/>
          <w:bCs/>
          <w:color w:val="FFFFFF"/>
          <w:sz w:val="28"/>
          <w:szCs w:val="28"/>
        </w:rPr>
        <w:lastRenderedPageBreak/>
        <w:t xml:space="preserve">  Variant 4 — Clinical Protocol Lookup Assistant  </w:t>
      </w:r>
    </w:p>
    <w:p w14:paraId="021F801B" w14:textId="77777777" w:rsidR="00633B9E" w:rsidRDefault="00000000">
      <w:pPr>
        <w:shd w:val="clear" w:color="auto" w:fill="2E5090"/>
      </w:pPr>
      <w:r>
        <w:rPr>
          <w:i/>
          <w:iCs/>
          <w:color w:val="DDEEFF"/>
          <w:sz w:val="21"/>
          <w:szCs w:val="21"/>
        </w:rPr>
        <w:t xml:space="preserve">  Hospital Systems / Pharma / MedTech — Clinical Decision Support  </w:t>
      </w:r>
    </w:p>
    <w:p w14:paraId="021F801C" w14:textId="77777777" w:rsidR="00633B9E" w:rsidRDefault="00633B9E">
      <w:pPr>
        <w:spacing w:before="20" w:after="40"/>
      </w:pPr>
    </w:p>
    <w:p w14:paraId="021F801D" w14:textId="77777777" w:rsidR="00633B9E" w:rsidRDefault="00000000">
      <w:pPr>
        <w:spacing w:after="120"/>
        <w:ind w:left="170"/>
      </w:pPr>
      <w:r>
        <w:rPr>
          <w:sz w:val="21"/>
          <w:szCs w:val="21"/>
        </w:rPr>
        <w:t>A hospital network wants to help clinicians, nurses, and pharmacists quickly look up treatment protocols, drug dosage guidelines, and clinical pathways without leaving their workflow. The LLM is fine-tuned to answer protocol-specific questions accurately from clinical literature.</w:t>
      </w:r>
    </w:p>
    <w:p w14:paraId="021F801E" w14:textId="77777777" w:rsidR="00633B9E" w:rsidRDefault="00000000">
      <w:pPr>
        <w:shd w:val="clear" w:color="auto" w:fill="FFE8E8"/>
        <w:spacing w:before="40" w:after="100"/>
        <w:ind w:left="283" w:right="283"/>
      </w:pPr>
      <w:r>
        <w:rPr>
          <w:i/>
          <w:iCs/>
          <w:sz w:val="20"/>
          <w:szCs w:val="20"/>
        </w:rPr>
        <w:t>Disclaimer requirement: every generated response must include 'This output is for educational/reference purposes only and must not replace professional clinical judgment.' Add this disclaimer to all instruction-response pairs in your dataset.</w:t>
      </w:r>
    </w:p>
    <w:p w14:paraId="021F801F" w14:textId="77777777" w:rsidR="00633B9E" w:rsidRDefault="00000000">
      <w:pPr>
        <w:pStyle w:val="Heading2"/>
      </w:pPr>
      <w:r>
        <w:rPr>
          <w:color w:val="1A3A5C"/>
        </w:rPr>
        <w:t>Domain Data Sources</w:t>
      </w:r>
    </w:p>
    <w:p w14:paraId="021F8020"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who.int/publications </w:t>
      </w:r>
      <w:r>
        <w:rPr>
          <w:color w:val="000000"/>
          <w:sz w:val="21"/>
          <w:szCs w:val="21"/>
        </w:rPr>
        <w:t>WHO Clinical Guidelines → filter by 'guidelines' → download PDFs</w:t>
      </w:r>
    </w:p>
    <w:p w14:paraId="021F8021"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cdc.gov/</w:t>
      </w:r>
      <w:proofErr w:type="spellStart"/>
      <w:r>
        <w:rPr>
          <w:b/>
          <w:bCs/>
          <w:color w:val="000000"/>
          <w:sz w:val="21"/>
          <w:szCs w:val="21"/>
        </w:rPr>
        <w:t>mmwr</w:t>
      </w:r>
      <w:proofErr w:type="spellEnd"/>
      <w:r>
        <w:rPr>
          <w:b/>
          <w:bCs/>
          <w:color w:val="000000"/>
          <w:sz w:val="21"/>
          <w:szCs w:val="21"/>
        </w:rPr>
        <w:t xml:space="preserve"> </w:t>
      </w:r>
      <w:r>
        <w:rPr>
          <w:color w:val="000000"/>
          <w:sz w:val="21"/>
          <w:szCs w:val="21"/>
        </w:rPr>
        <w:t>CDC Clinical Recommendations → downloadable clinical PDFs</w:t>
      </w:r>
    </w:p>
    <w:p w14:paraId="021F8022"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nice.org.uk/guidance </w:t>
      </w:r>
      <w:r>
        <w:rPr>
          <w:color w:val="000000"/>
          <w:sz w:val="21"/>
          <w:szCs w:val="21"/>
        </w:rPr>
        <w:t>NICE Guidelines (UK) → clinical guidelines freely downloadable</w:t>
      </w:r>
    </w:p>
    <w:p w14:paraId="021F8023"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icmr.gov.in </w:t>
      </w:r>
      <w:r>
        <w:rPr>
          <w:color w:val="000000"/>
          <w:sz w:val="21"/>
          <w:szCs w:val="21"/>
        </w:rPr>
        <w:t>ICMR Guidelines → Guidelines &amp; Publications</w:t>
      </w:r>
    </w:p>
    <w:p w14:paraId="021F8024" w14:textId="77777777" w:rsidR="00633B9E" w:rsidRDefault="00000000">
      <w:pPr>
        <w:numPr>
          <w:ilvl w:val="0"/>
          <w:numId w:val="1"/>
        </w:numPr>
        <w:pBdr>
          <w:top w:val="nil"/>
          <w:left w:val="nil"/>
          <w:bottom w:val="nil"/>
          <w:right w:val="nil"/>
          <w:between w:val="nil"/>
        </w:pBdr>
        <w:spacing w:after="40"/>
        <w:ind w:left="283"/>
      </w:pPr>
      <w:r>
        <w:rPr>
          <w:b/>
          <w:bCs/>
          <w:color w:val="000000"/>
          <w:sz w:val="21"/>
          <w:szCs w:val="21"/>
        </w:rPr>
        <w:t xml:space="preserve">pubchem.ncbi.nlm.nih.gov </w:t>
      </w:r>
      <w:r>
        <w:rPr>
          <w:color w:val="000000"/>
          <w:sz w:val="21"/>
          <w:szCs w:val="21"/>
        </w:rPr>
        <w:t>PubChem Drug Data → compound data and drug monographs</w:t>
      </w:r>
    </w:p>
    <w:p w14:paraId="021F8025" w14:textId="77777777" w:rsidR="00633B9E" w:rsidRDefault="00633B9E">
      <w:pPr>
        <w:spacing w:before="20" w:after="40"/>
      </w:pPr>
    </w:p>
    <w:p w14:paraId="021F8026" w14:textId="77777777" w:rsidR="00633B9E" w:rsidRDefault="00000000">
      <w:pPr>
        <w:pStyle w:val="Heading2"/>
      </w:pPr>
      <w:r>
        <w:rPr>
          <w:color w:val="1A3A5C"/>
        </w:rPr>
        <w:t>Sample Instruction Pairs</w:t>
      </w:r>
    </w:p>
    <w:tbl>
      <w:tblPr>
        <w:tblStyle w:val="a5"/>
        <w:tblW w:w="9406" w:type="dxa"/>
        <w:jc w:val="center"/>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00" w:firstRow="0" w:lastRow="0" w:firstColumn="0" w:lastColumn="0" w:noHBand="0" w:noVBand="1"/>
      </w:tblPr>
      <w:tblGrid>
        <w:gridCol w:w="4703"/>
        <w:gridCol w:w="4703"/>
      </w:tblGrid>
      <w:tr w:rsidR="00633B9E" w14:paraId="021F8029" w14:textId="77777777">
        <w:trPr>
          <w:jc w:val="center"/>
        </w:trPr>
        <w:tc>
          <w:tcPr>
            <w:tcW w:w="4703" w:type="dxa"/>
            <w:shd w:val="clear" w:color="auto" w:fill="1F3864"/>
          </w:tcPr>
          <w:p w14:paraId="021F8027" w14:textId="77777777" w:rsidR="00633B9E" w:rsidRDefault="00000000">
            <w:pPr>
              <w:jc w:val="center"/>
            </w:pPr>
            <w:r>
              <w:rPr>
                <w:b/>
                <w:bCs/>
                <w:color w:val="FFFFFF"/>
                <w:sz w:val="18"/>
                <w:szCs w:val="18"/>
              </w:rPr>
              <w:t>instruction</w:t>
            </w:r>
          </w:p>
        </w:tc>
        <w:tc>
          <w:tcPr>
            <w:tcW w:w="4703" w:type="dxa"/>
            <w:shd w:val="clear" w:color="auto" w:fill="1F3864"/>
          </w:tcPr>
          <w:p w14:paraId="021F8028" w14:textId="77777777" w:rsidR="00633B9E" w:rsidRDefault="00000000">
            <w:pPr>
              <w:jc w:val="center"/>
            </w:pPr>
            <w:r>
              <w:rPr>
                <w:b/>
                <w:bCs/>
                <w:color w:val="FFFFFF"/>
                <w:sz w:val="18"/>
                <w:szCs w:val="18"/>
              </w:rPr>
              <w:t>response</w:t>
            </w:r>
          </w:p>
        </w:tc>
      </w:tr>
      <w:tr w:rsidR="00633B9E" w14:paraId="021F802C" w14:textId="77777777">
        <w:trPr>
          <w:jc w:val="center"/>
        </w:trPr>
        <w:tc>
          <w:tcPr>
            <w:tcW w:w="4703" w:type="dxa"/>
            <w:shd w:val="clear" w:color="auto" w:fill="FFFFFF"/>
          </w:tcPr>
          <w:p w14:paraId="021F802A" w14:textId="77777777" w:rsidR="00633B9E" w:rsidRDefault="00000000">
            <w:r>
              <w:rPr>
                <w:sz w:val="18"/>
                <w:szCs w:val="18"/>
              </w:rPr>
              <w:t>What is the first-line treatment for uncomplicated community-acquired pneumonia in adults?</w:t>
            </w:r>
          </w:p>
        </w:tc>
        <w:tc>
          <w:tcPr>
            <w:tcW w:w="4703" w:type="dxa"/>
            <w:shd w:val="clear" w:color="auto" w:fill="FFFFFF"/>
          </w:tcPr>
          <w:p w14:paraId="021F802B" w14:textId="77777777" w:rsidR="00633B9E" w:rsidRDefault="00000000">
            <w:r>
              <w:rPr>
                <w:sz w:val="18"/>
                <w:szCs w:val="18"/>
              </w:rPr>
              <w:t>Per WHO guidelines, first-line treatment for uncomplicated CAP is Amoxicillin 500 mg orally 3×/day for 5 days. For penicillin-allergic patients: Doxycycline 100 mg 2×/day. [Educational reference only]</w:t>
            </w:r>
          </w:p>
        </w:tc>
      </w:tr>
      <w:tr w:rsidR="00633B9E" w14:paraId="021F802F" w14:textId="77777777">
        <w:trPr>
          <w:jc w:val="center"/>
        </w:trPr>
        <w:tc>
          <w:tcPr>
            <w:tcW w:w="4703" w:type="dxa"/>
            <w:shd w:val="clear" w:color="auto" w:fill="F0F4FF"/>
          </w:tcPr>
          <w:p w14:paraId="021F802D" w14:textId="77777777" w:rsidR="00633B9E" w:rsidRDefault="00000000">
            <w:r>
              <w:rPr>
                <w:sz w:val="18"/>
                <w:szCs w:val="18"/>
              </w:rPr>
              <w:t>What is the recommended dosing interval for Vancomycin in renal impairment?</w:t>
            </w:r>
          </w:p>
        </w:tc>
        <w:tc>
          <w:tcPr>
            <w:tcW w:w="4703" w:type="dxa"/>
            <w:shd w:val="clear" w:color="auto" w:fill="F0F4FF"/>
          </w:tcPr>
          <w:p w14:paraId="021F802E" w14:textId="77777777" w:rsidR="00633B9E" w:rsidRDefault="00000000">
            <w:r>
              <w:rPr>
                <w:sz w:val="18"/>
                <w:szCs w:val="18"/>
              </w:rPr>
              <w:t>For CrCl &lt; 30 mL/min, extend Vancomycin interval to every 24–48 hours with TDM monitoring. Target trough: 10–20 mcg/</w:t>
            </w:r>
            <w:proofErr w:type="spellStart"/>
            <w:r>
              <w:rPr>
                <w:sz w:val="18"/>
                <w:szCs w:val="18"/>
              </w:rPr>
              <w:t>mL.</w:t>
            </w:r>
            <w:proofErr w:type="spellEnd"/>
            <w:r>
              <w:rPr>
                <w:sz w:val="18"/>
                <w:szCs w:val="18"/>
              </w:rPr>
              <w:t xml:space="preserve"> Consult clinical pharmacist. [Educational reference only]</w:t>
            </w:r>
          </w:p>
        </w:tc>
      </w:tr>
      <w:tr w:rsidR="00633B9E" w14:paraId="021F8032" w14:textId="77777777">
        <w:trPr>
          <w:jc w:val="center"/>
        </w:trPr>
        <w:tc>
          <w:tcPr>
            <w:tcW w:w="4703" w:type="dxa"/>
            <w:shd w:val="clear" w:color="auto" w:fill="FFFFFF"/>
          </w:tcPr>
          <w:p w14:paraId="021F8030" w14:textId="77777777" w:rsidR="00633B9E" w:rsidRDefault="00000000">
            <w:r>
              <w:rPr>
                <w:sz w:val="18"/>
                <w:szCs w:val="18"/>
              </w:rPr>
              <w:t>What are the ICMR criteria for initiating antiretroviral therapy in adults with HIV?</w:t>
            </w:r>
          </w:p>
        </w:tc>
        <w:tc>
          <w:tcPr>
            <w:tcW w:w="4703" w:type="dxa"/>
            <w:shd w:val="clear" w:color="auto" w:fill="FFFFFF"/>
          </w:tcPr>
          <w:p w14:paraId="021F8031" w14:textId="77777777" w:rsidR="00633B9E" w:rsidRDefault="00000000">
            <w:r>
              <w:rPr>
                <w:sz w:val="18"/>
                <w:szCs w:val="18"/>
              </w:rPr>
              <w:t>Per ICMR guidelines, ART is initiated when CD4 count &lt; 350 cells/mm³ or at any CD4 count with WHO Stage 3/4 disease, TB co-infection, or HBV co-infection. [Educational reference only]</w:t>
            </w:r>
          </w:p>
        </w:tc>
      </w:tr>
    </w:tbl>
    <w:p w14:paraId="021F805F" w14:textId="4B56992E" w:rsidR="00FC0D1B" w:rsidRDefault="00FC0D1B"/>
    <w:p w14:paraId="543F6947" w14:textId="77777777" w:rsidR="00FC0D1B" w:rsidRDefault="00FC0D1B">
      <w:r>
        <w:br w:type="page"/>
      </w:r>
    </w:p>
    <w:p w14:paraId="6C6DCCCC" w14:textId="77777777" w:rsidR="00633B9E" w:rsidRDefault="00633B9E"/>
    <w:p w14:paraId="021F8060" w14:textId="77777777" w:rsidR="00633B9E" w:rsidRDefault="00000000">
      <w:pPr>
        <w:shd w:val="clear" w:color="auto" w:fill="1A3A5C"/>
      </w:pPr>
      <w:r>
        <w:rPr>
          <w:b/>
          <w:bCs/>
          <w:color w:val="FFFFFF"/>
          <w:sz w:val="28"/>
          <w:szCs w:val="28"/>
        </w:rPr>
        <w:t xml:space="preserve">  Variant 5 — IT Helpdesk &amp; Incident Resolution Bot  </w:t>
      </w:r>
    </w:p>
    <w:p w14:paraId="021F8061" w14:textId="77777777" w:rsidR="00633B9E" w:rsidRDefault="00000000">
      <w:pPr>
        <w:shd w:val="clear" w:color="auto" w:fill="2E5090"/>
      </w:pPr>
      <w:r>
        <w:rPr>
          <w:i/>
          <w:iCs/>
          <w:color w:val="DDEEFF"/>
          <w:sz w:val="21"/>
          <w:szCs w:val="21"/>
        </w:rPr>
        <w:t xml:space="preserve">  Enterprise IT / ITSM / DevOps — Internal Support Automation  </w:t>
      </w:r>
    </w:p>
    <w:p w14:paraId="021F8062" w14:textId="77777777" w:rsidR="00633B9E" w:rsidRDefault="00633B9E">
      <w:pPr>
        <w:spacing w:before="20" w:after="40"/>
      </w:pPr>
    </w:p>
    <w:p w14:paraId="021F8063" w14:textId="77777777" w:rsidR="00633B9E" w:rsidRDefault="00000000">
      <w:pPr>
        <w:spacing w:after="120"/>
        <w:ind w:left="170"/>
      </w:pPr>
      <w:r>
        <w:rPr>
          <w:sz w:val="21"/>
          <w:szCs w:val="21"/>
        </w:rPr>
        <w:t>A large enterprise IT team manages thousands of endpoints and applications, generating frequent Tier-1 and Tier-2 helpdesk tickets. The ITSM team wants an internal LLM fine-tuned on ITIL documentation, SOPs, and runbooks — generating structured resolution procedures aligned with company policy.</w:t>
      </w:r>
    </w:p>
    <w:p w14:paraId="021F8064" w14:textId="77777777" w:rsidR="00633B9E" w:rsidRDefault="00000000">
      <w:pPr>
        <w:pStyle w:val="Heading2"/>
      </w:pPr>
      <w:r>
        <w:rPr>
          <w:color w:val="1A3A5C"/>
        </w:rPr>
        <w:t>Domain Data Sources</w:t>
      </w:r>
    </w:p>
    <w:p w14:paraId="021F8065"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axelos.com </w:t>
      </w:r>
      <w:r>
        <w:rPr>
          <w:color w:val="000000"/>
          <w:sz w:val="21"/>
          <w:szCs w:val="21"/>
        </w:rPr>
        <w:t>ITIL 4 Foundation Guides → ITIL publications (free overview PDFs and sample chapters)</w:t>
      </w:r>
    </w:p>
    <w:p w14:paraId="021F8066"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learn.microsoft.com </w:t>
      </w:r>
      <w:r>
        <w:rPr>
          <w:color w:val="000000"/>
          <w:sz w:val="21"/>
          <w:szCs w:val="21"/>
        </w:rPr>
        <w:t>Microsoft Endpoint Manager Docs → Endpoint Manager / Intune documentation</w:t>
      </w:r>
    </w:p>
    <w:p w14:paraId="021F8067"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docs.servicenow.com </w:t>
      </w:r>
      <w:r>
        <w:rPr>
          <w:color w:val="000000"/>
          <w:sz w:val="21"/>
          <w:szCs w:val="21"/>
        </w:rPr>
        <w:t>ServiceNow Public Documentation → IT Operations guides</w:t>
      </w:r>
    </w:p>
    <w:p w14:paraId="021F8068"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access.redhat.com/documentation </w:t>
      </w:r>
      <w:r>
        <w:rPr>
          <w:color w:val="000000"/>
          <w:sz w:val="21"/>
          <w:szCs w:val="21"/>
        </w:rPr>
        <w:t>RedHat RHEL System Admin Guide → System Administration Guide PDFs</w:t>
      </w:r>
    </w:p>
    <w:p w14:paraId="021F8069" w14:textId="77777777" w:rsidR="00633B9E" w:rsidRDefault="00000000">
      <w:pPr>
        <w:numPr>
          <w:ilvl w:val="0"/>
          <w:numId w:val="1"/>
        </w:numPr>
        <w:pBdr>
          <w:top w:val="nil"/>
          <w:left w:val="nil"/>
          <w:bottom w:val="nil"/>
          <w:right w:val="nil"/>
          <w:between w:val="nil"/>
        </w:pBdr>
        <w:spacing w:after="40"/>
        <w:ind w:left="283"/>
      </w:pPr>
      <w:r>
        <w:rPr>
          <w:b/>
          <w:bCs/>
          <w:color w:val="000000"/>
          <w:sz w:val="21"/>
          <w:szCs w:val="21"/>
        </w:rPr>
        <w:t xml:space="preserve">ubuntu.com/server/docs </w:t>
      </w:r>
      <w:r>
        <w:rPr>
          <w:color w:val="000000"/>
          <w:sz w:val="21"/>
          <w:szCs w:val="21"/>
        </w:rPr>
        <w:t>Ubuntu Server Documentation → complete server administration guide</w:t>
      </w:r>
    </w:p>
    <w:p w14:paraId="021F806A" w14:textId="77777777" w:rsidR="00633B9E" w:rsidRDefault="00633B9E">
      <w:pPr>
        <w:spacing w:before="20" w:after="40"/>
      </w:pPr>
    </w:p>
    <w:p w14:paraId="021F806B" w14:textId="77777777" w:rsidR="00633B9E" w:rsidRDefault="00000000">
      <w:pPr>
        <w:pStyle w:val="Heading2"/>
      </w:pPr>
      <w:r>
        <w:rPr>
          <w:color w:val="1A3A5C"/>
        </w:rPr>
        <w:t>Sample Instruction Pairs</w:t>
      </w:r>
    </w:p>
    <w:tbl>
      <w:tblPr>
        <w:tblStyle w:val="a7"/>
        <w:tblW w:w="9406" w:type="dxa"/>
        <w:jc w:val="center"/>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00" w:firstRow="0" w:lastRow="0" w:firstColumn="0" w:lastColumn="0" w:noHBand="0" w:noVBand="1"/>
      </w:tblPr>
      <w:tblGrid>
        <w:gridCol w:w="4703"/>
        <w:gridCol w:w="4703"/>
      </w:tblGrid>
      <w:tr w:rsidR="00633B9E" w14:paraId="021F806E" w14:textId="77777777">
        <w:trPr>
          <w:jc w:val="center"/>
        </w:trPr>
        <w:tc>
          <w:tcPr>
            <w:tcW w:w="4703" w:type="dxa"/>
            <w:shd w:val="clear" w:color="auto" w:fill="1F3864"/>
          </w:tcPr>
          <w:p w14:paraId="021F806C" w14:textId="77777777" w:rsidR="00633B9E" w:rsidRDefault="00000000">
            <w:pPr>
              <w:jc w:val="center"/>
            </w:pPr>
            <w:r>
              <w:rPr>
                <w:b/>
                <w:bCs/>
                <w:color w:val="FFFFFF"/>
                <w:sz w:val="18"/>
                <w:szCs w:val="18"/>
              </w:rPr>
              <w:t>instruction</w:t>
            </w:r>
          </w:p>
        </w:tc>
        <w:tc>
          <w:tcPr>
            <w:tcW w:w="4703" w:type="dxa"/>
            <w:shd w:val="clear" w:color="auto" w:fill="1F3864"/>
          </w:tcPr>
          <w:p w14:paraId="021F806D" w14:textId="77777777" w:rsidR="00633B9E" w:rsidRDefault="00000000">
            <w:pPr>
              <w:jc w:val="center"/>
            </w:pPr>
            <w:r>
              <w:rPr>
                <w:b/>
                <w:bCs/>
                <w:color w:val="FFFFFF"/>
                <w:sz w:val="18"/>
                <w:szCs w:val="18"/>
              </w:rPr>
              <w:t>response</w:t>
            </w:r>
          </w:p>
        </w:tc>
      </w:tr>
      <w:tr w:rsidR="00633B9E" w14:paraId="021F8071" w14:textId="77777777">
        <w:trPr>
          <w:jc w:val="center"/>
        </w:trPr>
        <w:tc>
          <w:tcPr>
            <w:tcW w:w="4703" w:type="dxa"/>
            <w:shd w:val="clear" w:color="auto" w:fill="FFFFFF"/>
          </w:tcPr>
          <w:p w14:paraId="021F806F" w14:textId="77777777" w:rsidR="00633B9E" w:rsidRDefault="00000000">
            <w:r>
              <w:rPr>
                <w:sz w:val="18"/>
                <w:szCs w:val="18"/>
              </w:rPr>
              <w:t>User cannot connect to corporate VPN. Error: 'Authentication failure' on Cisco AnyConnect.</w:t>
            </w:r>
          </w:p>
        </w:tc>
        <w:tc>
          <w:tcPr>
            <w:tcW w:w="4703" w:type="dxa"/>
            <w:shd w:val="clear" w:color="auto" w:fill="FFFFFF"/>
          </w:tcPr>
          <w:p w14:paraId="021F8070" w14:textId="77777777" w:rsidR="00633B9E" w:rsidRDefault="00000000">
            <w:r>
              <w:rPr>
                <w:sz w:val="18"/>
                <w:szCs w:val="18"/>
              </w:rPr>
              <w:t>1. Verify AD credentials and MFA token.</w:t>
            </w:r>
            <w:r>
              <w:rPr>
                <w:sz w:val="18"/>
                <w:szCs w:val="18"/>
              </w:rPr>
              <w:br/>
              <w:t>2. Flush DNS: ipconfig /</w:t>
            </w:r>
            <w:proofErr w:type="spellStart"/>
            <w:r>
              <w:rPr>
                <w:sz w:val="18"/>
                <w:szCs w:val="18"/>
              </w:rPr>
              <w:t>flushdns</w:t>
            </w:r>
            <w:proofErr w:type="spellEnd"/>
            <w:r>
              <w:rPr>
                <w:sz w:val="18"/>
                <w:szCs w:val="18"/>
              </w:rPr>
              <w:t>.</w:t>
            </w:r>
            <w:r>
              <w:rPr>
                <w:sz w:val="18"/>
                <w:szCs w:val="18"/>
              </w:rPr>
              <w:br/>
              <w:t>3. Reinstall AnyConnect profile if mismatch.</w:t>
            </w:r>
            <w:r>
              <w:rPr>
                <w:sz w:val="18"/>
                <w:szCs w:val="18"/>
              </w:rPr>
              <w:br/>
              <w:t>4. Escalate to network team if unresolved after 30 min.</w:t>
            </w:r>
          </w:p>
        </w:tc>
      </w:tr>
      <w:tr w:rsidR="00633B9E" w14:paraId="021F8074" w14:textId="77777777">
        <w:trPr>
          <w:jc w:val="center"/>
        </w:trPr>
        <w:tc>
          <w:tcPr>
            <w:tcW w:w="4703" w:type="dxa"/>
            <w:shd w:val="clear" w:color="auto" w:fill="F0F4FF"/>
          </w:tcPr>
          <w:p w14:paraId="021F8072" w14:textId="77777777" w:rsidR="00633B9E" w:rsidRDefault="00000000">
            <w:r>
              <w:rPr>
                <w:sz w:val="18"/>
                <w:szCs w:val="18"/>
              </w:rPr>
              <w:t>User account locked after 3 failed login attempts. How to unlock in Active Directory?</w:t>
            </w:r>
          </w:p>
        </w:tc>
        <w:tc>
          <w:tcPr>
            <w:tcW w:w="4703" w:type="dxa"/>
            <w:shd w:val="clear" w:color="auto" w:fill="F0F4FF"/>
          </w:tcPr>
          <w:p w14:paraId="021F8073" w14:textId="77777777" w:rsidR="00633B9E" w:rsidRDefault="00000000">
            <w:r>
              <w:rPr>
                <w:sz w:val="18"/>
                <w:szCs w:val="18"/>
              </w:rPr>
              <w:t>1. Open ADUC → search user → Properties → Account tab.</w:t>
            </w:r>
            <w:r>
              <w:rPr>
                <w:sz w:val="18"/>
                <w:szCs w:val="18"/>
              </w:rPr>
              <w:br/>
              <w:t>2. Uncheck 'Account is locked out'.</w:t>
            </w:r>
            <w:r>
              <w:rPr>
                <w:sz w:val="18"/>
                <w:szCs w:val="18"/>
              </w:rPr>
              <w:br/>
              <w:t>3. Reset password if requested.</w:t>
            </w:r>
            <w:r>
              <w:rPr>
                <w:sz w:val="18"/>
                <w:szCs w:val="18"/>
              </w:rPr>
              <w:br/>
              <w:t>4. Log incident in ServiceNow with resolution notes.</w:t>
            </w:r>
          </w:p>
        </w:tc>
      </w:tr>
      <w:tr w:rsidR="00633B9E" w14:paraId="021F8077" w14:textId="77777777">
        <w:trPr>
          <w:jc w:val="center"/>
        </w:trPr>
        <w:tc>
          <w:tcPr>
            <w:tcW w:w="4703" w:type="dxa"/>
            <w:shd w:val="clear" w:color="auto" w:fill="FFFFFF"/>
          </w:tcPr>
          <w:p w14:paraId="021F8075" w14:textId="77777777" w:rsidR="00633B9E" w:rsidRDefault="00000000">
            <w:r>
              <w:rPr>
                <w:sz w:val="18"/>
                <w:szCs w:val="18"/>
              </w:rPr>
              <w:t>Disk usage on Linux server at 98%. Which command identifies largest directories?</w:t>
            </w:r>
          </w:p>
        </w:tc>
        <w:tc>
          <w:tcPr>
            <w:tcW w:w="4703" w:type="dxa"/>
            <w:shd w:val="clear" w:color="auto" w:fill="FFFFFF"/>
          </w:tcPr>
          <w:p w14:paraId="021F8076" w14:textId="77777777" w:rsidR="00633B9E" w:rsidRDefault="00000000">
            <w:r>
              <w:rPr>
                <w:sz w:val="18"/>
                <w:szCs w:val="18"/>
              </w:rPr>
              <w:t>1. Run: du -</w:t>
            </w:r>
            <w:proofErr w:type="spellStart"/>
            <w:r>
              <w:rPr>
                <w:sz w:val="18"/>
                <w:szCs w:val="18"/>
              </w:rPr>
              <w:t>sh</w:t>
            </w:r>
            <w:proofErr w:type="spellEnd"/>
            <w:r>
              <w:rPr>
                <w:sz w:val="18"/>
                <w:szCs w:val="18"/>
              </w:rPr>
              <w:t xml:space="preserve"> /* 2&gt;/dev/null | sort -rh | head -20</w:t>
            </w:r>
            <w:r>
              <w:rPr>
                <w:sz w:val="18"/>
                <w:szCs w:val="18"/>
              </w:rPr>
              <w:br/>
              <w:t>2. Check /var/log for oversized logs.</w:t>
            </w:r>
            <w:r>
              <w:rPr>
                <w:sz w:val="18"/>
                <w:szCs w:val="18"/>
              </w:rPr>
              <w:br/>
              <w:t xml:space="preserve">3. Run: </w:t>
            </w:r>
            <w:proofErr w:type="spellStart"/>
            <w:r>
              <w:rPr>
                <w:sz w:val="18"/>
                <w:szCs w:val="18"/>
              </w:rPr>
              <w:t>journalctl</w:t>
            </w:r>
            <w:proofErr w:type="spellEnd"/>
            <w:r>
              <w:rPr>
                <w:sz w:val="18"/>
                <w:szCs w:val="18"/>
              </w:rPr>
              <w:t xml:space="preserve"> --vacuum-size=500M</w:t>
            </w:r>
            <w:r>
              <w:rPr>
                <w:sz w:val="18"/>
                <w:szCs w:val="18"/>
              </w:rPr>
              <w:br/>
              <w:t>4. Raise capacity alert if disk &gt; 90% after cleanup.</w:t>
            </w:r>
          </w:p>
        </w:tc>
      </w:tr>
    </w:tbl>
    <w:p w14:paraId="021F80A4" w14:textId="77777777" w:rsidR="00633B9E" w:rsidRDefault="00000000">
      <w:r>
        <w:br w:type="page"/>
      </w:r>
    </w:p>
    <w:p w14:paraId="021F80A5" w14:textId="77777777" w:rsidR="00633B9E" w:rsidRDefault="00000000">
      <w:pPr>
        <w:shd w:val="clear" w:color="auto" w:fill="1A3A5C"/>
      </w:pPr>
      <w:r>
        <w:rPr>
          <w:b/>
          <w:bCs/>
          <w:color w:val="FFFFFF"/>
          <w:sz w:val="28"/>
          <w:szCs w:val="28"/>
        </w:rPr>
        <w:lastRenderedPageBreak/>
        <w:t xml:space="preserve">  Variant 6 — Procurement &amp; Supply Chain Intelligence Assistant  </w:t>
      </w:r>
    </w:p>
    <w:p w14:paraId="021F80A6" w14:textId="77777777" w:rsidR="00633B9E" w:rsidRDefault="00000000">
      <w:pPr>
        <w:shd w:val="clear" w:color="auto" w:fill="2E5090"/>
      </w:pPr>
      <w:r>
        <w:rPr>
          <w:i/>
          <w:iCs/>
          <w:color w:val="DDEEFF"/>
          <w:sz w:val="21"/>
          <w:szCs w:val="21"/>
        </w:rPr>
        <w:t xml:space="preserve">  Manufacturing / Retail / Logistics — Enterprise Procurement AI  </w:t>
      </w:r>
    </w:p>
    <w:p w14:paraId="021F80A7" w14:textId="77777777" w:rsidR="00633B9E" w:rsidRDefault="00633B9E">
      <w:pPr>
        <w:spacing w:before="20" w:after="40"/>
      </w:pPr>
    </w:p>
    <w:p w14:paraId="021F80A8" w14:textId="77777777" w:rsidR="00633B9E" w:rsidRDefault="00000000">
      <w:pPr>
        <w:spacing w:after="120"/>
        <w:ind w:left="170"/>
      </w:pPr>
      <w:r>
        <w:rPr>
          <w:sz w:val="21"/>
          <w:szCs w:val="21"/>
        </w:rPr>
        <w:t>A manufacturing conglomerate wants to reduce procurement cycle time by enabling buyers and analysts to query procurement policies, supplier specifications, logistics SOPs, and quality standards in natural language. The LLM answers queries like 'What quality checks are mandatory before goods receipt?'</w:t>
      </w:r>
    </w:p>
    <w:p w14:paraId="021F80A9" w14:textId="77777777" w:rsidR="00633B9E" w:rsidRDefault="00000000">
      <w:pPr>
        <w:pStyle w:val="Heading2"/>
      </w:pPr>
      <w:r>
        <w:rPr>
          <w:color w:val="1A3A5C"/>
        </w:rPr>
        <w:t>Domain Data Sources</w:t>
      </w:r>
    </w:p>
    <w:p w14:paraId="021F80AA"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iso.org </w:t>
      </w:r>
      <w:r>
        <w:rPr>
          <w:color w:val="000000"/>
          <w:sz w:val="21"/>
          <w:szCs w:val="21"/>
        </w:rPr>
        <w:t>ISO 9001 Quality Management → ISO 9001 overview + public guidance documents</w:t>
      </w:r>
    </w:p>
    <w:p w14:paraId="021F80AB"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unece.org/trade/</w:t>
      </w:r>
      <w:proofErr w:type="spellStart"/>
      <w:r>
        <w:rPr>
          <w:b/>
          <w:bCs/>
          <w:color w:val="000000"/>
          <w:sz w:val="21"/>
          <w:szCs w:val="21"/>
        </w:rPr>
        <w:t>uncefact</w:t>
      </w:r>
      <w:proofErr w:type="spellEnd"/>
      <w:r>
        <w:rPr>
          <w:b/>
          <w:bCs/>
          <w:color w:val="000000"/>
          <w:sz w:val="21"/>
          <w:szCs w:val="21"/>
        </w:rPr>
        <w:t xml:space="preserve"> </w:t>
      </w:r>
      <w:r>
        <w:rPr>
          <w:color w:val="000000"/>
          <w:sz w:val="21"/>
          <w:szCs w:val="21"/>
        </w:rPr>
        <w:t>UN/CEFACT Trade Facilitation → procurement and trade facilitation guides</w:t>
      </w:r>
    </w:p>
    <w:p w14:paraId="021F80AC"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gs1.org/standards </w:t>
      </w:r>
      <w:r>
        <w:rPr>
          <w:color w:val="000000"/>
          <w:sz w:val="21"/>
          <w:szCs w:val="21"/>
        </w:rPr>
        <w:t>GS1 Supply Chain Standards → global supply chain standards documentation</w:t>
      </w:r>
    </w:p>
    <w:p w14:paraId="021F80AD" w14:textId="77777777" w:rsidR="00633B9E" w:rsidRDefault="00000000">
      <w:pPr>
        <w:numPr>
          <w:ilvl w:val="0"/>
          <w:numId w:val="1"/>
        </w:numPr>
        <w:pBdr>
          <w:top w:val="nil"/>
          <w:left w:val="nil"/>
          <w:bottom w:val="nil"/>
          <w:right w:val="nil"/>
          <w:between w:val="nil"/>
        </w:pBdr>
        <w:spacing w:after="0"/>
        <w:ind w:left="283"/>
      </w:pPr>
      <w:r>
        <w:rPr>
          <w:b/>
          <w:bCs/>
          <w:color w:val="000000"/>
          <w:sz w:val="21"/>
          <w:szCs w:val="21"/>
        </w:rPr>
        <w:t xml:space="preserve">gem.gov.in </w:t>
      </w:r>
      <w:r>
        <w:rPr>
          <w:color w:val="000000"/>
          <w:sz w:val="21"/>
          <w:szCs w:val="21"/>
        </w:rPr>
        <w:t>India GFR 2017 (Procurement Rules) → General Financial Rules 2017 PDF</w:t>
      </w:r>
    </w:p>
    <w:p w14:paraId="021F80AE" w14:textId="77777777" w:rsidR="00633B9E" w:rsidRDefault="00000000">
      <w:pPr>
        <w:numPr>
          <w:ilvl w:val="0"/>
          <w:numId w:val="1"/>
        </w:numPr>
        <w:pBdr>
          <w:top w:val="nil"/>
          <w:left w:val="nil"/>
          <w:bottom w:val="nil"/>
          <w:right w:val="nil"/>
          <w:between w:val="nil"/>
        </w:pBdr>
        <w:spacing w:after="40"/>
        <w:ind w:left="283"/>
      </w:pPr>
      <w:r>
        <w:rPr>
          <w:b/>
          <w:bCs/>
          <w:color w:val="000000"/>
          <w:sz w:val="21"/>
          <w:szCs w:val="21"/>
        </w:rPr>
        <w:t xml:space="preserve">ascm.org </w:t>
      </w:r>
      <w:r>
        <w:rPr>
          <w:color w:val="000000"/>
          <w:sz w:val="21"/>
          <w:szCs w:val="21"/>
        </w:rPr>
        <w:t>APICS/ASCM Body of Knowledge → supply chain management overview PDFs</w:t>
      </w:r>
    </w:p>
    <w:p w14:paraId="021F80AF" w14:textId="77777777" w:rsidR="00633B9E" w:rsidRDefault="00633B9E">
      <w:pPr>
        <w:spacing w:before="20" w:after="40"/>
      </w:pPr>
    </w:p>
    <w:p w14:paraId="021F80B0" w14:textId="77777777" w:rsidR="00633B9E" w:rsidRDefault="00000000">
      <w:pPr>
        <w:pStyle w:val="Heading2"/>
      </w:pPr>
      <w:r>
        <w:rPr>
          <w:color w:val="1A3A5C"/>
        </w:rPr>
        <w:t>Sample Instruction Pairs</w:t>
      </w:r>
    </w:p>
    <w:tbl>
      <w:tblPr>
        <w:tblStyle w:val="a9"/>
        <w:tblW w:w="9406" w:type="dxa"/>
        <w:jc w:val="center"/>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00" w:firstRow="0" w:lastRow="0" w:firstColumn="0" w:lastColumn="0" w:noHBand="0" w:noVBand="1"/>
      </w:tblPr>
      <w:tblGrid>
        <w:gridCol w:w="4703"/>
        <w:gridCol w:w="4703"/>
      </w:tblGrid>
      <w:tr w:rsidR="00633B9E" w14:paraId="021F80B3" w14:textId="77777777">
        <w:trPr>
          <w:jc w:val="center"/>
        </w:trPr>
        <w:tc>
          <w:tcPr>
            <w:tcW w:w="4703" w:type="dxa"/>
            <w:shd w:val="clear" w:color="auto" w:fill="1F3864"/>
          </w:tcPr>
          <w:p w14:paraId="021F80B1" w14:textId="77777777" w:rsidR="00633B9E" w:rsidRDefault="00000000">
            <w:pPr>
              <w:jc w:val="center"/>
            </w:pPr>
            <w:r>
              <w:rPr>
                <w:b/>
                <w:bCs/>
                <w:color w:val="FFFFFF"/>
                <w:sz w:val="18"/>
                <w:szCs w:val="18"/>
              </w:rPr>
              <w:t>instruction</w:t>
            </w:r>
          </w:p>
        </w:tc>
        <w:tc>
          <w:tcPr>
            <w:tcW w:w="4703" w:type="dxa"/>
            <w:shd w:val="clear" w:color="auto" w:fill="1F3864"/>
          </w:tcPr>
          <w:p w14:paraId="021F80B2" w14:textId="77777777" w:rsidR="00633B9E" w:rsidRDefault="00000000">
            <w:pPr>
              <w:jc w:val="center"/>
            </w:pPr>
            <w:r>
              <w:rPr>
                <w:b/>
                <w:bCs/>
                <w:color w:val="FFFFFF"/>
                <w:sz w:val="18"/>
                <w:szCs w:val="18"/>
              </w:rPr>
              <w:t>response</w:t>
            </w:r>
          </w:p>
        </w:tc>
      </w:tr>
      <w:tr w:rsidR="00633B9E" w14:paraId="021F80B6" w14:textId="77777777">
        <w:trPr>
          <w:jc w:val="center"/>
        </w:trPr>
        <w:tc>
          <w:tcPr>
            <w:tcW w:w="4703" w:type="dxa"/>
            <w:shd w:val="clear" w:color="auto" w:fill="FFFFFF"/>
          </w:tcPr>
          <w:p w14:paraId="021F80B4" w14:textId="77777777" w:rsidR="00633B9E" w:rsidRDefault="00000000">
            <w:r>
              <w:rPr>
                <w:sz w:val="18"/>
                <w:szCs w:val="18"/>
              </w:rPr>
              <w:t>What are the mandatory quality inspection criteria before accepting goods from a new supplier?</w:t>
            </w:r>
          </w:p>
        </w:tc>
        <w:tc>
          <w:tcPr>
            <w:tcW w:w="4703" w:type="dxa"/>
            <w:shd w:val="clear" w:color="auto" w:fill="FFFFFF"/>
          </w:tcPr>
          <w:p w14:paraId="021F80B5" w14:textId="77777777" w:rsidR="00633B9E" w:rsidRDefault="00000000">
            <w:r>
              <w:rPr>
                <w:sz w:val="18"/>
                <w:szCs w:val="18"/>
              </w:rPr>
              <w:t>Per ISO 9001 Clause 8.4.3: (1) verify against PO specifications, (2) dimensional and quantity inspection, (3) review COA and delivery documents, (4) sampling per AQL table, (5) raise GRN in ERP system.</w:t>
            </w:r>
          </w:p>
        </w:tc>
      </w:tr>
      <w:tr w:rsidR="00633B9E" w14:paraId="021F80B9" w14:textId="77777777">
        <w:trPr>
          <w:jc w:val="center"/>
        </w:trPr>
        <w:tc>
          <w:tcPr>
            <w:tcW w:w="4703" w:type="dxa"/>
            <w:shd w:val="clear" w:color="auto" w:fill="F0F4FF"/>
          </w:tcPr>
          <w:p w14:paraId="021F80B7" w14:textId="77777777" w:rsidR="00633B9E" w:rsidRDefault="00000000">
            <w:r>
              <w:rPr>
                <w:sz w:val="18"/>
                <w:szCs w:val="18"/>
              </w:rPr>
              <w:t>What is the maximum payment term for MSME suppliers under Indian procurement rules?</w:t>
            </w:r>
          </w:p>
        </w:tc>
        <w:tc>
          <w:tcPr>
            <w:tcW w:w="4703" w:type="dxa"/>
            <w:shd w:val="clear" w:color="auto" w:fill="F0F4FF"/>
          </w:tcPr>
          <w:p w14:paraId="021F80B8" w14:textId="77777777" w:rsidR="00633B9E" w:rsidRDefault="00000000">
            <w:r>
              <w:rPr>
                <w:sz w:val="18"/>
                <w:szCs w:val="18"/>
              </w:rPr>
              <w:t>Under MSMED Act 2006 and GFR 2017 Rule 144, payment must be made within 45 days of acceptance. Delayed payments attract compound interest at 3× the RBI bank rate.</w:t>
            </w:r>
          </w:p>
        </w:tc>
      </w:tr>
      <w:tr w:rsidR="00633B9E" w14:paraId="021F80BC" w14:textId="77777777">
        <w:trPr>
          <w:jc w:val="center"/>
        </w:trPr>
        <w:tc>
          <w:tcPr>
            <w:tcW w:w="4703" w:type="dxa"/>
            <w:shd w:val="clear" w:color="auto" w:fill="FFFFFF"/>
          </w:tcPr>
          <w:p w14:paraId="021F80BA" w14:textId="77777777" w:rsidR="00633B9E" w:rsidRDefault="00000000">
            <w:r>
              <w:rPr>
                <w:sz w:val="18"/>
                <w:szCs w:val="18"/>
              </w:rPr>
              <w:t>What documentation is required before raising a purchase order for a new vendor?</w:t>
            </w:r>
          </w:p>
        </w:tc>
        <w:tc>
          <w:tcPr>
            <w:tcW w:w="4703" w:type="dxa"/>
            <w:shd w:val="clear" w:color="auto" w:fill="FFFFFF"/>
          </w:tcPr>
          <w:p w14:paraId="021F80BB" w14:textId="77777777" w:rsidR="00633B9E" w:rsidRDefault="00000000">
            <w:r>
              <w:rPr>
                <w:sz w:val="18"/>
                <w:szCs w:val="18"/>
              </w:rPr>
              <w:t>Per GFR Rule 144: (1) vendor registration with GST certificate, (2) bank account verification, (3) past performance certificate if &gt; ₹10L, (4) quality assurance plan for technical items.</w:t>
            </w:r>
          </w:p>
        </w:tc>
      </w:tr>
    </w:tbl>
    <w:p w14:paraId="021F80BD" w14:textId="77777777" w:rsidR="00633B9E" w:rsidRDefault="00633B9E">
      <w:pPr>
        <w:spacing w:before="20" w:after="40"/>
      </w:pPr>
    </w:p>
    <w:p w14:paraId="021F80E9" w14:textId="387ABAC9" w:rsidR="00633B9E" w:rsidRDefault="00633B9E"/>
    <w:sectPr w:rsidR="00633B9E">
      <w:pgSz w:w="12240" w:h="15840"/>
      <w:pgMar w:top="1134" w:right="1417" w:bottom="1134"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4C752D8-EEF6-487C-BE68-9B338324C1E9}"/>
  </w:font>
  <w:font w:name="Cambria">
    <w:panose1 w:val="02040503050406030204"/>
    <w:charset w:val="00"/>
    <w:family w:val="roman"/>
    <w:pitch w:val="variable"/>
    <w:sig w:usb0="E00006FF" w:usb1="420024FF" w:usb2="02000000" w:usb3="00000000" w:csb0="0000019F" w:csb1="00000000"/>
    <w:embedRegular r:id="rId2" w:fontKey="{2C2B0FFB-B84C-4852-9738-741E911814F5}"/>
    <w:embedBold r:id="rId3" w:fontKey="{991AA2AC-6CB3-4BEA-81EC-E59685510437}"/>
    <w:embedItalic r:id="rId4" w:fontKey="{ED9EA4AB-A027-468D-89B0-8172A513CD28}"/>
  </w:font>
  <w:font w:name="Calibri">
    <w:panose1 w:val="020F0502020204030204"/>
    <w:charset w:val="00"/>
    <w:family w:val="swiss"/>
    <w:pitch w:val="variable"/>
    <w:sig w:usb0="E4002EFF" w:usb1="C200247B" w:usb2="00000009" w:usb3="00000000" w:csb0="000001FF" w:csb1="00000000"/>
    <w:embedRegular r:id="rId5" w:fontKey="{0A463C60-B466-4B0E-9648-D46F09F8FC12}"/>
    <w:embedBold r:id="rId6" w:fontKey="{CF03C9E2-69D8-4B92-ABED-BB9FA103DA47}"/>
    <w:embedItalic r:id="rId7" w:fontKey="{52505081-9F25-4895-84BD-E678BAF75CFD}"/>
    <w:embedBoldItalic r:id="rId8" w:fontKey="{3B618815-539D-4B70-89E0-57DEDF748AC7}"/>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1382"/>
    <w:multiLevelType w:val="multilevel"/>
    <w:tmpl w:val="321CBC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3B61071"/>
    <w:multiLevelType w:val="multilevel"/>
    <w:tmpl w:val="067C15EE"/>
    <w:lvl w:ilvl="0">
      <w:start w:val="1"/>
      <w:numFmt w:val="decimal"/>
      <w:lvlText w:val="%1."/>
      <w:lvlJc w:val="left"/>
      <w:pPr>
        <w:ind w:left="1060" w:hanging="360"/>
      </w:p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16cid:durableId="1358578726">
    <w:abstractNumId w:val="0"/>
  </w:num>
  <w:num w:numId="2" w16cid:durableId="1862669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B9E"/>
    <w:rsid w:val="0046078D"/>
    <w:rsid w:val="00633B9E"/>
    <w:rsid w:val="00B67AD4"/>
    <w:rsid w:val="00F90B1B"/>
    <w:rsid w:val="00FC0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7F30"/>
  <w15:docId w15:val="{1C540940-D801-4E0A-A98E-885522EA5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fCKzTukKx+EikTyNlVHGNp33sg==">CgMxLjA4AHIhMWliVkk1bm1QVGFRMmhtd1Q5NGplM3IwNjNPVmxxR0ZK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1488</Words>
  <Characters>8487</Characters>
  <Application>Microsoft Office Word</Application>
  <DocSecurity>0</DocSecurity>
  <Lines>70</Lines>
  <Paragraphs>19</Paragraphs>
  <ScaleCrop>false</ScaleCrop>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Omshree B</cp:lastModifiedBy>
  <cp:revision>4</cp:revision>
  <dcterms:created xsi:type="dcterms:W3CDTF">2026-05-05T14:27:00Z</dcterms:created>
  <dcterms:modified xsi:type="dcterms:W3CDTF">2026-05-05T14:59:00Z</dcterms:modified>
</cp:coreProperties>
</file>