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1A2233"/>
          <w:sz w:val="72"/>
          <w:szCs w:val="72"/>
        </w:rPr>
        <w:t xml:space="preserve">AEGIS</w:t>
      </w:r>
    </w:p>
    <w:p>
      <w:pPr>
        <w:spacing w:after="40"/>
      </w:pPr>
      <w:r>
        <w:rPr>
          <w:color w:val="2F5D8C"/>
          <w:sz w:val="44"/>
          <w:szCs w:val="44"/>
        </w:rPr>
        <w:t xml:space="preserve">Project Falcon</w:t>
      </w:r>
    </w:p>
    <w:p>
      <w:pPr>
        <w:spacing w:after="200"/>
      </w:pPr>
      <w:r>
        <w:rPr>
          <w:color w:val="586377"/>
          <w:sz w:val="23"/>
          <w:szCs w:val="23"/>
        </w:rPr>
        <w:t xml:space="preserve">A complete demo story you act out end-to-end — and a test of every feature</w:t>
      </w:r>
    </w:p>
    <w:p>
      <w:pPr>
        <w:pBdr>
          <w:bottom w:val="single" w:color="8A6D30" w:sz="8"/>
        </w:pBdr>
        <w:spacing w:after="160"/>
      </w:pPr>
    </w:p>
    <w:p>
      <w:pPr>
        <w:spacing w:after="120" w:before="0"/>
      </w:pPr>
      <w:r>
        <w:t xml:space="preserve">Walk this like a movie script. Every input you need is provided in the boxes — the whistleblower letter to paste, the custodian emails, the AI-review prompt, the questions to ask the copilot. Following the story is the test: each Act lists what to click and what you should see. It works on real M365 data (coherent, because it matches the seeded mailboxes) and in mock mode (representative data). Live Claude answers turn on when ANTHROPIC_API_KEY is set; otherwise the same steps run a deterministic engine.</w:t>
      </w:r>
    </w:p>
    <w:p>
      <w:r>
        <w:br w:type="page"/>
      </w:r>
    </w:p>
    <w:p>
      <w:pPr>
        <w:pStyle w:val="Heading1"/>
        <w:spacing w:after="110" w:before="240"/>
      </w:pPr>
      <w:r>
        <w:t xml:space="preserve">The case, in one paragraph</w:t>
      </w:r>
    </w:p>
    <w:p>
      <w:pPr>
        <w:spacing w:after="120" w:before="0"/>
      </w:pPr>
      <w:r>
        <w:t xml:space="preserve">Your company is re-papering its master services agreement (the “Snowflake MSA”) with a vendor, </w:t>
      </w:r>
      <w:r>
        <w:rPr>
          <w:b/>
          <w:bCs/>
        </w:rPr>
        <w:t xml:space="preserve">vendorx</w:t>
      </w:r>
      <w:r>
        <w:t xml:space="preserve">. An anonymous tip claims that </w:t>
      </w:r>
      <w:r>
        <w:rPr>
          <w:b/>
          <w:bCs/>
        </w:rPr>
        <w:t xml:space="preserve">Section 8.2</w:t>
      </w:r>
      <w:r>
        <w:t xml:space="preserve"> of the renewal — the IP-ownership clause — is drafted so loosely it would hand vendorx ownership of your </w:t>
      </w:r>
      <w:r>
        <w:rPr>
          <w:b/>
          <w:bCs/>
        </w:rPr>
        <w:t xml:space="preserve">jointly-developed, fine-tuned model weights</w:t>
      </w:r>
      <w:r>
        <w:t xml:space="preserve">, and that a disputed </w:t>
      </w:r>
      <w:r>
        <w:rPr>
          <w:b/>
          <w:bCs/>
        </w:rPr>
        <w:t xml:space="preserve">Q1 usage-overage invoice</w:t>
      </w:r>
      <w:r>
        <w:t xml:space="preserve"> may get quietly paid to keep the deal moving. Legal, Engineering, and Finance have all been emailing about it, and outside counsel (Wilson Partners LLP) has weighed in under privilege. You open an investigation, preserve and collect the custodians’ mail, and use AEGIS to review it, validate the AI, and assemble the case.</w:t>
      </w:r>
    </w:p>
    <w:p>
      <w:pPr>
        <w:pStyle w:val="Heading1"/>
        <w:spacing w:after="110" w:before="240"/>
      </w:pPr>
      <w:r>
        <w:t xml:space="preserve">Your inputs (copy these as you go)</w:t>
      </w:r>
    </w:p>
    <w:tbl>
      <w:tblPr>
        <w:tblW w:type="dxa" w:w="9360"/>
        <w:tblBorders>
          <w:top w:val="single" w:color="8A6D30" w:sz="6"/>
          <w:left w:val="single" w:color="8A6D30" w:sz="6"/>
          <w:bottom w:val="single" w:color="8A6D30" w:sz="6"/>
          <w:right w:val="single" w:color="8A6D30" w:sz="6"/>
          <w:insideH w:val="single" w:color="auto" w:sz="4"/>
          <w:insideV w:val="single" w:color="auto" w:sz="4"/>
        </w:tblBorders>
      </w:tblPr>
      <w:tblGrid>
        <w:gridCol w:w="9360"/>
      </w:tblGrid>
      <w:tr>
        <w:tc>
          <w:tcPr>
            <w:tcW w:type="dxa" w:w="9360"/>
            <w:shd w:fill="F7F5EE" w:color="auto" w:val="clear"/>
            <w:tcMar>
              <w:top w:type="dxa" w:w="70"/>
              <w:left w:type="dxa" w:w="120"/>
              <w:bottom w:type="dxa" w:w="70"/>
              <w:right w:type="dxa" w:w="120"/>
            </w:tcMar>
          </w:tcPr>
          <w:p>
            <w:pPr>
              <w:spacing w:after="60"/>
            </w:pPr>
            <w:r>
              <w:rPr>
                <w:b/>
                <w:bCs/>
                <w:caps/>
                <w:color w:val="8A6D30"/>
                <w:sz w:val="18"/>
                <w:szCs w:val="18"/>
              </w:rPr>
              <w:t xml:space="preserve">1 - The whistleblower / allegation letter  (paste into New Investigation -&gt; Source)</w:t>
            </w:r>
          </w:p>
          <w:p>
            <w:pPr>
              <w:spacing w:after="80" w:before="0"/>
            </w:pPr>
            <w:r>
              <w:t xml:space="preserve">To the Office of the General Counsel — submitted anonymously.</w:t>
            </w:r>
          </w:p>
          <w:p>
            <w:pPr>
              <w:spacing w:after="80" w:before="0"/>
            </w:pPr>
            <w:r>
              <w:t xml:space="preserve">I am raising a concern about the pending vendorx renewal of the Snowflake master services agreement (internally “Project Falcon”). Section 8.2, on IP ownership, is ambiguous about who owns the jointly-developed, fine-tuned model weights our engineers built on the vendorx platform. As drafted, I believe it assigns those derived models to vendorx. Engineering flagged this months ago — the original concern was raised back in 2025 — but it is being downplayed to hit the renewal deadline and keep the committed-use discount.</w:t>
            </w:r>
          </w:p>
          <w:p>
            <w:pPr>
              <w:spacing w:after="0" w:before="0"/>
            </w:pPr>
            <w:r>
              <w:t xml:space="preserve">Separately, vendorx has issued a Q1 invoice with a usage overage we never approved. I am worried it will be paid before pricing is re-papered, and that the Net 30 vs Net 45 payment-term concession is being made without finance sign-off. Please preserve the relevant email before the renewal call this Thursday.</w:t>
            </w:r>
          </w:p>
        </w:tc>
      </w:tr>
    </w:tbl>
    <w:p>
      <w:pPr>
        <w:spacing w:after="80" w:before="0"/>
      </w:pPr>
    </w:p>
    <w:tbl>
      <w:tblPr>
        <w:tblW w:type="dxa" w:w="9360"/>
        <w:tblBorders>
          <w:top w:val="single" w:color="8A6D30" w:sz="6"/>
          <w:left w:val="single" w:color="8A6D30" w:sz="6"/>
          <w:bottom w:val="single" w:color="8A6D30" w:sz="6"/>
          <w:right w:val="single" w:color="8A6D30" w:sz="6"/>
          <w:insideH w:val="single" w:color="auto" w:sz="4"/>
          <w:insideV w:val="single" w:color="auto" w:sz="4"/>
        </w:tblBorders>
      </w:tblPr>
      <w:tblGrid>
        <w:gridCol w:w="9360"/>
      </w:tblGrid>
      <w:tr>
        <w:tc>
          <w:tcPr>
            <w:tcW w:type="dxa" w:w="9360"/>
            <w:shd w:fill="F4F6F9" w:color="auto" w:val="clear"/>
            <w:tcMar>
              <w:top w:type="dxa" w:w="70"/>
              <w:left w:type="dxa" w:w="120"/>
              <w:bottom w:type="dxa" w:w="70"/>
              <w:right w:type="dxa" w:w="120"/>
            </w:tcMar>
          </w:tcPr>
          <w:p>
            <w:pPr>
              <w:spacing w:after="60"/>
            </w:pPr>
            <w:r>
              <w:rPr>
                <w:b/>
                <w:bCs/>
                <w:caps/>
                <w:color w:val="8A6D30"/>
                <w:sz w:val="18"/>
                <w:szCs w:val="18"/>
              </w:rPr>
              <w:t xml:space="preserve">2 - The AI-review prompt / responsiveness criteria  (paste into Review -&gt; criteria)</w:t>
            </w:r>
          </w:p>
          <w:p>
            <w:pPr>
              <w:spacing w:after="0" w:before="0"/>
            </w:pPr>
            <w:r>
              <w:t xml:space="preserve">A document is RESPONSIVE if it concerns any of: the Snowflake MSA renewal with vendorx; Section 8.2 and IP ownership of jointly-developed or derived model weights; vendorx pricing or payment terms (Net 30 vs Net 45); the Q1 usage-overage invoice dispute; or internal / outside-counsel legal strategy on these. Mark PRIVILEGED any attorney-client or attorney-work-product communication (outside counsel Wilson Partners LLP; the Office of the GC). Mark PII where personal contact data (home address, personal phone) appears.</w:t>
            </w:r>
          </w:p>
        </w:tc>
      </w:tr>
    </w:tbl>
    <w:p>
      <w:pPr>
        <w:spacing w:after="80" w:before="0"/>
      </w:pPr>
    </w:p>
    <w:tbl>
      <w:tblPr>
        <w:tblW w:type="dxa" w:w="9360"/>
        <w:tblBorders>
          <w:top w:val="single" w:color="8A6D30" w:sz="6"/>
          <w:left w:val="single" w:color="8A6D30" w:sz="6"/>
          <w:bottom w:val="single" w:color="8A6D30" w:sz="6"/>
          <w:right w:val="single" w:color="8A6D30" w:sz="6"/>
          <w:insideH w:val="single" w:color="auto" w:sz="4"/>
          <w:insideV w:val="single" w:color="auto" w:sz="4"/>
        </w:tblBorders>
      </w:tblPr>
      <w:tblGrid>
        <w:gridCol w:w="9360"/>
      </w:tblGrid>
      <w:tr>
        <w:tc>
          <w:tcPr>
            <w:tcW w:type="dxa" w:w="9360"/>
            <w:shd w:fill="F4F6F9" w:color="auto" w:val="clear"/>
            <w:tcMar>
              <w:top w:type="dxa" w:w="70"/>
              <w:left w:type="dxa" w:w="120"/>
              <w:bottom w:type="dxa" w:w="70"/>
              <w:right w:type="dxa" w:w="120"/>
            </w:tcMar>
          </w:tcPr>
          <w:p>
            <w:pPr>
              <w:spacing w:after="60"/>
            </w:pPr>
            <w:r>
              <w:rPr>
                <w:b/>
                <w:bCs/>
                <w:caps/>
                <w:color w:val="8A6D30"/>
                <w:sz w:val="18"/>
                <w:szCs w:val="18"/>
              </w:rPr>
              <w:t xml:space="preserve">3 - The custodian slate  (type these when you add custodians)</w:t>
            </w:r>
          </w:p>
          <w:p>
            <w:pPr>
              <w:spacing w:after="40"/>
            </w:pPr>
            <w:r>
              <w:rPr>
                <w:rFonts w:ascii="Consolas" w:cs="Consolas" w:eastAsia="Consolas" w:hAnsi="Consolas"/>
                <w:color w:val="1A2233"/>
                <w:sz w:val="19"/>
                <w:szCs w:val="19"/>
              </w:rPr>
              <w:t xml:space="preserve">marcus.reid@6bs6wq.onmicrosoft.com     - Legal / counsel (privilege-heavy)</w:t>
            </w:r>
          </w:p>
          <w:p>
            <w:pPr>
              <w:spacing w:after="40"/>
            </w:pPr>
            <w:r>
              <w:rPr>
                <w:rFonts w:ascii="Consolas" w:cs="Consolas" w:eastAsia="Consolas" w:hAnsi="Consolas"/>
                <w:color w:val="1A2233"/>
                <w:sz w:val="19"/>
                <w:szCs w:val="19"/>
              </w:rPr>
              <w:t xml:space="preserve">priya.kulkarni@6bs6wq.onmicrosoft.com  - Eng / PM (mixed responsive)</w:t>
            </w:r>
          </w:p>
          <w:p>
            <w:pPr>
              <w:spacing w:after="40"/>
            </w:pPr>
            <w:r>
              <w:rPr>
                <w:rFonts w:ascii="Consolas" w:cs="Consolas" w:eastAsia="Consolas" w:hAnsi="Consolas"/>
                <w:color w:val="1A2233"/>
                <w:sz w:val="19"/>
                <w:szCs w:val="19"/>
              </w:rPr>
              <w:t xml:space="preserve">carlos.mendez@6bs6wq.onmicrosoft.com   - Finance (invoice / spend)</w:t>
            </w:r>
          </w:p>
          <w:p>
            <w:pPr>
              <w:spacing w:after="40" w:before="0"/>
            </w:pPr>
            <w:r>
              <w:t xml:space="preserve">Optional if seeded on your tenant: </w:t>
            </w:r>
            <w:r>
              <w:rPr>
                <w:rFonts w:ascii="Consolas" w:cs="Consolas" w:eastAsia="Consolas" w:hAnsi="Consolas"/>
                <w:color w:val="2F5D8C"/>
              </w:rPr>
              <w:t xml:space="preserve">samira.iqbal@...</w:t>
            </w:r>
            <w:r>
              <w:t xml:space="preserve"> (engineering / model weights), </w:t>
            </w:r>
            <w:r>
              <w:rPr>
                <w:rFonts w:ascii="Consolas" w:cs="Consolas" w:eastAsia="Consolas" w:hAnsi="Consolas"/>
                <w:color w:val="2F5D8C"/>
              </w:rPr>
              <w:t xml:space="preserve">sarah.watson@...</w:t>
            </w:r>
            <w:r>
              <w:t xml:space="preserve"> (departed employee - handover + 2025 thread).</w:t>
            </w:r>
          </w:p>
          <w:p>
            <w:pPr>
              <w:spacing w:after="0" w:before="0"/>
            </w:pPr>
            <w:r>
              <w:t xml:space="preserve">In mock mode any custodians return representative documents. On the real tenant, use whichever mailboxes your seeder populated - if one returns 0 documents it was not in the seeded set.</w:t>
            </w:r>
          </w:p>
        </w:tc>
      </w:tr>
    </w:tbl>
    <w:p>
      <w:pPr>
        <w:spacing w:after="80" w:before="0"/>
      </w:pPr>
    </w:p>
    <w:tbl>
      <w:tblPr>
        <w:tblW w:type="dxa" w:w="9360"/>
        <w:tblBorders>
          <w:top w:val="single" w:color="8A6D30" w:sz="6"/>
          <w:left w:val="single" w:color="8A6D30" w:sz="6"/>
          <w:bottom w:val="single" w:color="8A6D30" w:sz="6"/>
          <w:right w:val="single" w:color="8A6D30" w:sz="6"/>
          <w:insideH w:val="single" w:color="auto" w:sz="4"/>
          <w:insideV w:val="single" w:color="auto" w:sz="4"/>
        </w:tblBorders>
      </w:tblPr>
      <w:tblGrid>
        <w:gridCol w:w="9360"/>
      </w:tblGrid>
      <w:tr>
        <w:tc>
          <w:tcPr>
            <w:tcW w:type="dxa" w:w="9360"/>
            <w:shd w:fill="F7F5EE" w:color="auto" w:val="clear"/>
            <w:tcMar>
              <w:top w:type="dxa" w:w="70"/>
              <w:left w:type="dxa" w:w="120"/>
              <w:bottom w:type="dxa" w:w="70"/>
              <w:right w:type="dxa" w:w="120"/>
            </w:tcMar>
          </w:tcPr>
          <w:p>
            <w:pPr>
              <w:spacing w:after="60"/>
            </w:pPr>
            <w:r>
              <w:rPr>
                <w:b/>
                <w:bCs/>
                <w:caps/>
                <w:color w:val="8A6D30"/>
                <w:sz w:val="18"/>
                <w:szCs w:val="18"/>
              </w:rPr>
              <w:t xml:space="preserve">4 - Questions to ask the Case Copilot  (Copilot -&gt; Ask)</w:t>
            </w:r>
          </w:p>
          <w:p>
            <w:pPr>
              <w:spacing w:after="30" w:before="0"/>
            </w:pPr>
            <w:r>
              <w:t xml:space="preserve">1. Summarize this matter and the key facts.</w:t>
            </w:r>
          </w:p>
          <w:p>
            <w:pPr>
              <w:spacing w:after="30" w:before="0"/>
            </w:pPr>
            <w:r>
              <w:t xml:space="preserve">2. What is the dispute over Section 8.2, and who first raised it?</w:t>
            </w:r>
          </w:p>
          <w:p>
            <w:pPr>
              <w:spacing w:after="30" w:before="0"/>
            </w:pPr>
            <w:r>
              <w:t xml:space="preserve">3. Which documents are privileged, and why?</w:t>
            </w:r>
          </w:p>
          <w:p>
            <w:pPr>
              <w:spacing w:after="30" w:before="0"/>
            </w:pPr>
            <w:r>
              <w:t xml:space="preserve">4. What is the financial exposure - the invoice overage and the discount at risk?</w:t>
            </w:r>
          </w:p>
          <w:p>
            <w:pPr>
              <w:spacing w:after="0" w:before="0"/>
            </w:pPr>
            <w:r>
              <w:t xml:space="preserve">5. Who are the key people and which outside counsel are involved?</w:t>
            </w:r>
          </w:p>
        </w:tc>
      </w:tr>
    </w:tbl>
    <w:p>
      <w:r>
        <w:br w:type="page"/>
      </w:r>
    </w:p>
    <w:p>
      <w:pPr>
        <w:pStyle w:val="Heading1"/>
        <w:spacing w:after="110" w:before="240"/>
      </w:pPr>
      <w:r>
        <w:t xml:space="preserve">Act I — The letter arrives (Investigations / INV-1)</w:t>
      </w:r>
    </w:p>
    <w:p>
      <w:pPr>
        <w:spacing w:after="100" w:before="0"/>
      </w:pPr>
      <w:r>
        <w:t xml:space="preserve">A tip lands with the GC. You turn it into a plan and a matter without leaving the page.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Nav -&gt; </w:t>
            </w:r>
            <w:r>
              <w:rPr>
                <w:b/>
                <w:bCs/>
              </w:rPr>
              <w:t xml:space="preserve">Investigations</w:t>
            </w:r>
            <w:r>
              <w:t xml:space="preserve"> -&gt; </w:t>
            </w:r>
            <w:r>
              <w:rPr>
                <w:b/>
                <w:bCs/>
              </w:rPr>
              <w:t xml:space="preserve">+ New investigation</w:t>
            </w:r>
            <w:r>
              <w:t xml:space="preserve">. Title it </w:t>
            </w:r>
            <w:r>
              <w:rPr>
                <w:rFonts w:ascii="Consolas" w:cs="Consolas" w:eastAsia="Consolas" w:hAnsi="Consolas"/>
                <w:color w:val="2F5D8C"/>
              </w:rPr>
              <w:t xml:space="preserve">vendorx MSA - Section 8.2 IP dispute</w:t>
            </w:r>
            <w:r>
              <w:t xml:space="preserve">. Paste </w:t>
            </w:r>
            <w:r>
              <w:rPr>
                <w:b/>
                <w:bCs/>
              </w:rPr>
              <w:t xml:space="preserve">Input #1 (the letter)</w:t>
            </w:r>
            <w:r>
              <w:t xml:space="preserve"> into Source.</w:t>
            </w:r>
          </w:p>
        </w:tc>
        <w:tc>
          <w:tcPr>
            <w:tcW w:type="dxa" w:w="4400"/>
            <w:tcMar>
              <w:top w:type="dxa" w:w="70"/>
              <w:left w:type="dxa" w:w="120"/>
              <w:bottom w:type="dxa" w:w="70"/>
              <w:right w:type="dxa" w:w="120"/>
            </w:tcMar>
          </w:tcPr>
          <w:p>
            <w:pPr>
              <w:spacing w:after="0"/>
            </w:pPr>
            <w:r>
              <w:t xml:space="preserve">The New-investigation dialog accepts the title and letter.</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Click </w:t>
            </w:r>
            <w:r>
              <w:rPr>
                <w:b/>
                <w:bCs/>
              </w:rPr>
              <w:t xml:space="preserve">✨ Extract issues &amp; draft plan</w:t>
            </w:r>
            <w:r>
              <w:t xml:space="preserve">.</w:t>
            </w:r>
          </w:p>
        </w:tc>
        <w:tc>
          <w:tcPr>
            <w:tcW w:type="dxa" w:w="4400"/>
            <w:tcMar>
              <w:top w:type="dxa" w:w="70"/>
              <w:left w:type="dxa" w:w="120"/>
              <w:bottom w:type="dxa" w:w="70"/>
              <w:right w:type="dxa" w:w="120"/>
            </w:tcMar>
          </w:tcPr>
          <w:p>
            <w:pPr>
              <w:spacing w:after="0"/>
            </w:pPr>
            <w:r>
              <w:t xml:space="preserve">AEGIS returns issue codes (Contract / commercial, IP / trade secret, Financial), a 6-step plan, custodian hints with rationale, and a scope sentence - all from the letter.</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Click </w:t>
            </w:r>
            <w:r>
              <w:rPr>
                <w:b/>
                <w:bCs/>
              </w:rPr>
              <w:t xml:space="preserve">Open investigation -&gt;</w:t>
            </w:r>
            <w:r>
              <w:t xml:space="preserve">.</w:t>
            </w:r>
          </w:p>
        </w:tc>
        <w:tc>
          <w:tcPr>
            <w:tcW w:type="dxa" w:w="4400"/>
            <w:tcMar>
              <w:top w:type="dxa" w:w="70"/>
              <w:left w:type="dxa" w:w="120"/>
              <w:bottom w:type="dxa" w:w="70"/>
              <w:right w:type="dxa" w:w="120"/>
            </w:tcMar>
          </w:tcPr>
          <w:p>
            <w:pPr>
              <w:spacing w:after="0"/>
            </w:pPr>
            <w:r>
              <w:t xml:space="preserve">Success card with a real matter number </w:t>
            </w:r>
            <w:r>
              <w:rPr>
                <w:rFonts w:ascii="Consolas" w:cs="Consolas" w:eastAsia="Consolas" w:hAnsi="Consolas"/>
                <w:color w:val="2F5D8C"/>
              </w:rPr>
              <w:t xml:space="preserve">M-INV-2026-####</w:t>
            </w:r>
            <w:r>
              <w:t xml:space="preserve">; the investigation appears in the list.</w:t>
            </w:r>
          </w:p>
        </w:tc>
      </w:tr>
    </w:tbl>
    <w:p>
      <w:pPr>
        <w:spacing w:after="120" w:before="0"/>
      </w:pPr>
      <w:r>
        <w:t xml:space="preserve">This is the “context from a whistleblower letter” flow you asked about - the letter drives the issues and the collection scope.</w:t>
      </w:r>
    </w:p>
    <w:p>
      <w:pPr>
        <w:pStyle w:val="Heading2"/>
        <w:spacing w:after="110" w:before="240"/>
      </w:pPr>
      <w:r>
        <w:t xml:space="preserve">Act II — Preserve &amp; collect (INV-2)</w:t>
      </w:r>
    </w:p>
    <w:p>
      <w:pPr>
        <w:spacing w:after="120" w:before="0"/>
      </w:pPr>
      <w:r>
        <w:t xml:space="preserve">One action opens a legal hold and pulls the custodians’ mail.</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On your new investigation’s row click </w:t>
            </w:r>
            <w:r>
              <w:rPr>
                <w:b/>
                <w:bCs/>
              </w:rPr>
              <w:t xml:space="preserve">Custodians</w:t>
            </w:r>
            <w:r>
              <w:t xml:space="preserve">. (You can also add the ones from </w:t>
            </w:r>
            <w:r>
              <w:rPr>
                <w:b/>
                <w:bCs/>
              </w:rPr>
              <w:t xml:space="preserve">Input #3</w:t>
            </w:r>
            <w:r>
              <w:t xml:space="preserve"> in the collection flow.)</w:t>
            </w:r>
          </w:p>
        </w:tc>
        <w:tc>
          <w:tcPr>
            <w:tcW w:type="dxa" w:w="4400"/>
            <w:tcMar>
              <w:top w:type="dxa" w:w="70"/>
              <w:left w:type="dxa" w:w="120"/>
              <w:bottom w:type="dxa" w:w="70"/>
              <w:right w:type="dxa" w:w="120"/>
            </w:tcMar>
          </w:tcPr>
          <w:p>
            <w:pPr>
              <w:spacing w:after="0"/>
            </w:pPr>
            <w:r>
              <w:t xml:space="preserve">A custodian list loads - real Entra users on a connected tenant; a roster in mock mode. Rows are selectable.</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Select the custodians from </w:t>
            </w:r>
            <w:r>
              <w:rPr>
                <w:b/>
                <w:bCs/>
              </w:rPr>
              <w:t xml:space="preserve">Input #3</w:t>
            </w:r>
            <w:r>
              <w:t xml:space="preserve">, then click </w:t>
            </w:r>
            <w:r>
              <w:rPr>
                <w:b/>
                <w:bCs/>
              </w:rPr>
              <w:t xml:space="preserve">⚖ Preserve &amp; collect -&gt;</w:t>
            </w:r>
            <w:r>
              <w:t xml:space="preserve">.</w:t>
            </w:r>
          </w:p>
        </w:tc>
        <w:tc>
          <w:tcPr>
            <w:tcW w:type="dxa" w:w="4400"/>
            <w:tcMar>
              <w:top w:type="dxa" w:w="70"/>
              <w:left w:type="dxa" w:w="120"/>
              <w:bottom w:type="dxa" w:w="70"/>
              <w:right w:type="dxa" w:w="120"/>
            </w:tcMar>
          </w:tcPr>
          <w:p>
            <w:pPr>
              <w:spacing w:after="0"/>
            </w:pPr>
            <w:r>
              <w:t xml:space="preserve">A DRAFT legal hold is created on the matter and an INVESTIGATION collection is created; a result line shows the collected-document count.</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Click </w:t>
            </w:r>
            <w:r>
              <w:rPr>
                <w:b/>
                <w:bCs/>
              </w:rPr>
              <w:t xml:space="preserve">Open collection -&gt;</w:t>
            </w:r>
            <w:r>
              <w:t xml:space="preserve">.</w:t>
            </w:r>
          </w:p>
        </w:tc>
        <w:tc>
          <w:tcPr>
            <w:tcW w:type="dxa" w:w="4400"/>
            <w:tcMar>
              <w:top w:type="dxa" w:w="70"/>
              <w:left w:type="dxa" w:w="120"/>
              <w:bottom w:type="dxa" w:w="70"/>
              <w:right w:type="dxa" w:w="120"/>
            </w:tcMar>
          </w:tcPr>
          <w:p>
            <w:pPr>
              <w:spacing w:after="0"/>
            </w:pPr>
            <w:r>
              <w:t xml:space="preserve">The collection workspace opens: </w:t>
            </w:r>
            <w:r>
              <w:rPr>
                <w:b/>
                <w:bCs/>
              </w:rPr>
              <w:t xml:space="preserve">ECA -&gt; Cull -&gt; Review -&gt; Copilot -&gt; Validate -&gt; Batches -&gt; Produce</w:t>
            </w:r>
            <w:r>
              <w:t xml:space="preserve">.</w:t>
            </w:r>
          </w:p>
        </w:tc>
      </w:tr>
    </w:tbl>
    <w:p>
      <w:pPr>
        <w:spacing w:after="120" w:before="0"/>
      </w:pPr>
    </w:p>
    <w:p>
      <w:pPr>
        <w:pStyle w:val="Heading2"/>
        <w:spacing w:after="110" w:before="240"/>
      </w:pPr>
      <w:r>
        <w:t xml:space="preserve">Act III — Process &amp; assess (Cull + ECA-3)</w:t>
      </w:r>
    </w:p>
    <w:p>
      <w:pPr>
        <w:spacing w:after="120" w:before="0"/>
      </w:pPr>
      <w:r>
        <w:t xml:space="preserve">See how big it is and cull the noise before paying to review.</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Open the </w:t>
            </w:r>
            <w:r>
              <w:rPr>
                <w:b/>
                <w:bCs/>
              </w:rPr>
              <w:t xml:space="preserve">Cull</w:t>
            </w:r>
            <w:r>
              <w:t xml:space="preserve"> stage and apply thread + near-duplicate suppression.</w:t>
            </w:r>
          </w:p>
        </w:tc>
        <w:tc>
          <w:tcPr>
            <w:tcW w:type="dxa" w:w="4400"/>
            <w:tcMar>
              <w:top w:type="dxa" w:w="70"/>
              <w:left w:type="dxa" w:w="120"/>
              <w:bottom w:type="dxa" w:w="70"/>
              <w:right w:type="dxa" w:w="120"/>
            </w:tcMar>
          </w:tcPr>
          <w:p>
            <w:pPr>
              <w:spacing w:after="0"/>
            </w:pPr>
            <w:r>
              <w:t xml:space="preserve">Duplicates and superseded thread messages are excluded, with a reason logged in the exclusion list.</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Open the </w:t>
            </w:r>
            <w:r>
              <w:rPr>
                <w:b/>
                <w:bCs/>
              </w:rPr>
              <w:t xml:space="preserve">ECA</w:t>
            </w:r>
            <w:r>
              <w:t xml:space="preserve"> stage.</w:t>
            </w:r>
          </w:p>
        </w:tc>
        <w:tc>
          <w:tcPr>
            <w:tcW w:type="dxa" w:w="4400"/>
            <w:tcMar>
              <w:top w:type="dxa" w:w="70"/>
              <w:left w:type="dxa" w:w="120"/>
              <w:bottom w:type="dxa" w:w="70"/>
              <w:right w:type="dxa" w:w="120"/>
            </w:tcMar>
          </w:tcPr>
          <w:p>
            <w:pPr>
              <w:spacing w:after="0"/>
            </w:pPr>
            <w:r>
              <w:t xml:space="preserve">A volume funnel renders (Collected -&gt; deduped -&gt; threaded -&gt; in scope) plus a cost/time estimate and breakdowns by source, AI route, and issue.</w:t>
            </w:r>
          </w:p>
        </w:tc>
      </w:tr>
    </w:tbl>
    <w:p>
      <w:pPr>
        <w:spacing w:after="120" w:before="0"/>
      </w:pPr>
    </w:p>
    <w:p>
      <w:pPr>
        <w:pStyle w:val="Heading1"/>
        <w:spacing w:after="110" w:before="240"/>
      </w:pPr>
      <w:r>
        <w:t xml:space="preserve">Act IV — AI review, with your prompt (AIR-1/2/3)</w:t>
      </w:r>
    </w:p>
    <w:p>
      <w:pPr>
        <w:spacing w:after="100" w:before="0"/>
      </w:pPr>
      <w:r>
        <w:t xml:space="preserve">Give the AI the context (your criteria), let it tag and route, then code.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Open </w:t>
            </w:r>
            <w:r>
              <w:rPr>
                <w:b/>
                <w:bCs/>
              </w:rPr>
              <w:t xml:space="preserve">Review</w:t>
            </w:r>
            <w:r>
              <w:t xml:space="preserve"> -&gt; the setup panel. Paste </w:t>
            </w:r>
            <w:r>
              <w:rPr>
                <w:b/>
                <w:bCs/>
              </w:rPr>
              <w:t xml:space="preserve">Input #2 (the review prompt)</w:t>
            </w:r>
            <w:r>
              <w:t xml:space="preserve"> into the responsiveness criteria. Add issue codes: </w:t>
            </w:r>
            <w:r>
              <w:rPr>
                <w:rFonts w:ascii="Consolas" w:cs="Consolas" w:eastAsia="Consolas" w:hAnsi="Consolas"/>
                <w:color w:val="2F5D8C"/>
              </w:rPr>
              <w:t xml:space="preserve">Section 8.2, Pricing, Privilege, Invoice</w:t>
            </w:r>
            <w:r>
              <w:t xml:space="preserve">. (Or click </w:t>
            </w:r>
            <w:r>
              <w:rPr>
                <w:b/>
                <w:bCs/>
              </w:rPr>
              <w:t xml:space="preserve">✨ Draft with AI</w:t>
            </w:r>
            <w:r>
              <w:t xml:space="preserve"> and describe the matter to auto-draft them.) Click </w:t>
            </w:r>
            <w:r>
              <w:rPr>
                <w:b/>
                <w:bCs/>
              </w:rPr>
              <w:t xml:space="preserve">Save criteria</w:t>
            </w:r>
            <w:r>
              <w:t xml:space="preserve"> / </w:t>
            </w:r>
            <w:r>
              <w:rPr>
                <w:b/>
                <w:bCs/>
              </w:rPr>
              <w:t xml:space="preserve">Save as profile</w:t>
            </w:r>
            <w:r>
              <w:t xml:space="preserve">.</w:t>
            </w:r>
          </w:p>
        </w:tc>
        <w:tc>
          <w:tcPr>
            <w:tcW w:type="dxa" w:w="4400"/>
            <w:tcMar>
              <w:top w:type="dxa" w:w="70"/>
              <w:left w:type="dxa" w:w="120"/>
              <w:bottom w:type="dxa" w:w="70"/>
              <w:right w:type="dxa" w:w="120"/>
            </w:tcMar>
          </w:tcPr>
          <w:p>
            <w:pPr>
              <w:spacing w:after="0"/>
            </w:pPr>
            <w:r>
              <w:t xml:space="preserve">Criteria + issue chips populate; saving as a profile creates a versioned review profile.</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Click </w:t>
            </w:r>
            <w:r>
              <w:rPr>
                <w:b/>
                <w:bCs/>
              </w:rPr>
              <w:t xml:space="preserve">Run AI review</w:t>
            </w:r>
            <w:r>
              <w:t xml:space="preserve">.</w:t>
            </w:r>
          </w:p>
        </w:tc>
        <w:tc>
          <w:tcPr>
            <w:tcW w:type="dxa" w:w="4400"/>
            <w:tcMar>
              <w:top w:type="dxa" w:w="70"/>
              <w:left w:type="dxa" w:w="120"/>
              <w:bottom w:type="dxa" w:w="70"/>
              <w:right w:type="dxa" w:w="120"/>
            </w:tcMar>
          </w:tcPr>
          <w:p>
            <w:pPr>
              <w:spacing w:after="0"/>
            </w:pPr>
            <w:r>
              <w:t xml:space="preserve">Toast summarizes scored counts + routes (attorney / reviewer / auto-cull). Privileged outside-counsel mail routes to </w:t>
            </w:r>
            <w:r>
              <w:rPr>
                <w:b/>
                <w:bCs/>
              </w:rPr>
              <w:t xml:space="preserve">Attorney</w:t>
            </w:r>
            <w:r>
              <w:t xml:space="preserve">; the Section 8.2 / pricing / invoice mail routes to </w:t>
            </w:r>
            <w:r>
              <w:rPr>
                <w:b/>
                <w:bCs/>
              </w:rPr>
              <w:t xml:space="preserve">Reviewer</w:t>
            </w:r>
            <w:r>
              <w:t xml:space="preserve">; all-hands / backup / menu noise routes to </w:t>
            </w:r>
            <w:r>
              <w:rPr>
                <w:b/>
                <w:bCs/>
              </w:rPr>
              <w:t xml:space="preserve">Auto-cull</w:t>
            </w:r>
            <w:r>
              <w:t xml:space="preserve">.</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Open a few documents; confirm the AI tags, confidence, and the cited passage. Code with the keyboard (</w:t>
            </w:r>
            <w:r>
              <w:rPr>
                <w:rFonts w:ascii="Consolas" w:cs="Consolas" w:eastAsia="Consolas" w:hAnsi="Consolas"/>
                <w:color w:val="2F5D8C"/>
              </w:rPr>
              <w:t xml:space="preserve">r</w:t>
            </w:r>
            <w:r>
              <w:t xml:space="preserve"> responsive, </w:t>
            </w:r>
            <w:r>
              <w:rPr>
                <w:rFonts w:ascii="Consolas" w:cs="Consolas" w:eastAsia="Consolas" w:hAnsi="Consolas"/>
                <w:color w:val="2F5D8C"/>
              </w:rPr>
              <w:t xml:space="preserve">p</w:t>
            </w:r>
            <w:r>
              <w:t xml:space="preserve"> privileged).</w:t>
            </w:r>
          </w:p>
        </w:tc>
        <w:tc>
          <w:tcPr>
            <w:tcW w:type="dxa" w:w="4400"/>
            <w:tcMar>
              <w:top w:type="dxa" w:w="70"/>
              <w:left w:type="dxa" w:w="120"/>
              <w:bottom w:type="dxa" w:w="70"/>
              <w:right w:type="dxa" w:w="120"/>
            </w:tcMar>
          </w:tcPr>
          <w:p>
            <w:pPr>
              <w:spacing w:after="0"/>
            </w:pPr>
            <w:r>
              <w:t xml:space="preserve">Each document shows the multi-dimension tags with a supporting citation; coding persists and the counts update.</w:t>
            </w:r>
          </w:p>
        </w:tc>
      </w:tr>
    </w:tbl>
    <w:p>
      <w:pPr>
        <w:spacing w:after="120" w:before="0"/>
      </w:pPr>
      <w:r>
        <w:t xml:space="preserve">Where to give context: the </w:t>
      </w:r>
      <w:r>
        <w:rPr>
          <w:b/>
          <w:bCs/>
        </w:rPr>
        <w:t xml:space="preserve">Source letter</w:t>
      </w:r>
      <w:r>
        <w:t xml:space="preserve"> in Act I drives the investigation; the </w:t>
      </w:r>
      <w:r>
        <w:rPr>
          <w:b/>
          <w:bCs/>
        </w:rPr>
        <w:t xml:space="preserve">review criteria</w:t>
      </w:r>
      <w:r>
        <w:t xml:space="preserve"> here is the AI-review prompt. Both accept your own text - paste a letter, a memo, or type instructions.</w:t>
      </w:r>
    </w:p>
    <w:p>
      <w:pPr>
        <w:pStyle w:val="Heading2"/>
        <w:spacing w:after="110" w:before="240"/>
      </w:pPr>
      <w:r>
        <w:t xml:space="preserve">Act V — Trust, but verify (AIR-4)</w:t>
      </w:r>
    </w:p>
    <w:p>
      <w:pPr>
        <w:spacing w:after="120" w:before="0"/>
      </w:pPr>
      <w:r>
        <w:t xml:space="preserve">Measure the AI against your own coding before you rely on it.</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Code ~10-15 documents in Review. Open </w:t>
            </w:r>
            <w:r>
              <w:rPr>
                <w:b/>
                <w:bCs/>
              </w:rPr>
              <w:t xml:space="preserve">Validate</w:t>
            </w:r>
            <w:r>
              <w:t xml:space="preserve"> -&gt; set sample size 15 -&gt; </w:t>
            </w:r>
            <w:r>
              <w:rPr>
                <w:b/>
                <w:bCs/>
              </w:rPr>
              <w:t xml:space="preserve">Start validation pilot</w:t>
            </w:r>
            <w:r>
              <w:t xml:space="preserve">.</w:t>
            </w:r>
          </w:p>
        </w:tc>
        <w:tc>
          <w:tcPr>
            <w:tcW w:type="dxa" w:w="4400"/>
            <w:tcMar>
              <w:top w:type="dxa" w:w="70"/>
              <w:left w:type="dxa" w:w="120"/>
              <w:bottom w:type="dxa" w:w="70"/>
              <w:right w:type="dxa" w:w="120"/>
            </w:tcMar>
          </w:tcPr>
          <w:p>
            <w:pPr>
              <w:spacing w:after="0"/>
            </w:pPr>
            <w:r>
              <w:t xml:space="preserve">A stratified sample is drawn and marked (AWAITING_CODING).</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Code the sampled documents in Review, then in Validate click </w:t>
            </w:r>
            <w:r>
              <w:rPr>
                <w:b/>
                <w:bCs/>
              </w:rPr>
              <w:t xml:space="preserve">Compute metrics</w:t>
            </w:r>
            <w:r>
              <w:t xml:space="preserve">.</w:t>
            </w:r>
          </w:p>
        </w:tc>
        <w:tc>
          <w:tcPr>
            <w:tcW w:type="dxa" w:w="4400"/>
            <w:tcMar>
              <w:top w:type="dxa" w:w="70"/>
              <w:left w:type="dxa" w:w="120"/>
              <w:bottom w:type="dxa" w:w="70"/>
              <w:right w:type="dxa" w:w="120"/>
            </w:tcMar>
          </w:tcPr>
          <w:p>
            <w:pPr>
              <w:spacing w:after="0"/>
            </w:pPr>
            <w:r>
              <w:t xml:space="preserve">Recall / Precision (with 95% CIs) / F1 / Overturn cards + a confusion matrix render.</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Click </w:t>
            </w:r>
            <w:r>
              <w:rPr>
                <w:b/>
                <w:bCs/>
              </w:rPr>
              <w:t xml:space="preserve">Apply at scale -&gt;</w:t>
            </w:r>
            <w:r>
              <w:t xml:space="preserve">.</w:t>
            </w:r>
          </w:p>
        </w:tc>
        <w:tc>
          <w:tcPr>
            <w:tcW w:type="dxa" w:w="4400"/>
            <w:tcMar>
              <w:top w:type="dxa" w:w="70"/>
              <w:left w:type="dxa" w:w="120"/>
              <w:bottom w:type="dxa" w:w="70"/>
              <w:right w:type="dxa" w:w="120"/>
            </w:tcMar>
          </w:tcPr>
          <w:p>
            <w:pPr>
              <w:spacing w:after="0"/>
            </w:pPr>
            <w:r>
              <w:t xml:space="preserve">Result: </w:t>
            </w:r>
            <w:r>
              <w:rPr>
                <w:b/>
                <w:bCs/>
              </w:rPr>
              <w:t xml:space="preserve">N applied - M failed closed to a human</w:t>
            </w:r>
            <w:r>
              <w:t xml:space="preserve"> - confident, cited calls applied; uncited / low-confidence / privileged left pending. It is chain-sealed.</w:t>
            </w:r>
          </w:p>
        </w:tc>
      </w:tr>
    </w:tbl>
    <w:p>
      <w:pPr>
        <w:spacing w:after="120" w:before="0"/>
      </w:pPr>
    </w:p>
    <w:p>
      <w:pPr>
        <w:pStyle w:val="Heading2"/>
        <w:spacing w:after="110" w:before="240"/>
      </w:pPr>
      <w:r>
        <w:t xml:space="preserve">Act VI — Solve the case (Case Graph / CAP-1..4)</w:t>
      </w:r>
    </w:p>
    <w:p>
      <w:pPr>
        <w:spacing w:after="120" w:before="0"/>
      </w:pPr>
      <w:r>
        <w:t xml:space="preserve">Ask the copilot, run the agent graph, explore the map, and let it act - under a human gate.</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Open </w:t>
            </w:r>
            <w:r>
              <w:rPr>
                <w:b/>
                <w:bCs/>
              </w:rPr>
              <w:t xml:space="preserve">Copilot</w:t>
            </w:r>
            <w:r>
              <w:t xml:space="preserve"> -&gt; </w:t>
            </w:r>
            <w:r>
              <w:rPr>
                <w:b/>
                <w:bCs/>
              </w:rPr>
              <w:t xml:space="preserve">Ask</w:t>
            </w:r>
            <w:r>
              <w:t xml:space="preserve">. Ask the five questions from </w:t>
            </w:r>
            <w:r>
              <w:rPr>
                <w:b/>
                <w:bCs/>
              </w:rPr>
              <w:t xml:space="preserve">Input #4</w:t>
            </w:r>
            <w:r>
              <w:t xml:space="preserve">, one at a time.</w:t>
            </w:r>
          </w:p>
        </w:tc>
        <w:tc>
          <w:tcPr>
            <w:tcW w:type="dxa" w:w="4400"/>
            <w:tcMar>
              <w:top w:type="dxa" w:w="70"/>
              <w:left w:type="dxa" w:w="120"/>
              <w:bottom w:type="dxa" w:w="70"/>
              <w:right w:type="dxa" w:w="120"/>
            </w:tcMar>
          </w:tcPr>
          <w:p>
            <w:pPr>
              <w:spacing w:after="0"/>
            </w:pPr>
            <w:r>
              <w:t xml:space="preserve">Each answer is grounded in the collected mail and cites the documents (</w:t>
            </w:r>
            <w:r>
              <w:rPr>
                <w:rFonts w:ascii="Consolas" w:cs="Consolas" w:eastAsia="Consolas" w:hAnsi="Consolas"/>
                <w:color w:val="2F5D8C"/>
              </w:rPr>
              <w:t xml:space="preserve">[n]</w:t>
            </w:r>
            <w:r>
              <w:t xml:space="preserve"> chips + a Sources list). Q3 surfaces the Wilson Partners / GC privileged mail; Q4 the invoice overage + committed-use discount.</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Switch to the </w:t>
            </w:r>
            <w:r>
              <w:rPr>
                <w:b/>
                <w:bCs/>
              </w:rPr>
              <w:t xml:space="preserve">Case Graph</w:t>
            </w:r>
            <w:r>
              <w:t xml:space="preserve"> tab -&gt; </w:t>
            </w:r>
            <w:r>
              <w:rPr>
                <w:b/>
                <w:bCs/>
              </w:rPr>
              <w:t xml:space="preserve">▶ Run Case Graph</w:t>
            </w:r>
            <w:r>
              <w:t xml:space="preserve">.</w:t>
            </w:r>
          </w:p>
        </w:tc>
        <w:tc>
          <w:tcPr>
            <w:tcW w:type="dxa" w:w="4400"/>
            <w:tcMar>
              <w:top w:type="dxa" w:w="70"/>
              <w:left w:type="dxa" w:w="120"/>
              <w:bottom w:type="dxa" w:w="70"/>
              <w:right w:type="dxa" w:w="120"/>
            </w:tcMar>
          </w:tcPr>
          <w:p>
            <w:pPr>
              <w:spacing w:after="0"/>
            </w:pPr>
            <w:r>
              <w:t xml:space="preserve">The agent DAG runs; a dossier renders: theory of the case, issue clusters (Section 8.2 / pricing / invoice), entities (people + vendorx / wilsonpartners), a timeline, gaps, and next steps.</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Switch to </w:t>
            </w:r>
            <w:r>
              <w:rPr>
                <w:b/>
                <w:bCs/>
              </w:rPr>
              <w:t xml:space="preserve">Map</w:t>
            </w:r>
            <w:r>
              <w:t xml:space="preserve"> -&gt; </w:t>
            </w:r>
            <w:r>
              <w:rPr>
                <w:b/>
                <w:bCs/>
              </w:rPr>
              <w:t xml:space="preserve">▶ Build knowledge graph</w:t>
            </w:r>
            <w:r>
              <w:t xml:space="preserve">. Hover a node.</w:t>
            </w:r>
          </w:p>
        </w:tc>
        <w:tc>
          <w:tcPr>
            <w:tcW w:type="dxa" w:w="4400"/>
            <w:tcMar>
              <w:top w:type="dxa" w:w="70"/>
              <w:left w:type="dxa" w:w="120"/>
              <w:bottom w:type="dxa" w:w="70"/>
              <w:right w:type="dxa" w:w="120"/>
            </w:tcMar>
          </w:tcPr>
          <w:p>
            <w:pPr>
              <w:spacing w:after="0"/>
            </w:pPr>
            <w:r>
              <w:t xml:space="preserve">An interactive graph of people / orgs / issues; hovering highlights that node’s connections (e.g. counsel &lt;-&gt; privilege &lt;-&gt; Section 8.2).</w:t>
            </w:r>
          </w:p>
        </w:tc>
      </w:tr>
      <w:tr>
        <w:tc>
          <w:tcPr>
            <w:tcW w:type="dxa" w:w="560"/>
            <w:tcMar>
              <w:top w:type="dxa" w:w="70"/>
              <w:left w:type="dxa" w:w="120"/>
              <w:bottom w:type="dxa" w:w="70"/>
              <w:right w:type="dxa" w:w="120"/>
            </w:tcMar>
          </w:tcPr>
          <w:p>
            <w:pPr>
              <w:spacing w:after="100" w:before="0"/>
            </w:pPr>
            <w:r>
              <w:t xml:space="preserve">4</w:t>
            </w:r>
          </w:p>
        </w:tc>
        <w:tc>
          <w:tcPr>
            <w:tcW w:type="dxa" w:w="4400"/>
            <w:tcMar>
              <w:top w:type="dxa" w:w="70"/>
              <w:left w:type="dxa" w:w="120"/>
              <w:bottom w:type="dxa" w:w="70"/>
              <w:right w:type="dxa" w:w="120"/>
            </w:tcMar>
          </w:tcPr>
          <w:p>
            <w:pPr>
              <w:spacing w:after="0"/>
            </w:pPr>
            <w:r>
              <w:t xml:space="preserve">In the Case Graph tab, </w:t>
            </w:r>
            <w:r>
              <w:rPr>
                <w:b/>
                <w:bCs/>
              </w:rPr>
              <w:t xml:space="preserve">Agent actions</w:t>
            </w:r>
            <w:r>
              <w:t xml:space="preserve">: click </w:t>
            </w:r>
            <w:r>
              <w:rPr>
                <w:b/>
                <w:bCs/>
              </w:rPr>
              <w:t xml:space="preserve">Propose: tag reviewer-routed as responsive</w:t>
            </w:r>
            <w:r>
              <w:t xml:space="preserve">, then </w:t>
            </w:r>
            <w:r>
              <w:rPr>
                <w:b/>
                <w:bCs/>
              </w:rPr>
              <w:t xml:space="preserve">Approve</w:t>
            </w:r>
            <w:r>
              <w:t xml:space="preserve">.</w:t>
            </w:r>
          </w:p>
        </w:tc>
        <w:tc>
          <w:tcPr>
            <w:tcW w:type="dxa" w:w="4400"/>
            <w:tcMar>
              <w:top w:type="dxa" w:w="70"/>
              <w:left w:type="dxa" w:w="120"/>
              <w:bottom w:type="dxa" w:w="70"/>
              <w:right w:type="dxa" w:w="120"/>
            </w:tcMar>
          </w:tcPr>
          <w:p>
            <w:pPr>
              <w:spacing w:after="0"/>
            </w:pPr>
            <w:r>
              <w:t xml:space="preserve">A PENDING proposal appears; Approve executes the bulk coding and chain-seals it with your name. (Try </w:t>
            </w:r>
            <w:r>
              <w:rPr>
                <w:b/>
                <w:bCs/>
              </w:rPr>
              <w:t xml:space="preserve">Reject</w:t>
            </w:r>
            <w:r>
              <w:t xml:space="preserve"> on another - it closes with no change.)</w:t>
            </w:r>
          </w:p>
        </w:tc>
      </w:tr>
    </w:tbl>
    <w:p>
      <w:pPr>
        <w:spacing w:after="120" w:before="0"/>
      </w:pPr>
    </w:p>
    <w:p>
      <w:pPr>
        <w:pStyle w:val="Heading2"/>
        <w:spacing w:after="110" w:before="240"/>
      </w:pPr>
      <w:r>
        <w:t xml:space="preserve">Act VII — The findings (INV-3/4)</w:t>
      </w:r>
    </w:p>
    <w:p>
      <w:pPr>
        <w:spacing w:after="120" w:before="0"/>
      </w:pPr>
      <w:r>
        <w:t xml:space="preserve">Facts become a timeline; the timeline becomes a report.</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Investigations -&gt; your matter row -&gt; </w:t>
            </w:r>
            <w:r>
              <w:rPr>
                <w:b/>
                <w:bCs/>
              </w:rPr>
              <w:t xml:space="preserve">Chronology</w:t>
            </w:r>
            <w:r>
              <w:t xml:space="preserve"> -&gt; </w:t>
            </w:r>
            <w:r>
              <w:rPr>
                <w:b/>
                <w:bCs/>
              </w:rPr>
              <w:t xml:space="preserve">Suggest facts from collection</w:t>
            </w:r>
            <w:r>
              <w:t xml:space="preserve"> -&gt; </w:t>
            </w:r>
            <w:r>
              <w:rPr>
                <w:b/>
                <w:bCs/>
              </w:rPr>
              <w:t xml:space="preserve">+ Add</w:t>
            </w:r>
            <w:r>
              <w:t xml:space="preserve"> a couple.</w:t>
            </w:r>
          </w:p>
        </w:tc>
        <w:tc>
          <w:tcPr>
            <w:tcW w:type="dxa" w:w="4400"/>
            <w:tcMar>
              <w:top w:type="dxa" w:w="70"/>
              <w:left w:type="dxa" w:w="120"/>
              <w:bottom w:type="dxa" w:w="70"/>
              <w:right w:type="dxa" w:w="120"/>
            </w:tcMar>
          </w:tcPr>
          <w:p>
            <w:pPr>
              <w:spacing w:after="0"/>
            </w:pPr>
            <w:r>
              <w:t xml:space="preserve">Dated facts (e.g. the 2025 Section 8.2 thread, the Q1 invoice) enter the timeline.</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Same row -&gt; </w:t>
            </w:r>
            <w:r>
              <w:rPr>
                <w:b/>
                <w:bCs/>
              </w:rPr>
              <w:t xml:space="preserve">Report</w:t>
            </w:r>
            <w:r>
              <w:t xml:space="preserve">.</w:t>
            </w:r>
          </w:p>
        </w:tc>
        <w:tc>
          <w:tcPr>
            <w:tcW w:type="dxa" w:w="4400"/>
            <w:tcMar>
              <w:top w:type="dxa" w:w="70"/>
              <w:left w:type="dxa" w:w="120"/>
              <w:bottom w:type="dxa" w:w="70"/>
              <w:right w:type="dxa" w:w="120"/>
            </w:tcMar>
          </w:tcPr>
          <w:p>
            <w:pPr>
              <w:spacing w:after="0"/>
            </w:pPr>
            <w:r>
              <w:t xml:space="preserve">A findings report renders: summary, issues, chronology, key documents, evidence posture, gaps, next steps. </w:t>
            </w:r>
            <w:r>
              <w:rPr>
                <w:b/>
                <w:bCs/>
              </w:rPr>
              <w:t xml:space="preserve">Copy Markdown</w:t>
            </w:r>
            <w:r>
              <w:t xml:space="preserve"> works.</w:t>
            </w:r>
          </w:p>
        </w:tc>
      </w:tr>
    </w:tbl>
    <w:p>
      <w:pPr>
        <w:spacing w:after="120" w:before="0"/>
      </w:pPr>
    </w:p>
    <w:p>
      <w:pPr>
        <w:pStyle w:val="Heading2"/>
        <w:spacing w:after="110" w:before="240"/>
      </w:pPr>
      <w:r>
        <w:t xml:space="preserve">Act VIII — Preserve, produce, prove (Hold / Produce / Audit)</w:t>
      </w:r>
    </w:p>
    <w:p>
      <w:pPr>
        <w:spacing w:after="120" w:before="0"/>
      </w:pPr>
      <w:r>
        <w:t xml:space="preserve">Close the loop with real preservation and a tamper-evident record.</w:t>
      </w:r>
    </w:p>
    <w:tbl>
      <w:tblPr>
        <w:tblW w:type="dxa" w:w="9360"/>
        <w:tblBorders>
          <w:top w:val="single" w:color="E2E6EC" w:sz="4"/>
          <w:left w:val="single" w:color="E2E6EC" w:sz="4"/>
          <w:bottom w:val="single" w:color="E2E6EC" w:sz="4"/>
          <w:right w:val="single" w:color="E2E6EC" w:sz="4"/>
          <w:insideH w:val="single" w:color="E2E6EC" w:sz="4"/>
          <w:insideV w:val="single" w:color="E2E6EC" w:sz="4"/>
        </w:tblBorders>
      </w:tblPr>
      <w:tblGrid>
        <w:gridCol w:w="560"/>
        <w:gridCol w:w="4400"/>
        <w:gridCol w:w="4400"/>
      </w:tblGrid>
      <w:tr>
        <w:trPr>
          <w:tblHeader/>
        </w:trPr>
        <w:tc>
          <w:tcPr>
            <w:tcW w:type="dxa" w:w="560"/>
            <w:shd w:fill="F2F4F7" w:color="auto" w:val="clear"/>
            <w:tcMar>
              <w:top w:type="dxa" w:w="70"/>
              <w:left w:type="dxa" w:w="120"/>
              <w:bottom w:type="dxa" w:w="70"/>
              <w:right w:type="dxa" w:w="120"/>
            </w:tcMar>
          </w:tcPr>
          <w:p>
            <w:pPr>
              <w:spacing w:after="100" w:before="0"/>
            </w:pPr>
            <w:r>
              <w:t xml:space="preserve">#</w:t>
            </w:r>
          </w:p>
        </w:tc>
        <w:tc>
          <w:tcPr>
            <w:tcW w:type="dxa" w:w="4400"/>
            <w:shd w:fill="F2F4F7" w:color="auto" w:val="clear"/>
            <w:tcMar>
              <w:top w:type="dxa" w:w="70"/>
              <w:left w:type="dxa" w:w="120"/>
              <w:bottom w:type="dxa" w:w="70"/>
              <w:right w:type="dxa" w:w="120"/>
            </w:tcMar>
          </w:tcPr>
          <w:p>
            <w:pPr>
              <w:spacing w:after="100" w:before="0"/>
            </w:pPr>
            <w:r>
              <w:t xml:space="preserve">Do this</w:t>
            </w:r>
          </w:p>
        </w:tc>
        <w:tc>
          <w:tcPr>
            <w:tcW w:type="dxa" w:w="4400"/>
            <w:shd w:fill="F2F4F7" w:color="auto" w:val="clear"/>
            <w:tcMar>
              <w:top w:type="dxa" w:w="70"/>
              <w:left w:type="dxa" w:w="120"/>
              <w:bottom w:type="dxa" w:w="70"/>
              <w:right w:type="dxa" w:w="120"/>
            </w:tcMar>
          </w:tcPr>
          <w:p>
            <w:pPr>
              <w:spacing w:after="100" w:before="0"/>
            </w:pPr>
            <w:r>
              <w:t xml:space="preserve">You should see (pass)</w:t>
            </w:r>
          </w:p>
        </w:tc>
      </w:tr>
      <w:tr>
        <w:tc>
          <w:tcPr>
            <w:tcW w:type="dxa" w:w="560"/>
            <w:tcMar>
              <w:top w:type="dxa" w:w="70"/>
              <w:left w:type="dxa" w:w="120"/>
              <w:bottom w:type="dxa" w:w="70"/>
              <w:right w:type="dxa" w:w="120"/>
            </w:tcMar>
          </w:tcPr>
          <w:p>
            <w:pPr>
              <w:spacing w:after="100" w:before="0"/>
            </w:pPr>
            <w:r>
              <w:t xml:space="preserve">1</w:t>
            </w:r>
          </w:p>
        </w:tc>
        <w:tc>
          <w:tcPr>
            <w:tcW w:type="dxa" w:w="4400"/>
            <w:tcMar>
              <w:top w:type="dxa" w:w="70"/>
              <w:left w:type="dxa" w:w="120"/>
              <w:bottom w:type="dxa" w:w="70"/>
              <w:right w:type="dxa" w:w="120"/>
            </w:tcMar>
          </w:tcPr>
          <w:p>
            <w:pPr>
              <w:spacing w:after="0"/>
            </w:pPr>
            <w:r>
              <w:t xml:space="preserve">Open the matter -&gt; </w:t>
            </w:r>
            <w:r>
              <w:rPr>
                <w:b/>
                <w:bCs/>
              </w:rPr>
              <w:t xml:space="preserve">Legal Hold</w:t>
            </w:r>
            <w:r>
              <w:t xml:space="preserve"> -&gt; issue the hold (record a trigger if prompted).</w:t>
            </w:r>
          </w:p>
        </w:tc>
        <w:tc>
          <w:tcPr>
            <w:tcW w:type="dxa" w:w="4400"/>
            <w:tcMar>
              <w:top w:type="dxa" w:w="70"/>
              <w:left w:type="dxa" w:w="120"/>
              <w:bottom w:type="dxa" w:w="70"/>
              <w:right w:type="dxa" w:w="120"/>
            </w:tcMar>
          </w:tcPr>
          <w:p>
            <w:pPr>
              <w:spacing w:after="0"/>
            </w:pPr>
            <w:r>
              <w:t xml:space="preserve">Hold moves DRAFT -&gt; ISSUED/ACTIVE; a defensibility score renders. On a connected tenant the data-source badges move to </w:t>
            </w:r>
            <w:r>
              <w:rPr>
                <w:b/>
                <w:bCs/>
              </w:rPr>
              <w:t xml:space="preserve">ON_HOLD</w:t>
            </w:r>
            <w:r>
              <w:t xml:space="preserve"> (real Purview); otherwise it degrades gracefully and records the gap.</w:t>
            </w:r>
          </w:p>
        </w:tc>
      </w:tr>
      <w:tr>
        <w:tc>
          <w:tcPr>
            <w:tcW w:type="dxa" w:w="560"/>
            <w:tcMar>
              <w:top w:type="dxa" w:w="70"/>
              <w:left w:type="dxa" w:w="120"/>
              <w:bottom w:type="dxa" w:w="70"/>
              <w:right w:type="dxa" w:w="120"/>
            </w:tcMar>
          </w:tcPr>
          <w:p>
            <w:pPr>
              <w:spacing w:after="100" w:before="0"/>
            </w:pPr>
            <w:r>
              <w:t xml:space="preserve">2</w:t>
            </w:r>
          </w:p>
        </w:tc>
        <w:tc>
          <w:tcPr>
            <w:tcW w:type="dxa" w:w="4400"/>
            <w:tcMar>
              <w:top w:type="dxa" w:w="70"/>
              <w:left w:type="dxa" w:w="120"/>
              <w:bottom w:type="dxa" w:w="70"/>
              <w:right w:type="dxa" w:w="120"/>
            </w:tcMar>
          </w:tcPr>
          <w:p>
            <w:pPr>
              <w:spacing w:after="0"/>
            </w:pPr>
            <w:r>
              <w:t xml:space="preserve">Open </w:t>
            </w:r>
            <w:r>
              <w:rPr>
                <w:b/>
                <w:bCs/>
              </w:rPr>
              <w:t xml:space="preserve">Produce</w:t>
            </w:r>
            <w:r>
              <w:t xml:space="preserve"> -&gt; set a Bates prefix -&gt; produce.</w:t>
            </w:r>
          </w:p>
        </w:tc>
        <w:tc>
          <w:tcPr>
            <w:tcW w:type="dxa" w:w="4400"/>
            <w:tcMar>
              <w:top w:type="dxa" w:w="70"/>
              <w:left w:type="dxa" w:w="120"/>
              <w:bottom w:type="dxa" w:w="70"/>
              <w:right w:type="dxa" w:w="120"/>
            </w:tcMar>
          </w:tcPr>
          <w:p>
            <w:pPr>
              <w:spacing w:after="0"/>
            </w:pPr>
            <w:r>
              <w:t xml:space="preserve">Bates numbers stamped; a privilege log + production manifest build from the coding.</w:t>
            </w:r>
          </w:p>
        </w:tc>
      </w:tr>
      <w:tr>
        <w:tc>
          <w:tcPr>
            <w:tcW w:type="dxa" w:w="560"/>
            <w:tcMar>
              <w:top w:type="dxa" w:w="70"/>
              <w:left w:type="dxa" w:w="120"/>
              <w:bottom w:type="dxa" w:w="70"/>
              <w:right w:type="dxa" w:w="120"/>
            </w:tcMar>
          </w:tcPr>
          <w:p>
            <w:pPr>
              <w:spacing w:after="100" w:before="0"/>
            </w:pPr>
            <w:r>
              <w:t xml:space="preserve">3</w:t>
            </w:r>
          </w:p>
        </w:tc>
        <w:tc>
          <w:tcPr>
            <w:tcW w:type="dxa" w:w="4400"/>
            <w:tcMar>
              <w:top w:type="dxa" w:w="70"/>
              <w:left w:type="dxa" w:w="120"/>
              <w:bottom w:type="dxa" w:w="70"/>
              <w:right w:type="dxa" w:w="120"/>
            </w:tcMar>
          </w:tcPr>
          <w:p>
            <w:pPr>
              <w:spacing w:after="0"/>
            </w:pPr>
            <w:r>
              <w:t xml:space="preserve">Nav -&gt; Admin -&gt; </w:t>
            </w:r>
            <w:r>
              <w:rPr>
                <w:b/>
                <w:bCs/>
              </w:rPr>
              <w:t xml:space="preserve">Audit Log</w:t>
            </w:r>
            <w:r>
              <w:t xml:space="preserve"> -&gt; </w:t>
            </w:r>
            <w:r>
              <w:rPr>
                <w:b/>
                <w:bCs/>
              </w:rPr>
              <w:t xml:space="preserve">Verify chain</w:t>
            </w:r>
            <w:r>
              <w:t xml:space="preserve">.</w:t>
            </w:r>
          </w:p>
        </w:tc>
        <w:tc>
          <w:tcPr>
            <w:tcW w:type="dxa" w:w="4400"/>
            <w:tcMar>
              <w:top w:type="dxa" w:w="70"/>
              <w:left w:type="dxa" w:w="120"/>
              <w:bottom w:type="dxa" w:w="70"/>
              <w:right w:type="dxa" w:w="120"/>
            </w:tcMar>
          </w:tcPr>
          <w:p>
            <w:pPr>
              <w:spacing w:after="0"/>
            </w:pPr>
            <w:r>
              <w:t xml:space="preserve">Chain verification = </w:t>
            </w:r>
            <w:r>
              <w:rPr>
                <w:b/>
                <w:bCs/>
              </w:rPr>
              <w:t xml:space="preserve">intact</w:t>
            </w:r>
            <w:r>
              <w:t xml:space="preserve">. Every step above (collect, review, validate, agent action, hold) is a sealed row. Optionally </w:t>
            </w:r>
            <w:r>
              <w:rPr>
                <w:b/>
                <w:bCs/>
              </w:rPr>
              <w:t xml:space="preserve">Export</w:t>
            </w:r>
            <w:r>
              <w:t xml:space="preserve"> the defensibility report (JSON + PDF).</w:t>
            </w:r>
          </w:p>
        </w:tc>
      </w:tr>
    </w:tbl>
    <w:p>
      <w:pPr>
        <w:spacing w:after="120" w:before="0"/>
      </w:pPr>
    </w:p>
    <w:p>
      <w:r>
        <w:br w:type="page"/>
      </w:r>
    </w:p>
    <w:p>
      <w:pPr>
        <w:pStyle w:val="Heading1"/>
        <w:spacing w:after="110" w:before="240"/>
      </w:pPr>
      <w:r>
        <w:t xml:space="preserve">What this story just tested</w:t>
      </w:r>
    </w:p>
    <w:p>
      <w:pPr>
        <w:pStyle w:val="ListParagraph"/>
        <w:numPr>
          <w:ilvl w:val="0"/>
          <w:numId w:val="2"/>
        </w:numPr>
        <w:spacing w:after="60"/>
      </w:pPr>
      <w:r>
        <w:rPr>
          <w:b/>
          <w:bCs/>
        </w:rPr>
        <w:t xml:space="preserve">Context from a letter</w:t>
      </w:r>
      <w:r>
        <w:t xml:space="preserve"> - the whistleblower letter drove the investigation (Act I) and your criteria drove the AI review (Act IV).</w:t>
      </w:r>
    </w:p>
    <w:p>
      <w:pPr>
        <w:pStyle w:val="ListParagraph"/>
        <w:numPr>
          <w:ilvl w:val="0"/>
          <w:numId w:val="2"/>
        </w:numPr>
        <w:spacing w:after="60"/>
      </w:pPr>
      <w:r>
        <w:rPr>
          <w:b/>
          <w:bCs/>
        </w:rPr>
        <w:t xml:space="preserve">Add custodians -&gt; collect -&gt; process</w:t>
      </w:r>
      <w:r>
        <w:t xml:space="preserve"> - Acts II-III on real or mock M365.</w:t>
      </w:r>
    </w:p>
    <w:p>
      <w:pPr>
        <w:pStyle w:val="ListParagraph"/>
        <w:numPr>
          <w:ilvl w:val="0"/>
          <w:numId w:val="2"/>
        </w:numPr>
        <w:spacing w:after="60"/>
      </w:pPr>
      <w:r>
        <w:rPr>
          <w:b/>
          <w:bCs/>
        </w:rPr>
        <w:t xml:space="preserve">AI review with your prompt</w:t>
      </w:r>
      <w:r>
        <w:t xml:space="preserve"> - multi-dimension tagging + routing + citations (Act IV).</w:t>
      </w:r>
    </w:p>
    <w:p>
      <w:pPr>
        <w:pStyle w:val="ListParagraph"/>
        <w:numPr>
          <w:ilvl w:val="0"/>
          <w:numId w:val="2"/>
        </w:numPr>
        <w:spacing w:after="60"/>
      </w:pPr>
      <w:r>
        <w:rPr>
          <w:b/>
          <w:bCs/>
        </w:rPr>
        <w:t xml:space="preserve">Validate the AI</w:t>
      </w:r>
      <w:r>
        <w:t xml:space="preserve"> - recall/precision + fail-closed apply-at-scale (Act V).</w:t>
      </w:r>
    </w:p>
    <w:p>
      <w:pPr>
        <w:pStyle w:val="ListParagraph"/>
        <w:numPr>
          <w:ilvl w:val="0"/>
          <w:numId w:val="2"/>
        </w:numPr>
        <w:spacing w:after="60"/>
      </w:pPr>
      <w:r>
        <w:rPr>
          <w:b/>
          <w:bCs/>
        </w:rPr>
        <w:t xml:space="preserve">Solve the case</w:t>
      </w:r>
      <w:r>
        <w:t xml:space="preserve"> - copilot Q&amp;A, agent-graph dossier, knowledge graph, governed agent actions (Act VI).</w:t>
      </w:r>
    </w:p>
    <w:p>
      <w:pPr>
        <w:pStyle w:val="ListParagraph"/>
        <w:numPr>
          <w:ilvl w:val="0"/>
          <w:numId w:val="2"/>
        </w:numPr>
        <w:spacing w:after="60"/>
      </w:pPr>
      <w:r>
        <w:rPr>
          <w:b/>
          <w:bCs/>
        </w:rPr>
        <w:t xml:space="preserve">Findings + defensibility</w:t>
      </w:r>
      <w:r>
        <w:t xml:space="preserve"> - chronology, report, hold/preservation, production, chain-sealed audit (Acts VII-VIII).</w:t>
      </w:r>
    </w:p>
    <w:p>
      <w:pPr>
        <w:spacing w:after="100" w:before="80"/>
      </w:pPr>
      <w:r>
        <w:t xml:space="preserve">Shortcut: a pre-seeded investigation “Project Falcon - Trade-Secret Misappropriation” already exists if you want to skip Act I and jump to custodians; but building a fresh one from the letter is what exercises the context-from-document feature.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2F5D8C"/>
      <w:sz w:val="30"/>
      <w:szCs w:val="30"/>
    </w:rPr>
  </w:style>
  <w:style w:type="paragraph" w:styleId="Heading2">
    <w:name w:val="Heading 2"/>
    <w:basedOn w:val="Normal"/>
    <w:next w:val="Normal"/>
    <w:qFormat/>
    <w:pPr>
      <w:spacing w:after="100" w:before="220"/>
      <w:outlineLvl w:val="1"/>
    </w:pPr>
    <w:rPr>
      <w:b/>
      <w:bCs/>
      <w:color w:val="1A22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Project Falcon Demo Story</dc:title>
  <dc:creator>AEGIS</dc:creator>
  <cp:lastModifiedBy>Un-named</cp:lastModifiedBy>
  <cp:revision>1</cp:revision>
  <dcterms:created xsi:type="dcterms:W3CDTF">2026-08-24T10:21:41.263Z</dcterms:created>
  <dcterms:modified xsi:type="dcterms:W3CDTF">2026-08-24T10:21:41.291Z</dcterms:modified>
</cp:coreProperties>
</file>

<file path=docProps/custom.xml><?xml version="1.0" encoding="utf-8"?>
<Properties xmlns="http://schemas.openxmlformats.org/officeDocument/2006/custom-properties" xmlns:vt="http://schemas.openxmlformats.org/officeDocument/2006/docPropsVTypes"/>
</file>