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877F2"/>
          <w:sz w:val="52"/>
          <w:szCs w:val="52"/>
        </w:rPr>
        <w:t xml:space="preserve">AEGIS</w:t>
      </w:r>
    </w:p>
    <w:p>
      <w:pPr>
        <w:spacing w:after="40"/>
      </w:pPr>
      <w:r>
        <w:rPr>
          <w:b/>
          <w:bCs/>
          <w:color w:val="1C1E21"/>
          <w:sz w:val="30"/>
          <w:szCs w:val="30"/>
        </w:rPr>
        <w:t xml:space="preserve">eDiscovery, Investigations &amp; Review — Demo &amp; Test Script</w:t>
      </w:r>
    </w:p>
    <w:p>
      <w:pPr>
        <w:spacing w:after="20"/>
      </w:pPr>
      <w:r>
        <w:rPr>
          <w:color w:val="65676B"/>
          <w:sz w:val="22"/>
          <w:szCs w:val="22"/>
        </w:rPr>
        <w:t xml:space="preserve">A step-by-step walkthrough for running a client demo and testing every feature end-to-end.</w:t>
      </w:r>
    </w:p>
    <w:p>
      <w:pPr>
        <w:spacing w:after="200"/>
      </w:pPr>
      <w:r>
        <w:rPr>
          <w:i/>
          <w:iCs/>
          <w:color w:val="65676B"/>
        </w:rPr>
        <w:t xml:space="preserve">One case, front to back: VendorX MSA — Section 8.2 IP dispute.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0. Before you start (5 minutes)</w:t>
      </w:r>
    </w:p>
    <w:p>
      <w:pPr>
        <w:spacing w:after="90"/>
      </w:pPr>
      <w:r>
        <w:rPr>
          <w:color w:val="1C1E21"/>
        </w:rPr>
        <w:t xml:space="preserve">This script assumes the app is deployed and seeded. Confirm the following once; then you can run the whole demo without leaving the browser.</w:t>
      </w:r>
    </w:p>
    <w:p>
      <w:pPr>
        <w:pStyle w:val="Heading2"/>
        <w:spacing w:after="90" w:before="200"/>
      </w:pPr>
      <w:r>
        <w:rPr>
          <w:b/>
          <w:bCs/>
          <w:color w:val="1877F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E21"/>
        </w:rPr>
        <w:t xml:space="preserve">You can sign in as an admin (or a user with legal-hold / DSAR write permission).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E21"/>
        </w:rPr>
        <w:t xml:space="preserve">Microsoft 365 is connected: /admin/m365 shows MODE: REAL GRAPH and a recent Verify. (If not connected, everything still runs on simulated data — the flow is identical, and collected docs are flagged “simulated”.)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E21"/>
        </w:rPr>
        <w:t xml:space="preserve">The demo tenant mailboxes are seeded (marcus.reid@6bs6wq.onmicrosoft.com, priya.kulkarni@6bs6wq.onmicrosoft.com, carlos.mendez@6bs6wq.onmicrosoft.com).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E21"/>
        </w:rPr>
        <w:t xml:space="preserve">ANTHROPIC_API_KEY is set for the live-AI moments (Copilot answers, Case Graph theory, theme naming). Without it, those degrade to the deterministic engine and still work — just say “running offline”.</w:t>
      </w:r>
    </w:p>
    <w:p>
      <w:pPr>
        <w:pStyle w:val="Heading2"/>
        <w:spacing w:after="90" w:before="200"/>
      </w:pPr>
      <w:r>
        <w:rPr>
          <w:b/>
          <w:bCs/>
          <w:color w:val="1877F2"/>
        </w:rPr>
        <w:t xml:space="preserve">The 60-second orientation for the room</w:t>
      </w:r>
    </w:p>
    <w:p>
      <w:pPr>
        <w:spacing w:after="90"/>
      </w:pPr>
      <w:r>
        <w:rPr>
          <w:color w:val="1C1E21"/>
        </w:rPr>
        <w:t xml:space="preserve">AEGIS runs the whole eDiscovery lifecycle on </w:t>
      </w:r>
      <w:r>
        <w:rPr>
          <w:b/>
          <w:bCs/>
          <w:color w:val="1C1E21"/>
        </w:rPr>
        <w:t xml:space="preserve">one brain</w:t>
      </w:r>
      <w:r>
        <w:rPr>
          <w:color w:val="1C1E21"/>
        </w:rPr>
        <w:t xml:space="preserve"> — collect → process/cull → AI review → validate → produce — with conservative governance: </w:t>
      </w:r>
      <w:r>
        <w:rPr>
          <w:b/>
          <w:bCs/>
          <w:color w:val="1C1E21"/>
        </w:rPr>
        <w:t xml:space="preserve">every AI action that touches evidence needs a human approval and is chain-sealed in the audit ledger.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1. The case (your narrative)</w:t>
      </w:r>
    </w:p>
    <w:p>
      <w:pPr>
        <w:spacing w:after="90"/>
      </w:pPr>
      <w:r>
        <w:rPr>
          <w:color w:val="1C1E21"/>
        </w:rPr>
        <w:t xml:space="preserve">A whistleblower alleges that during the VendorX master-services negotiation, a member of the engineering team shared AEGIS’s confidential §8.2 pricing model and proprietary source-code excerpts with the counterparty before signing, and that a departing engineer moved key files to a personal drive. You’ll open an investigation, preserve + collect from the custodians, cull and AI-review the set, interrogate it with the Copilot, validate the AI, and produce to Relativity.</w:t>
      </w:r>
    </w:p>
    <w:p>
      <w:pPr>
        <w:spacing w:after="90"/>
      </w:pPr>
      <w:r>
        <w:rPr>
          <w:b/>
          <w:bCs/>
          <w:color w:val="1C1E21"/>
        </w:rPr>
        <w:t xml:space="preserve">Custodian slate: </w:t>
      </w:r>
      <w:r>
        <w:rPr>
          <w:color w:val="1C1E21"/>
        </w:rPr>
        <w:t xml:space="preserve">Marcus Reid (counsel), Priya Kulkarni (engineering lead), Carlos Mendez (finance).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2. Warm-up: the look (10 seconds of wow)</w:t>
      </w:r>
    </w:p>
    <w:p>
      <w:pPr>
        <w:spacing w:after="30" w:before="120"/>
      </w:pPr>
      <w:r>
        <w:rPr>
          <w:b/>
          <w:bCs/>
          <w:color w:val="1877F2"/>
        </w:rPr>
        <w:t xml:space="preserve">Step 1. </w:t>
      </w:r>
      <w:r>
        <w:rPr>
          <w:b/>
          <w:bCs/>
          <w:color w:val="1C1E21"/>
        </w:rPr>
        <w:t xml:space="preserve">Click the floating pill in the bottom-right corner (🌙 Blue / ☀️ Lite).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The whole app switches between the dark “Blue” theme and a light “Facebook Lite” theme instantly, and remembers your choice on reload.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Some GCs live in dark mode, some want a familiar light UI for their team — AEGIS ships both, one click.</w:t>
      </w:r>
    </w:p>
    <w:p>
      <w:pPr>
        <w:spacing w:after="90"/>
      </w:pPr>
      <w:r>
        <w:rPr>
          <w:i/>
          <w:iCs/>
          <w:color w:val="65676B"/>
        </w:rPr>
        <w:t xml:space="preserve">Tip: pick whichever theme reads best on the room’s projector before you start.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3. Open the investigation from an allegation</w:t>
      </w:r>
    </w:p>
    <w:p>
      <w:pPr>
        <w:spacing w:after="30" w:before="120"/>
      </w:pPr>
      <w:r>
        <w:rPr>
          <w:b/>
          <w:bCs/>
          <w:color w:val="1877F2"/>
        </w:rPr>
        <w:t xml:space="preserve">Step 2. </w:t>
      </w:r>
      <w:r>
        <w:rPr>
          <w:b/>
          <w:bCs/>
          <w:color w:val="1C1E21"/>
        </w:rPr>
        <w:t xml:space="preserve">Go to Investigations → + New investigation.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The New Investigation dialog opens.</w:t>
      </w:r>
    </w:p>
    <w:p>
      <w:pPr>
        <w:spacing w:after="30" w:before="120"/>
      </w:pPr>
      <w:r>
        <w:rPr>
          <w:b/>
          <w:bCs/>
          <w:color w:val="1877F2"/>
        </w:rPr>
        <w:t xml:space="preserve">Step 3. </w:t>
      </w:r>
      <w:r>
        <w:rPr>
          <w:b/>
          <w:bCs/>
          <w:color w:val="1C1E21"/>
        </w:rPr>
        <w:t xml:space="preserve">In the Source letter box, click “Insert sample allegation” (or paste your own).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A structured VendorX §8.2 allegation fills the box. Note the fill-in-the-blanks template shown when the box is empty.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You don’t need a formal letter — counsel can frame it in a few lines and AEGIS takes it from there.</w:t>
      </w:r>
    </w:p>
    <w:p>
      <w:pPr>
        <w:spacing w:after="30" w:before="120"/>
      </w:pPr>
      <w:r>
        <w:rPr>
          <w:b/>
          <w:bCs/>
          <w:color w:val="1877F2"/>
        </w:rPr>
        <w:t xml:space="preserve">Step 4. </w:t>
      </w:r>
      <w:r>
        <w:rPr>
          <w:b/>
          <w:bCs/>
          <w:color w:val="1C1E21"/>
        </w:rPr>
        <w:t xml:space="preserve">Click “✨ Extract issues &amp; draft plan”.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AEGIS extracts issue codes (trade-secret misappropriation, §8.2 breach, data exfiltration…) and drafts a workplan: steps, custodian hints, and a collection scope.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This is the matter taking shape automatically from the allegation.</w:t>
      </w:r>
    </w:p>
    <w:p>
      <w:pPr>
        <w:spacing w:after="30" w:before="120"/>
      </w:pPr>
      <w:r>
        <w:rPr>
          <w:b/>
          <w:bCs/>
          <w:color w:val="1877F2"/>
        </w:rPr>
        <w:t xml:space="preserve">Step 5. </w:t>
      </w:r>
      <w:r>
        <w:rPr>
          <w:b/>
          <w:bCs/>
          <w:color w:val="1C1E21"/>
        </w:rPr>
        <w:t xml:space="preserve">Click “Open investigation →”.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A Matter of type INVESTIGATION is created and appears in the Investigations list.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4. Select custodians and collect (with filters)</w:t>
      </w:r>
    </w:p>
    <w:p>
      <w:pPr>
        <w:spacing w:after="30" w:before="120"/>
      </w:pPr>
      <w:r>
        <w:rPr>
          <w:b/>
          <w:bCs/>
          <w:color w:val="1877F2"/>
        </w:rPr>
        <w:t xml:space="preserve">Step 6. </w:t>
      </w:r>
      <w:r>
        <w:rPr>
          <w:b/>
          <w:bCs/>
          <w:color w:val="1C1E21"/>
        </w:rPr>
        <w:t xml:space="preserve">On the investigation row, click “Custodians”.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The search-driven picker opens. (No more “0 custodians” dead-end.)</w:t>
      </w:r>
    </w:p>
    <w:p>
      <w:pPr>
        <w:spacing w:after="30" w:before="120"/>
      </w:pPr>
      <w:r>
        <w:rPr>
          <w:b/>
          <w:bCs/>
          <w:color w:val="1877F2"/>
        </w:rPr>
        <w:t xml:space="preserve">Step 7. </w:t>
      </w:r>
      <w:r>
        <w:rPr>
          <w:b/>
          <w:bCs/>
          <w:color w:val="1C1E21"/>
        </w:rPr>
        <w:t xml:space="preserve">Type “priya”, then “marcus”, then “carlos”; click each real @6bs6wq match to add it.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Each name resolves to a single, de-duplicated directory entry. Added custodians appear as chips. A “SIMULATED DIRECTORY” badge shows only if M365 isn’t connected.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The picker reads the live Microsoft directory and de-dupes by email, so you always pick the real mailbox.</w:t>
      </w:r>
    </w:p>
    <w:p>
      <w:pPr>
        <w:spacing w:after="30" w:before="120"/>
      </w:pPr>
      <w:r>
        <w:rPr>
          <w:b/>
          <w:bCs/>
          <w:color w:val="1877F2"/>
        </w:rPr>
        <w:t xml:space="preserve">Step 8. </w:t>
      </w:r>
      <w:r>
        <w:rPr>
          <w:b/>
          <w:bCs/>
          <w:color w:val="1C1E21"/>
        </w:rPr>
        <w:t xml:space="preserve">Optional — under “Collection scope (optional)” set a From/To date and/or keywords (e.g. pricing, source code).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The collection will be filtered before review — date bounds skip undated files; keywords match subject/body/attachments.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You can scope tightly right at collection time — a date window around the negotiation, key terms only.</w:t>
      </w:r>
    </w:p>
    <w:p>
      <w:pPr>
        <w:spacing w:after="30" w:before="120"/>
      </w:pPr>
      <w:r>
        <w:rPr>
          <w:b/>
          <w:bCs/>
          <w:color w:val="1877F2"/>
        </w:rPr>
        <w:t xml:space="preserve">Step 9. </w:t>
      </w:r>
      <w:r>
        <w:rPr>
          <w:b/>
          <w:bCs/>
          <w:color w:val="1C1E21"/>
        </w:rPr>
        <w:t xml:space="preserve">Click “⚖ Preserve &amp; collect →”, then “Open collection →”.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A draft legal hold is created on the matter and the custodians’ mail/files are collected into a review set. You land in the Collection workspace.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5. Early Case Assessment (how big, what, how much)</w:t>
      </w:r>
    </w:p>
    <w:p>
      <w:pPr>
        <w:spacing w:after="30" w:before="120"/>
      </w:pPr>
      <w:r>
        <w:rPr>
          <w:b/>
          <w:bCs/>
          <w:color w:val="1877F2"/>
        </w:rPr>
        <w:t xml:space="preserve">Step 10. </w:t>
      </w:r>
      <w:r>
        <w:rPr>
          <w:b/>
          <w:bCs/>
          <w:color w:val="1C1E21"/>
        </w:rPr>
        <w:t xml:space="preserve">Note the stepper across the top: ECA → Cull → Review → Copilot → Validate → Batches → Produce. Click ECA.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The crisp stepper lets you jump between stages; ECA opens.</w:t>
      </w:r>
    </w:p>
    <w:p>
      <w:pPr>
        <w:spacing w:after="30" w:before="120"/>
      </w:pPr>
      <w:r>
        <w:rPr>
          <w:b/>
          <w:bCs/>
          <w:color w:val="1877F2"/>
        </w:rPr>
        <w:t xml:space="preserve">Step 11. </w:t>
      </w:r>
      <w:r>
        <w:rPr>
          <w:b/>
          <w:bCs/>
          <w:color w:val="1C1E21"/>
        </w:rPr>
        <w:t xml:space="preserve">Read the Volume funnel, then tune the estimate (min/doc and $/hour inputs).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The funnel shows Collected → After dedup → After threading → In scope with “−N dropped” per stage; the cost/time estimate and “saved by culling” update live as you change the inputs.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Before anyone reviews a page, the GC sees the size, the cost, and what culling saves.</w:t>
      </w:r>
    </w:p>
    <w:p>
      <w:pPr>
        <w:spacing w:after="30" w:before="120"/>
      </w:pPr>
      <w:r>
        <w:rPr>
          <w:b/>
          <w:bCs/>
          <w:color w:val="1877F2"/>
        </w:rPr>
        <w:t xml:space="preserve">Step 12. </w:t>
      </w:r>
      <w:r>
        <w:rPr>
          <w:b/>
          <w:bCs/>
          <w:color w:val="1C1E21"/>
        </w:rPr>
        <w:t xml:space="preserve">In the Themes card, click “✨ Cluster by theme”.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The collection groups into themes (e.g. Pricing negotiation, Source-code access, SEC inquiry) with sizes and top terms; when AI is on, themes get named (“AI-named” badge).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This is the shape of the case at a glance — reviewers know where to look first.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6. Cull the set (defensibly, reversibly)</w:t>
      </w:r>
    </w:p>
    <w:p>
      <w:pPr>
        <w:spacing w:after="30" w:before="120"/>
      </w:pPr>
      <w:r>
        <w:rPr>
          <w:b/>
          <w:bCs/>
          <w:color w:val="1877F2"/>
        </w:rPr>
        <w:t xml:space="preserve">Step 13. </w:t>
      </w:r>
      <w:r>
        <w:rPr>
          <w:b/>
          <w:bCs/>
          <w:color w:val="1C1E21"/>
        </w:rPr>
        <w:t xml:space="preserve">Go to Cull. Click “Apply cull” to suppress older thread messages + near-duplicates.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The before→after count drops; suppressed docs are excluded from review and production, each recorded in the chain-sealed exclusion log. “Restore” brings them back.</w:t>
      </w:r>
    </w:p>
    <w:p>
      <w:pPr>
        <w:spacing w:after="30" w:before="120"/>
      </w:pPr>
      <w:r>
        <w:rPr>
          <w:b/>
          <w:bCs/>
          <w:color w:val="1877F2"/>
        </w:rPr>
        <w:t xml:space="preserve">Step 14. </w:t>
      </w:r>
      <w:r>
        <w:rPr>
          <w:b/>
          <w:bCs/>
          <w:color w:val="1C1E21"/>
        </w:rPr>
        <w:t xml:space="preserve">Under “More cull passes”, try: junk/keyword cull (add “unsubscribe”, “newsletter”), a source-type cull (e.g. exclude TEAMS), and a date-window cull (After/Before).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Each pass excludes matching items with its own reason (KEYWORD_EXCLUDED / SOURCE_EXCLUDED / OUT_OF_DATE_RANGE), reversible and audited. Undated items are never dropped by the date window.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Every cull is a defensible, reversible, logged decision — not a black box.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7. AI review — AI proposes, a human disposes</w:t>
      </w:r>
    </w:p>
    <w:p>
      <w:pPr>
        <w:spacing w:after="30" w:before="120"/>
      </w:pPr>
      <w:r>
        <w:rPr>
          <w:b/>
          <w:bCs/>
          <w:color w:val="1877F2"/>
        </w:rPr>
        <w:t xml:space="preserve">Step 15. </w:t>
      </w:r>
      <w:r>
        <w:rPr>
          <w:b/>
          <w:bCs/>
          <w:color w:val="1C1E21"/>
        </w:rPr>
        <w:t xml:space="preserve">Go to Review. Open “Review setup”, set criteria (or “✨ Draft with AI”), then “Run AI review”.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Every document is tagged across five dimensions (Responsive / Privileged / PII / Key document / Redact) with confidence + a citation, and routed (Attorney / Reviewer / Auto-cull).</w:t>
      </w:r>
    </w:p>
    <w:p>
      <w:pPr>
        <w:spacing w:after="30" w:before="120"/>
      </w:pPr>
      <w:r>
        <w:rPr>
          <w:b/>
          <w:bCs/>
          <w:color w:val="1877F2"/>
        </w:rPr>
        <w:t xml:space="preserve">Step 16. </w:t>
      </w:r>
      <w:r>
        <w:rPr>
          <w:b/>
          <w:bCs/>
          <w:color w:val="1C1E21"/>
        </w:rPr>
        <w:t xml:space="preserve">Select a document. Read the “AI analysis” panel.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Each dimension shows Yes/No, a confidence %, and the verbatim citation the AI relied on.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The AI shows its work — the exact passage behind each call — so nobody trusts a black box.</w:t>
      </w:r>
    </w:p>
    <w:p>
      <w:pPr>
        <w:spacing w:after="30" w:before="120"/>
      </w:pPr>
      <w:r>
        <w:rPr>
          <w:b/>
          <w:bCs/>
          <w:color w:val="1877F2"/>
        </w:rPr>
        <w:t xml:space="preserve">Step 17. </w:t>
      </w:r>
      <w:r>
        <w:rPr>
          <w:b/>
          <w:bCs/>
          <w:color w:val="1C1E21"/>
        </w:rPr>
        <w:t xml:space="preserve">Use the review controls: J/K to move, R/N/P/X to code, the coding-status filters, and “↦ Next uncoded (u)”.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Keyboard-driven review; the position indicator shows “Doc 12 of 340 · N uncoded”.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This is Relativity-grade review throughput, built in.</w:t>
      </w:r>
    </w:p>
    <w:p>
      <w:pPr>
        <w:spacing w:after="30" w:before="120"/>
      </w:pPr>
      <w:r>
        <w:rPr>
          <w:b/>
          <w:bCs/>
          <w:color w:val="1877F2"/>
        </w:rPr>
        <w:t xml:space="preserve">Step 18. </w:t>
      </w:r>
      <w:r>
        <w:rPr>
          <w:b/>
          <w:bCs/>
          <w:color w:val="1C1E21"/>
        </w:rPr>
        <w:t xml:space="preserve">Click “✓ Select confident AI-responsive”, then in the bulk bar click “Responsive”.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AEGIS selects the AI’s confident, cited, still-uncoded responsive calls; YOU confirm them in one action. Nothing is coded until you click.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You accept the AI’s confident calls in bulk — but it’s your keystroke that codes them. That’s the governance model.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8. Interrogate the case — Copilot, Case Graph, AutoPilot</w:t>
      </w:r>
    </w:p>
    <w:p>
      <w:pPr>
        <w:spacing w:after="30" w:before="120"/>
      </w:pPr>
      <w:r>
        <w:rPr>
          <w:b/>
          <w:bCs/>
          <w:color w:val="1877F2"/>
        </w:rPr>
        <w:t xml:space="preserve">Step 19. </w:t>
      </w:r>
      <w:r>
        <w:rPr>
          <w:b/>
          <w:bCs/>
          <w:color w:val="1C1E21"/>
        </w:rPr>
        <w:t xml:space="preserve">Go to Copilot → Ask. Ask: “Who disclosed confidential pricing, when, and to whom?”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A grounded answer with [n] citations you can trace to source documents; it never invents facts.</w:t>
      </w:r>
    </w:p>
    <w:p>
      <w:pPr>
        <w:spacing w:after="30" w:before="120"/>
      </w:pPr>
      <w:r>
        <w:rPr>
          <w:b/>
          <w:bCs/>
          <w:color w:val="1877F2"/>
        </w:rPr>
        <w:t xml:space="preserve">Step 20. </w:t>
      </w:r>
      <w:r>
        <w:rPr>
          <w:b/>
          <w:bCs/>
          <w:color w:val="1C1E21"/>
        </w:rPr>
        <w:t xml:space="preserve">Switch to Case Graph, then Map.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A dossier (theory of the case, issue clusters, timeline, key documents, gaps) and an entity/issue knowledge graph, built from the collection.</w:t>
      </w:r>
    </w:p>
    <w:p>
      <w:pPr>
        <w:spacing w:after="30" w:before="120"/>
      </w:pPr>
      <w:r>
        <w:rPr>
          <w:b/>
          <w:bCs/>
          <w:color w:val="1877F2"/>
        </w:rPr>
        <w:t xml:space="preserve">Step 21. </w:t>
      </w:r>
      <w:r>
        <w:rPr>
          <w:b/>
          <w:bCs/>
          <w:color w:val="1C1E21"/>
        </w:rPr>
        <w:t xml:space="preserve">Switch to AutoPilot. Enter a directive (“Work up this collection: who disclosed confidential material, when, to whom; flag privilege; build the timeline and a theory”) and click “▶ Run AutoPilot”.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It plans a pipeline (cull → AI review → ECA → case graph → assemble), runs the read steps itself, and PAUSES at each evidence-touching step for your Approve / Skip. When done, it assembles the findings brief.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This is the headline: one prompt, and AEGIS runs the investigation — but every step that touches evidence stops for your approval and is chain-sealed.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9. Validate the AI before you trust it</w:t>
      </w:r>
    </w:p>
    <w:p>
      <w:pPr>
        <w:spacing w:after="30" w:before="120"/>
      </w:pPr>
      <w:r>
        <w:rPr>
          <w:b/>
          <w:bCs/>
          <w:color w:val="1877F2"/>
        </w:rPr>
        <w:t xml:space="preserve">Step 22. </w:t>
      </w:r>
      <w:r>
        <w:rPr>
          <w:b/>
          <w:bCs/>
          <w:color w:val="1C1E21"/>
        </w:rPr>
        <w:t xml:space="preserve">Go to Validate. Start a pilot; code the sample in Review; back on Validate, “Compute metrics”.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Recall / precision / F1 / overturn (with confidence intervals) of the AI vs. your ground truth on a stratified sample.</w:t>
      </w:r>
    </w:p>
    <w:p>
      <w:pPr>
        <w:spacing w:after="30" w:before="120"/>
      </w:pPr>
      <w:r>
        <w:rPr>
          <w:b/>
          <w:bCs/>
          <w:color w:val="1877F2"/>
        </w:rPr>
        <w:t xml:space="preserve">Step 23. </w:t>
      </w:r>
      <w:r>
        <w:rPr>
          <w:b/>
          <w:bCs/>
          <w:color w:val="1C1E21"/>
        </w:rPr>
        <w:t xml:space="preserve">Click “Org-wide validation dashboard →” (top of the Validate tab).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The /review/validation dashboard: overall metrics, per-profile cards with recall-drift sparklines, and a recent-pilots table.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You can prove the AI is accurate — and watch for drift over time across every matter.</w:t>
      </w:r>
    </w:p>
    <w:p>
      <w:pPr>
        <w:spacing w:after="30" w:before="120"/>
      </w:pPr>
      <w:r>
        <w:rPr>
          <w:b/>
          <w:bCs/>
          <w:color w:val="1877F2"/>
        </w:rPr>
        <w:t xml:space="preserve">Step 24. </w:t>
      </w:r>
      <w:r>
        <w:rPr>
          <w:b/>
          <w:bCs/>
          <w:color w:val="1C1E21"/>
        </w:rPr>
        <w:t xml:space="preserve">Back in the collection, “Apply at scale”.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The AI’s confident, cited calls are auto-accepted on the rest; uncited-high-confidence, low-confidence, and privileged docs “fail closed” to a human.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10. Produce and hand off to Relativity</w:t>
      </w:r>
    </w:p>
    <w:p>
      <w:pPr>
        <w:spacing w:after="30" w:before="120"/>
      </w:pPr>
      <w:r>
        <w:rPr>
          <w:b/>
          <w:bCs/>
          <w:color w:val="1877F2"/>
        </w:rPr>
        <w:t xml:space="preserve">Step 25. </w:t>
      </w:r>
      <w:r>
        <w:rPr>
          <w:b/>
          <w:bCs/>
          <w:color w:val="1C1E21"/>
        </w:rPr>
        <w:t xml:space="preserve">Go to Produce. Set a Bates prefix and click “Produce →”.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Responsive, non-privileged docs get sequential Bates numbers; responsive + privileged are withheld to a privilege log. Every item must be coded first.</w:t>
      </w:r>
    </w:p>
    <w:p>
      <w:pPr>
        <w:spacing w:after="30" w:before="120"/>
      </w:pPr>
      <w:r>
        <w:rPr>
          <w:b/>
          <w:bCs/>
          <w:color w:val="1877F2"/>
        </w:rPr>
        <w:t xml:space="preserve">Step 26. </w:t>
      </w:r>
      <w:r>
        <w:rPr>
          <w:b/>
          <w:bCs/>
          <w:color w:val="1C1E21"/>
        </w:rPr>
        <w:t xml:space="preserve">Download the production as .dat (Concordance) and .opt (Opticon).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Two industry-standard load files download — ready for any downstream review platform.</w:t>
      </w:r>
    </w:p>
    <w:p>
      <w:pPr>
        <w:spacing w:after="30" w:before="120"/>
      </w:pPr>
      <w:r>
        <w:rPr>
          <w:b/>
          <w:bCs/>
          <w:color w:val="1877F2"/>
        </w:rPr>
        <w:t xml:space="preserve">Step 27. </w:t>
      </w:r>
      <w:r>
        <w:rPr>
          <w:b/>
          <w:bCs/>
          <w:color w:val="1C1E21"/>
        </w:rPr>
        <w:t xml:space="preserve">In “Send to RelativityOne”, enter the instance URL + workspace id and click “Push to workspace →”.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AEGIS validates and shapes the RelativityOne Import payload and chain-seals the request. Without a Relativity API token it returns a clear “stub” confirmation showing exactly what would be sent.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AEGIS does the whole review, then hands the culled, coded, non-privileged set straight to Relativity for detailed review — no manual export shuffle.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11. The legal hold (defensibility)</w:t>
      </w:r>
    </w:p>
    <w:p>
      <w:pPr>
        <w:spacing w:after="30" w:before="120"/>
      </w:pPr>
      <w:r>
        <w:rPr>
          <w:b/>
          <w:bCs/>
          <w:color w:val="1877F2"/>
        </w:rPr>
        <w:t xml:space="preserve">Step 28. </w:t>
      </w:r>
      <w:r>
        <w:rPr>
          <w:b/>
          <w:bCs/>
          <w:color w:val="1C1E21"/>
        </w:rPr>
        <w:t xml:space="preserve">Open the matter → Legal Hold tab → “+ New hold” (the guided wizard is the default).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A crisp step-by-step wizard: Scope &amp; Trigger → Custodians → Data Sources → Notice → Review &amp; Issue, with the numbered stepper across the top.</w:t>
      </w:r>
    </w:p>
    <w:p>
      <w:pPr>
        <w:spacing w:after="30" w:before="120"/>
      </w:pPr>
      <w:r>
        <w:rPr>
          <w:b/>
          <w:bCs/>
          <w:color w:val="1877F2"/>
        </w:rPr>
        <w:t xml:space="preserve">Step 29. </w:t>
      </w:r>
      <w:r>
        <w:rPr>
          <w:b/>
          <w:bCs/>
          <w:color w:val="1C1E21"/>
        </w:rPr>
        <w:t xml:space="preserve">On an existing hold, review the Defensibility rail and status row.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Legible defensibility (Acknowledgment, Preservation coverage, IT confirmation, Audit chain… each with a clear % bar), and a crisp status row (“7 custodians · 8 acknowledged · …”).</w:t>
      </w:r>
    </w:p>
    <w:p>
      <w:pPr>
        <w:spacing w:after="30" w:before="120"/>
      </w:pPr>
      <w:r>
        <w:rPr>
          <w:b/>
          <w:bCs/>
          <w:color w:val="1877F2"/>
        </w:rPr>
        <w:t xml:space="preserve">Step 30. </w:t>
      </w:r>
      <w:r>
        <w:rPr>
          <w:b/>
          <w:bCs/>
          <w:color w:val="1C1E21"/>
        </w:rPr>
        <w:t xml:space="preserve">Click “Issue Hold”, complete the pre-flight, type the hold title to confirm.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The hold issues over its custodians (no HTTP 400); notices are composed separately. Every step is chain-sealed.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12. Test checklist (tick as you go)</w:t>
      </w:r>
    </w:p>
    <w:p>
      <w:pPr>
        <w:spacing w:after="90"/>
      </w:pPr>
      <w:r>
        <w:rPr>
          <w:color w:val="65676B"/>
        </w:rPr>
        <w:t xml:space="preserve">Use this to verify each feature. Mark Pass/Fail; note anything that says “simulated” (means M365 or AI isn’t connected — not a bug).</w:t>
      </w:r>
    </w:p>
    <w:tbl>
      <w:tblPr>
        <w:tblW w:type="dxa" w:w="8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200"/>
        <w:gridCol w:w="1360"/>
        <w:gridCol w:w="1360"/>
      </w:tblGrid>
      <w:tr>
        <w:trPr>
          <w:tblHeader/>
        </w:trPr>
        <w:tc>
          <w:tcPr>
            <w:tcW w:type="dxa" w:w="520"/>
            <w:shd w:fill="1877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shd w:fill="1877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360"/>
            <w:shd w:fill="1877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360"/>
            <w:shd w:fill="1877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Theme toggle switches Blue ↔ Lite and persists on reload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New investigation: Insert sample allegation → Extract issues → Open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Custodian picker searches directory, de-dupes, adds chips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Collection scope filters (date + keyword) accepted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Preserve &amp; collect creates hold + review set; Open collection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ECA funnel + live cost tuner + culling-impact card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Themes: Cluster by theme returns groups (AI-named if key set)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Cull: dedup/threading + keyword + source-type + date-window; Restore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Run AI review; AI analysis panel shows dimensions + confidence + citation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Review: J/K/R/N/P/X, coding filters, Next-uncoded (u), position indicator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11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Select confident AI-responsive → bulk confirm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12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Copilot Ask answers with citations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13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Case Graph + Map render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14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AutoPilot: run directive, approve/skip gated steps, findings assembled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15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Validate: pilot → compute metrics; org-wide dashboard renders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16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Apply at scale (fail-closed on uncertain)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17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Produce: Bates + privilege log; .dat and .opt download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18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Push to RelativityOne returns success/stub confirmation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19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Legal hold wizard (stepper) creates a hold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20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>Issue Hold completes; defensibility + status row legible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1C1E2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C1E21"/>
        </w:rPr>
        <w:t xml:space="preserve">13. One-paragraph talk track (the close)</w:t>
      </w:r>
    </w:p>
    <w:p>
      <w:pPr>
        <w:spacing w:after="90"/>
      </w:pPr>
      <w:r>
        <w:rPr>
          <w:i/>
          <w:iCs/>
          <w:color w:val="1C1E21"/>
        </w:rPr>
        <w:t xml:space="preserve">“Everything you just saw ran on one platform and one database. AEGIS collected from live Microsoft 365, culled the set defensibly, had AI review every document with a citation for each call, let a human approve in bulk, proved the AI’s accuracy with real recall and precision numbers, and produced straight into Relativity — with a complete, tamper-evident audit trail behind every step. The AI does the heavy lifting; your lawyers stay in control of every decision that matters.”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E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C1E2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b/>
      <w:bCs/>
      <w:color w:val="1877F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AEGIS eDiscovery Demo &amp; Test Script</dc:title>
  <dc:creator>AEGIS</dc:creator>
  <cp:lastModifiedBy>Un-named</cp:lastModifiedBy>
  <cp:revision>1</cp:revision>
  <dcterms:created xsi:type="dcterms:W3CDTF">2026-08-25T05:56:08.965Z</dcterms:created>
  <dcterms:modified xsi:type="dcterms:W3CDTF">2026-08-25T05:56:08.965Z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