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Министерство науки и высшего образования Российской Федерации</w:t>
      </w:r>
    </w:p>
    <w:p>
      <w:pPr>
        <w:jc w:val="center"/>
      </w:pPr>
      <w:r>
        <w:t>Отчет по практической работе</w:t>
      </w:r>
    </w:p>
    <w:p>
      <w:pPr>
        <w:jc w:val="center"/>
      </w:pPr>
      <w:r>
        <w:rPr>
          <w:b/>
          <w:sz w:val="32"/>
        </w:rPr>
        <w:t>Практическая работа №10</w:t>
      </w:r>
    </w:p>
    <w:p>
      <w:pPr>
        <w:jc w:val="center"/>
      </w:pPr>
      <w:r>
        <w:rPr>
          <w:b/>
          <w:sz w:val="32"/>
        </w:rPr>
        <w:t>Документирование разработки ПО</w:t>
      </w:r>
    </w:p>
    <w:p/>
    <w:p>
      <w:r>
        <w:t>Дисциплина: Системная и программная инженерия</w:t>
      </w:r>
    </w:p>
    <w:p>
      <w:r>
        <w:t>Проект: WinKey</w:t>
      </w:r>
    </w:p>
    <w:p>
      <w:r>
        <w:t>Студент: Lettalochka</w:t>
      </w:r>
    </w:p>
    <w:p>
      <w:r>
        <w:t>Дата выполнения: 25.04.2026</w:t>
      </w:r>
    </w:p>
    <w:p>
      <w:r>
        <w:br w:type="page"/>
      </w:r>
    </w:p>
    <w:p>
      <w:pPr>
        <w:pStyle w:val="Heading1"/>
      </w:pPr>
      <w:r>
        <w:t>Цель работы</w:t>
      </w:r>
    </w:p>
    <w:p>
      <w:r>
        <w:t>Создать документацию разработчика и пользовательскую документацию для проекта WinKey. Документация разработчика представлена как API-reference, а пользовательская документация оформлена в стиле GitHub Wiki: отдельные страницы, разделы, сценарии работы, возможные проблемы и результат.</w:t>
      </w:r>
    </w:p>
    <w:p>
      <w:pPr>
        <w:pStyle w:val="Heading1"/>
      </w:pPr>
      <w:r>
        <w:t>Документация разработчика</w:t>
      </w:r>
    </w:p>
    <w:p>
      <w:r>
        <w:t>Для разработчика подготовлена API-документация. Она описывает серверные маршруты проекта, методы HTTP, назначение endpoint, параметры запросов, ответы и условия доступа.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r>
              <w:t>Файл</w:t>
            </w:r>
          </w:p>
        </w:tc>
        <w:tc>
          <w:tcPr>
            <w:tcW w:type="dxa" w:w="4844"/>
            <w:vAlign w:val="center"/>
          </w:tcPr>
          <w:p>
            <w:r>
              <w:t>Назначение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api_reference.html</w:t>
            </w:r>
          </w:p>
        </w:tc>
        <w:tc>
          <w:tcPr>
            <w:tcW w:type="dxa" w:w="4844"/>
            <w:vAlign w:val="center"/>
          </w:tcPr>
          <w:p>
            <w:r>
              <w:t>Визуальная HTML-страница API-reference.</w:t>
            </w:r>
          </w:p>
        </w:tc>
      </w:tr>
      <w:tr>
        <w:tc>
          <w:tcPr>
            <w:tcW w:type="dxa" w:w="4844"/>
            <w:vAlign w:val="center"/>
          </w:tcPr>
          <w:p>
            <w:r>
              <w:t>api_reference.md</w:t>
            </w:r>
          </w:p>
        </w:tc>
        <w:tc>
          <w:tcPr>
            <w:tcW w:type="dxa" w:w="4844"/>
            <w:vAlign w:val="center"/>
          </w:tcPr>
          <w:p>
            <w:r>
              <w:t>Markdown-версия API-reference.</w:t>
            </w:r>
          </w:p>
        </w:tc>
      </w:tr>
      <w:tr>
        <w:tc>
          <w:tcPr>
            <w:tcW w:type="dxa" w:w="4844"/>
            <w:vAlign w:val="center"/>
          </w:tcPr>
          <w:p>
            <w:r>
              <w:t>openapi.yaml</w:t>
            </w:r>
          </w:p>
        </w:tc>
        <w:tc>
          <w:tcPr>
            <w:tcW w:type="dxa" w:w="4844"/>
            <w:vAlign w:val="center"/>
          </w:tcPr>
          <w:p>
            <w:r>
              <w:t>OpenAPI 3.0 спецификация.</w:t>
            </w:r>
          </w:p>
        </w:tc>
      </w:tr>
      <w:tr>
        <w:tc>
          <w:tcPr>
            <w:tcW w:type="dxa" w:w="4844"/>
            <w:vAlign w:val="center"/>
          </w:tcPr>
          <w:p>
            <w:r>
              <w:t>developer_documentation.zip</w:t>
            </w:r>
          </w:p>
        </w:tc>
        <w:tc>
          <w:tcPr>
            <w:tcW w:type="dxa" w:w="4844"/>
            <w:vAlign w:val="center"/>
          </w:tcPr>
          <w:p>
            <w:r>
              <w:t>Архив документации разработчика.</w:t>
            </w:r>
          </w:p>
        </w:tc>
      </w:tr>
    </w:tbl>
    <w:p>
      <w:pPr>
        <w:pStyle w:val="Heading2"/>
      </w:pPr>
      <w:r>
        <w:t>Основные API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</w:tcPr>
          <w:p>
            <w:r>
              <w:t>Метод</w:t>
            </w:r>
          </w:p>
        </w:tc>
        <w:tc>
          <w:tcPr>
            <w:tcW w:type="dxa" w:w="3230"/>
            <w:vAlign w:val="center"/>
          </w:tcPr>
          <w:p>
            <w:r>
              <w:t>Endpoint</w:t>
            </w:r>
          </w:p>
        </w:tc>
        <w:tc>
          <w:tcPr>
            <w:tcW w:type="dxa" w:w="3230"/>
            <w:vAlign w:val="center"/>
          </w:tcPr>
          <w:p>
            <w:r>
              <w:t>Назначение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/api/auth/register</w:t>
            </w:r>
          </w:p>
        </w:tc>
        <w:tc>
          <w:tcPr>
            <w:tcW w:type="dxa" w:w="3230"/>
            <w:vAlign w:val="center"/>
          </w:tcPr>
          <w:p>
            <w:r>
              <w:t>Регистрация пользователя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/api/checkout/create-payment</w:t>
            </w:r>
          </w:p>
        </w:tc>
        <w:tc>
          <w:tcPr>
            <w:tcW w:type="dxa" w:w="3230"/>
            <w:vAlign w:val="center"/>
          </w:tcPr>
          <w:p>
            <w:r>
              <w:t>Создание платежа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/api/digiseller/callback</w:t>
            </w:r>
          </w:p>
        </w:tc>
        <w:tc>
          <w:tcPr>
            <w:tcW w:type="dxa" w:w="3230"/>
            <w:vAlign w:val="center"/>
          </w:tcPr>
          <w:p>
            <w:r>
              <w:t>Webhook Digiseller</w:t>
            </w:r>
          </w:p>
        </w:tc>
      </w:tr>
      <w:tr>
        <w:tc>
          <w:tcPr>
            <w:tcW w:type="dxa" w:w="3230"/>
            <w:vAlign w:val="center"/>
          </w:tcPr>
          <w:p>
            <w:r>
              <w:t>GET</w:t>
            </w:r>
          </w:p>
        </w:tc>
        <w:tc>
          <w:tcPr>
            <w:tcW w:type="dxa" w:w="3230"/>
            <w:vAlign w:val="center"/>
          </w:tcPr>
          <w:p>
            <w:r>
              <w:t>/api/favorites</w:t>
            </w:r>
          </w:p>
        </w:tc>
        <w:tc>
          <w:tcPr>
            <w:tcW w:type="dxa" w:w="3230"/>
            <w:vAlign w:val="center"/>
          </w:tcPr>
          <w:p>
            <w:r>
              <w:t>Получение избранного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/api/favorites/toggle</w:t>
            </w:r>
          </w:p>
        </w:tc>
        <w:tc>
          <w:tcPr>
            <w:tcW w:type="dxa" w:w="3230"/>
            <w:vAlign w:val="center"/>
          </w:tcPr>
          <w:p>
            <w:r>
              <w:t>Переключение избранного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/api/jobs/fulfill</w:t>
            </w:r>
          </w:p>
        </w:tc>
        <w:tc>
          <w:tcPr>
            <w:tcW w:type="dxa" w:w="3230"/>
            <w:vAlign w:val="center"/>
          </w:tcPr>
          <w:p>
            <w:r>
              <w:t>Обработка выдачи товара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/api/jobs/sync-digiseller</w:t>
            </w:r>
          </w:p>
        </w:tc>
        <w:tc>
          <w:tcPr>
            <w:tcW w:type="dxa" w:w="3230"/>
            <w:vAlign w:val="center"/>
          </w:tcPr>
          <w:p>
            <w:r>
              <w:t>Синхронизация Digiseller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/api/locale</w:t>
            </w:r>
          </w:p>
        </w:tc>
        <w:tc>
          <w:tcPr>
            <w:tcW w:type="dxa" w:w="3230"/>
            <w:vAlign w:val="center"/>
          </w:tcPr>
          <w:p>
            <w:r>
              <w:t>Смена языка интерфейса</w:t>
            </w:r>
          </w:p>
        </w:tc>
      </w:tr>
    </w:tbl>
    <w:p>
      <w:pPr>
        <w:pStyle w:val="Heading1"/>
      </w:pPr>
      <w:r>
        <w:t>Пользовательская Wiki</w:t>
      </w:r>
    </w:p>
    <w:p>
      <w:r>
        <w:t>Пользовательская документация оформлена как набор Markdown-страниц, аналогично GitHub Wiki. Для навигации добавлен файл _Sidebar.md. Каждая страница содержит назначение раздела, порядок действий пользователя, возможные проблемы и результат.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r>
              <w:t>Страница</w:t>
            </w:r>
          </w:p>
        </w:tc>
        <w:tc>
          <w:tcPr>
            <w:tcW w:type="dxa" w:w="4844"/>
            <w:vAlign w:val="center"/>
          </w:tcPr>
          <w:p>
            <w:r>
              <w:t>Содержание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Home.md</w:t>
            </w:r>
          </w:p>
        </w:tc>
        <w:tc>
          <w:tcPr>
            <w:tcW w:type="dxa" w:w="4844"/>
            <w:vAlign w:val="center"/>
          </w:tcPr>
          <w:p>
            <w:r>
              <w:t>Главная страница Wiki и общий сценарий работы.</w:t>
            </w:r>
          </w:p>
        </w:tc>
      </w:tr>
      <w:tr>
        <w:tc>
          <w:tcPr>
            <w:tcW w:type="dxa" w:w="4844"/>
            <w:vAlign w:val="center"/>
          </w:tcPr>
          <w:p>
            <w:r>
              <w:t>_Sidebar.md</w:t>
            </w:r>
          </w:p>
        </w:tc>
        <w:tc>
          <w:tcPr>
            <w:tcW w:type="dxa" w:w="4844"/>
            <w:vAlign w:val="center"/>
          </w:tcPr>
          <w:p>
            <w:r>
              <w:t>Навигация по страницам Wiki.</w:t>
            </w:r>
          </w:p>
        </w:tc>
      </w:tr>
      <w:tr>
        <w:tc>
          <w:tcPr>
            <w:tcW w:type="dxa" w:w="4844"/>
            <w:vAlign w:val="center"/>
          </w:tcPr>
          <w:p>
            <w:r>
              <w:t>Registration-and-login.md</w:t>
            </w:r>
          </w:p>
        </w:tc>
        <w:tc>
          <w:tcPr>
            <w:tcW w:type="dxa" w:w="4844"/>
            <w:vAlign w:val="center"/>
          </w:tcPr>
          <w:p>
            <w:r>
              <w:t>Вход и регистрация пользователя.</w:t>
            </w:r>
          </w:p>
        </w:tc>
      </w:tr>
      <w:tr>
        <w:tc>
          <w:tcPr>
            <w:tcW w:type="dxa" w:w="4844"/>
            <w:vAlign w:val="center"/>
          </w:tcPr>
          <w:p>
            <w:r>
              <w:t>User-interface.md</w:t>
            </w:r>
          </w:p>
        </w:tc>
        <w:tc>
          <w:tcPr>
            <w:tcW w:type="dxa" w:w="4844"/>
            <w:vAlign w:val="center"/>
          </w:tcPr>
          <w:p>
            <w:r>
              <w:t>Описание основных элементов интерфейса.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Product-catalog.md</w:t>
            </w:r>
          </w:p>
        </w:tc>
        <w:tc>
          <w:tcPr>
            <w:tcW w:type="dxa" w:w="4844"/>
            <w:vAlign w:val="center"/>
          </w:tcPr>
          <w:p>
            <w:r>
              <w:t>Работа с каталогом и карточкой товара.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Cart.md</w:t>
            </w:r>
          </w:p>
        </w:tc>
        <w:tc>
          <w:tcPr>
            <w:tcW w:type="dxa" w:w="4844"/>
            <w:vAlign w:val="center"/>
          </w:tcPr>
          <w:p>
            <w:r>
              <w:t>Работа с корзиной.</w:t>
            </w:r>
          </w:p>
        </w:tc>
      </w:tr>
      <w:tr>
        <w:tc>
          <w:tcPr>
            <w:tcW w:type="dxa" w:w="4844"/>
            <w:vAlign w:val="center"/>
          </w:tcPr>
          <w:p>
            <w:r>
              <w:t>Checkout.md</w:t>
            </w:r>
          </w:p>
        </w:tc>
        <w:tc>
          <w:tcPr>
            <w:tcW w:type="dxa" w:w="4844"/>
            <w:vAlign w:val="center"/>
          </w:tcPr>
          <w:p>
            <w:r>
              <w:t>Оформление заказа и оплата.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Order-details.md</w:t>
            </w:r>
          </w:p>
        </w:tc>
        <w:tc>
          <w:tcPr>
            <w:tcW w:type="dxa" w:w="4844"/>
            <w:vAlign w:val="center"/>
          </w:tcPr>
          <w:p>
            <w:r>
              <w:t>Просмотр заказа и получение цифрового товара.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Admin-panel.md</w:t>
            </w:r>
          </w:p>
        </w:tc>
        <w:tc>
          <w:tcPr>
            <w:tcW w:type="dxa" w:w="4844"/>
            <w:vAlign w:val="center"/>
          </w:tcPr>
          <w:p>
            <w:r>
              <w:t>Администрирование товаров, категорий и заказов.</w:t>
            </w:r>
          </w:p>
        </w:tc>
      </w:tr>
    </w:tbl>
    <w:p>
      <w:pPr>
        <w:pStyle w:val="Heading2"/>
      </w:pPr>
      <w:r>
        <w:t>Пример структуры Wiki-страницы</w:t>
      </w:r>
    </w:p>
    <w:p>
      <w:r>
        <w:t>Страницы построены по единому шаблону: назначение раздела, действия пользователя, возможные проблемы, результат. Такой формат соответствует виду GitHub Wiki и удобен для чтения в правой навигации Pages.</w:t>
      </w:r>
    </w:p>
    <w:p>
      <w:pPr>
        <w:pStyle w:val="Heading1"/>
      </w:pPr>
      <w:r>
        <w:t>Вывод</w:t>
      </w:r>
    </w:p>
    <w:p>
      <w:r>
        <w:t>В ходе работы документация была приведена к формату, подходящему для GitHub Wiki: без лишних HTML-макетов, с понятной навигацией и текстовым описанием пользовательских сценариев. Документация разработчика дополнена API-reference для серверных интерфейсов проекта.</w:t>
      </w:r>
    </w:p>
    <w:p>
      <w:r>
        <w:br w:type="page"/>
      </w:r>
    </w:p>
    <w:p>
      <w:r>
        <w:br w:type="page"/>
      </w:r>
    </w:p>
    <w:p>
      <w:pPr>
        <w:pStyle w:val="Heading1"/>
        <w:jc w:val="left"/>
      </w:pPr>
      <w:r>
        <w:t>Приложение. Скриншоты пользовательской Wiki</w:t>
      </w:r>
    </w:p>
    <w:p>
      <w:pPr>
        <w:spacing w:after="200"/>
      </w:pPr>
      <w:r>
        <w:t>В пользовательскую Wiki добавлены реальные визуальные скриншоты интерфейса WinKey, подготовленные из HTML/CSS-макетов. Это позволяет видеть экраны приложения прямо в GitHub Wiki без отображения исходного кода.</w:t>
      </w:r>
    </w:p>
    <w:p>
      <w:pPr>
        <w:jc w:val="center"/>
      </w:pPr>
      <w:r>
        <w:rPr>
          <w:b/>
          <w:color w:val="1F2937"/>
          <w:sz w:val="22"/>
        </w:rPr>
        <w:t>Рисунок 1 - Главная страница Wiki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0840" cy="4305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ki-ho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4305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color w:val="1F2937"/>
          <w:sz w:val="22"/>
        </w:rPr>
        <w:t>Рисунок 2 - Вход и регистрация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0840" cy="43055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ki-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4305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color w:val="1F2937"/>
          <w:sz w:val="22"/>
        </w:rPr>
        <w:t>Рисунок 3 - Каталог товаров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0840" cy="4305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ki-cata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4305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color w:val="1F2937"/>
          <w:sz w:val="22"/>
        </w:rPr>
        <w:t>Рисунок 4 - Корзина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0840" cy="43055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ki-ca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4305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color w:val="1F2937"/>
          <w:sz w:val="22"/>
        </w:rPr>
        <w:t>Рисунок 5 - Оформление заказа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0840" cy="43055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ki-checkou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4305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color w:val="1F2937"/>
          <w:sz w:val="22"/>
        </w:rPr>
        <w:t>Рисунок 6 - Детали заказа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0840" cy="43055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ki-or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4305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color w:val="1F2937"/>
          <w:sz w:val="22"/>
        </w:rPr>
        <w:t>Рисунок 7 - Административная панель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0840" cy="45523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ki-adm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4552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/>
      </w:pPr>
      <w:r>
        <w:t>Результат: пользовательская документация содержит текстовые сценарии и визуальные экраны интерфейса WinKey, достаточные для понимания работы приложения конечным пользователем.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