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науки и высшего образования Российской Федерации</w:t>
      </w:r>
    </w:p>
    <w:p>
      <w:pPr>
        <w:jc w:val="center"/>
      </w:pPr>
      <w:r>
        <w:t>Отчет по практической работе</w:t>
      </w:r>
    </w:p>
    <w:p>
      <w:pPr>
        <w:jc w:val="center"/>
      </w:pPr>
      <w:r>
        <w:rPr>
          <w:b/>
          <w:sz w:val="32"/>
        </w:rPr>
        <w:t>Практическая работа №10</w:t>
      </w:r>
    </w:p>
    <w:p>
      <w:pPr>
        <w:jc w:val="center"/>
      </w:pPr>
      <w:r>
        <w:rPr>
          <w:b/>
          <w:sz w:val="32"/>
        </w:rPr>
        <w:t>Документирование разработки ПО</w:t>
      </w:r>
    </w:p>
    <w:p/>
    <w:p>
      <w:r>
        <w:t>Дисциплина: Системная и программная инженерия</w:t>
      </w:r>
    </w:p>
    <w:p>
      <w:r>
        <w:t>Проект: Legal Store</w:t>
      </w:r>
    </w:p>
    <w:p>
      <w:r>
        <w:t>Студент: Lettalochka</w:t>
      </w:r>
    </w:p>
    <w:p>
      <w:r>
        <w:t>Дата выполнения: 24.04.2026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Создать документацию разработчика и пользовательскую документацию для выбранного программного проекта. Документация разработчика должна описывать программные интерфейсы системы, а пользовательская документация должна содержать описание интерфейса приложения.</w:t>
      </w:r>
    </w:p>
    <w:p>
      <w:pPr>
        <w:pStyle w:val="Heading1"/>
      </w:pPr>
      <w:r>
        <w:t>Описание проекта</w:t>
      </w:r>
    </w:p>
    <w:p>
      <w:r>
        <w:t>Документирование выполнено для проекта Legal Store - веб-приложения интернет-магазина цифровых товаров и лицензионных ключей. Проект содержит каталог товаров, корзину, оформление заказа, интеграцию с Digiseller, избранное, авторизацию и административные функции.</w:t>
      </w:r>
    </w:p>
    <w:p>
      <w:pPr>
        <w:pStyle w:val="Heading1"/>
      </w:pPr>
      <w:r>
        <w:t>Документация разработчика</w:t>
      </w:r>
    </w:p>
    <w:p>
      <w:r>
        <w:t>Документация разработчика оформлена как API-документация, поскольку ключевое взаимодействие клиентской части с сервером выполняется через Next.js API routes. Для каждого endpoint описаны HTTP-метод, назначение, параметры, формат запроса, формат ответа и возможные ошибки.</w:t>
      </w:r>
    </w:p>
    <w:p>
      <w:pPr>
        <w:pStyle w:val="Heading2"/>
      </w:pPr>
      <w:r>
        <w:t>Состав документации разработчика</w:t>
      </w:r>
    </w:p>
    <w:p>
      <w:pPr>
        <w:pStyle w:val="ListBullet"/>
      </w:pPr>
      <w:r>
        <w:t>api_reference.md - подробное описание API проекта;</w:t>
      </w:r>
    </w:p>
    <w:p>
      <w:pPr>
        <w:pStyle w:val="ListBullet"/>
      </w:pPr>
      <w:r>
        <w:t>openapi.yaml - спецификация OpenAPI 3.0 для импорта в Swagger, Postman или Insomnia;</w:t>
      </w:r>
    </w:p>
    <w:p>
      <w:pPr>
        <w:pStyle w:val="ListBullet"/>
      </w:pPr>
      <w:r>
        <w:t>developer_documentation.zip - дополнительный архив HTML-документации по TypeScript-модулям.</w:t>
      </w:r>
    </w:p>
    <w:p>
      <w:pPr>
        <w:pStyle w:val="Heading2"/>
      </w:pPr>
      <w:r>
        <w:t>Основные API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r>
              <w:t>Метод</w:t>
            </w:r>
          </w:p>
        </w:tc>
        <w:tc>
          <w:tcPr>
            <w:tcW w:type="dxa" w:w="2422"/>
            <w:vAlign w:val="center"/>
          </w:tcPr>
          <w:p>
            <w:r>
              <w:t>Endpoint</w:t>
            </w:r>
          </w:p>
        </w:tc>
        <w:tc>
          <w:tcPr>
            <w:tcW w:type="dxa" w:w="2422"/>
            <w:vAlign w:val="center"/>
          </w:tcPr>
          <w:p>
            <w:r>
              <w:t>Назначение</w:t>
            </w:r>
          </w:p>
        </w:tc>
        <w:tc>
          <w:tcPr>
            <w:tcW w:type="dxa" w:w="2422"/>
            <w:vAlign w:val="center"/>
          </w:tcPr>
          <w:p>
            <w:r>
              <w:t>Доступ</w:t>
            </w:r>
          </w:p>
        </w:tc>
      </w:tr>
      <w:tr>
        <w:tc>
          <w:tcPr>
            <w:tcW w:type="dxa" w:w="2422"/>
            <w:vAlign w:val="center"/>
          </w:tcPr>
          <w:p>
            <w:r>
              <w:t>GET/POST</w:t>
            </w:r>
          </w:p>
        </w:tc>
        <w:tc>
          <w:tcPr>
            <w:tcW w:type="dxa" w:w="2422"/>
            <w:vAlign w:val="center"/>
          </w:tcPr>
          <w:p>
            <w:r>
              <w:t>/api/auth/[...nextauth]</w:t>
            </w:r>
          </w:p>
        </w:tc>
        <w:tc>
          <w:tcPr>
            <w:tcW w:type="dxa" w:w="2422"/>
            <w:vAlign w:val="center"/>
          </w:tcPr>
          <w:p>
            <w:r>
              <w:t>Служебные маршруты NextAuth</w:t>
            </w:r>
          </w:p>
        </w:tc>
        <w:tc>
          <w:tcPr>
            <w:tcW w:type="dxa" w:w="2422"/>
            <w:vAlign w:val="center"/>
          </w:tcPr>
          <w:p>
            <w:r>
              <w:t>Публичный/сессионный</w:t>
            </w:r>
          </w:p>
        </w:tc>
      </w:tr>
      <w:tr>
        <w:tc>
          <w:tcPr>
            <w:tcW w:type="dxa" w:w="2422"/>
            <w:vAlign w:val="center"/>
          </w:tcPr>
          <w:p>
            <w:r>
              <w:t>POST</w:t>
            </w:r>
          </w:p>
        </w:tc>
        <w:tc>
          <w:tcPr>
            <w:tcW w:type="dxa" w:w="2422"/>
            <w:vAlign w:val="center"/>
          </w:tcPr>
          <w:p>
            <w:r>
              <w:t>/api/auth/register</w:t>
            </w:r>
          </w:p>
        </w:tc>
        <w:tc>
          <w:tcPr>
            <w:tcW w:type="dxa" w:w="2422"/>
            <w:vAlign w:val="center"/>
          </w:tcPr>
          <w:p>
            <w:r>
              <w:t>Регистрация пользователя</w:t>
            </w:r>
          </w:p>
        </w:tc>
        <w:tc>
          <w:tcPr>
            <w:tcW w:type="dxa" w:w="2422"/>
            <w:vAlign w:val="center"/>
          </w:tcPr>
          <w:p>
            <w:r>
              <w:t>Публичный</w:t>
            </w:r>
          </w:p>
        </w:tc>
      </w:tr>
      <w:tr>
        <w:tc>
          <w:tcPr>
            <w:tcW w:type="dxa" w:w="2422"/>
            <w:vAlign w:val="center"/>
          </w:tcPr>
          <w:p>
            <w:r>
              <w:t>POST</w:t>
            </w:r>
          </w:p>
        </w:tc>
        <w:tc>
          <w:tcPr>
            <w:tcW w:type="dxa" w:w="2422"/>
            <w:vAlign w:val="center"/>
          </w:tcPr>
          <w:p>
            <w:r>
              <w:t>/api/checkout/create-payment</w:t>
            </w:r>
          </w:p>
        </w:tc>
        <w:tc>
          <w:tcPr>
            <w:tcW w:type="dxa" w:w="2422"/>
            <w:vAlign w:val="center"/>
          </w:tcPr>
          <w:p>
            <w:r>
              <w:t>Создание заказа и ссылки оплаты</w:t>
            </w:r>
          </w:p>
        </w:tc>
        <w:tc>
          <w:tcPr>
            <w:tcW w:type="dxa" w:w="2422"/>
            <w:vAlign w:val="center"/>
          </w:tcPr>
          <w:p>
            <w:r>
              <w:t>Публичный/сессионный</w:t>
            </w:r>
          </w:p>
        </w:tc>
      </w:tr>
      <w:tr>
        <w:tc>
          <w:tcPr>
            <w:tcW w:type="dxa" w:w="2422"/>
            <w:vAlign w:val="center"/>
          </w:tcPr>
          <w:p>
            <w:r>
              <w:t>POST</w:t>
            </w:r>
          </w:p>
        </w:tc>
        <w:tc>
          <w:tcPr>
            <w:tcW w:type="dxa" w:w="2422"/>
            <w:vAlign w:val="center"/>
          </w:tcPr>
          <w:p>
            <w:r>
              <w:t>/api/digiseller/callback</w:t>
            </w:r>
          </w:p>
        </w:tc>
        <w:tc>
          <w:tcPr>
            <w:tcW w:type="dxa" w:w="2422"/>
            <w:vAlign w:val="center"/>
          </w:tcPr>
          <w:p>
            <w:r>
              <w:t>Webhook подтверждения оплаты</w:t>
            </w:r>
          </w:p>
        </w:tc>
        <w:tc>
          <w:tcPr>
            <w:tcW w:type="dxa" w:w="2422"/>
            <w:vAlign w:val="center"/>
          </w:tcPr>
          <w:p>
            <w:r>
              <w:t>Digiseller</w:t>
            </w:r>
          </w:p>
        </w:tc>
      </w:tr>
      <w:tr>
        <w:tc>
          <w:tcPr>
            <w:tcW w:type="dxa" w:w="2422"/>
            <w:vAlign w:val="center"/>
          </w:tcPr>
          <w:p>
            <w:r>
              <w:t>GET</w:t>
            </w:r>
          </w:p>
        </w:tc>
        <w:tc>
          <w:tcPr>
            <w:tcW w:type="dxa" w:w="2422"/>
            <w:vAlign w:val="center"/>
          </w:tcPr>
          <w:p>
            <w:r>
              <w:t>/api/digiseller/return</w:t>
            </w:r>
          </w:p>
        </w:tc>
        <w:tc>
          <w:tcPr>
            <w:tcW w:type="dxa" w:w="2422"/>
            <w:vAlign w:val="center"/>
          </w:tcPr>
          <w:p>
            <w:r>
              <w:t>Возврат пользователя после оплаты</w:t>
            </w:r>
          </w:p>
        </w:tc>
        <w:tc>
          <w:tcPr>
            <w:tcW w:type="dxa" w:w="2422"/>
            <w:vAlign w:val="center"/>
          </w:tcPr>
          <w:p>
            <w:r>
              <w:t>Публичный</w:t>
            </w:r>
          </w:p>
        </w:tc>
      </w:tr>
      <w:tr>
        <w:tc>
          <w:tcPr>
            <w:tcW w:type="dxa" w:w="2422"/>
            <w:vAlign w:val="center"/>
          </w:tcPr>
          <w:p>
            <w:r>
              <w:t>GET</w:t>
            </w:r>
          </w:p>
        </w:tc>
        <w:tc>
          <w:tcPr>
            <w:tcW w:type="dxa" w:w="2422"/>
            <w:vAlign w:val="center"/>
          </w:tcPr>
          <w:p>
            <w:r>
              <w:t>/api/favorites</w:t>
            </w:r>
          </w:p>
        </w:tc>
        <w:tc>
          <w:tcPr>
            <w:tcW w:type="dxa" w:w="2422"/>
            <w:vAlign w:val="center"/>
          </w:tcPr>
          <w:p>
            <w:r>
              <w:t>Получение избранного</w:t>
            </w:r>
          </w:p>
        </w:tc>
        <w:tc>
          <w:tcPr>
            <w:tcW w:type="dxa" w:w="2422"/>
            <w:vAlign w:val="center"/>
          </w:tcPr>
          <w:p>
            <w:r>
              <w:t>Авторизованный пользователь</w:t>
            </w:r>
          </w:p>
        </w:tc>
      </w:tr>
      <w:tr>
        <w:tc>
          <w:tcPr>
            <w:tcW w:type="dxa" w:w="2422"/>
            <w:vAlign w:val="center"/>
          </w:tcPr>
          <w:p>
            <w:r>
              <w:t>POST</w:t>
            </w:r>
          </w:p>
        </w:tc>
        <w:tc>
          <w:tcPr>
            <w:tcW w:type="dxa" w:w="2422"/>
            <w:vAlign w:val="center"/>
          </w:tcPr>
          <w:p>
            <w:r>
              <w:t>/api/favorites/toggle</w:t>
            </w:r>
          </w:p>
        </w:tc>
        <w:tc>
          <w:tcPr>
            <w:tcW w:type="dxa" w:w="2422"/>
            <w:vAlign w:val="center"/>
          </w:tcPr>
          <w:p>
            <w:r>
              <w:t>Переключение избранного</w:t>
            </w:r>
          </w:p>
        </w:tc>
        <w:tc>
          <w:tcPr>
            <w:tcW w:type="dxa" w:w="2422"/>
            <w:vAlign w:val="center"/>
          </w:tcPr>
          <w:p>
            <w:r>
              <w:t>Авторизованный пользователь</w:t>
            </w:r>
          </w:p>
        </w:tc>
      </w:tr>
      <w:tr>
        <w:tc>
          <w:tcPr>
            <w:tcW w:type="dxa" w:w="2422"/>
            <w:vAlign w:val="center"/>
          </w:tcPr>
          <w:p>
            <w:r>
              <w:t>POST</w:t>
            </w:r>
          </w:p>
        </w:tc>
        <w:tc>
          <w:tcPr>
            <w:tcW w:type="dxa" w:w="2422"/>
            <w:vAlign w:val="center"/>
          </w:tcPr>
          <w:p>
            <w:r>
              <w:t>/api/favorites/sync</w:t>
            </w:r>
          </w:p>
        </w:tc>
        <w:tc>
          <w:tcPr>
            <w:tcW w:type="dxa" w:w="2422"/>
            <w:vAlign w:val="center"/>
          </w:tcPr>
          <w:p>
            <w:r>
              <w:t>Синхронизация избранного</w:t>
            </w:r>
          </w:p>
        </w:tc>
        <w:tc>
          <w:tcPr>
            <w:tcW w:type="dxa" w:w="2422"/>
            <w:vAlign w:val="center"/>
          </w:tcPr>
          <w:p>
            <w:r>
              <w:t>Авторизованный пользователь</w:t>
            </w:r>
          </w:p>
        </w:tc>
      </w:tr>
      <w:tr>
        <w:tc>
          <w:tcPr>
            <w:tcW w:type="dxa" w:w="2422"/>
            <w:vAlign w:val="center"/>
          </w:tcPr>
          <w:p>
            <w:r>
              <w:t>POST</w:t>
            </w:r>
          </w:p>
        </w:tc>
        <w:tc>
          <w:tcPr>
            <w:tcW w:type="dxa" w:w="2422"/>
            <w:vAlign w:val="center"/>
          </w:tcPr>
          <w:p>
            <w:r>
              <w:t>/api/jobs/fulfill</w:t>
            </w:r>
          </w:p>
        </w:tc>
        <w:tc>
          <w:tcPr>
            <w:tcW w:type="dxa" w:w="2422"/>
            <w:vAlign w:val="center"/>
          </w:tcPr>
          <w:p>
            <w:r>
              <w:t>Обработка выдачи цифрового товара</w:t>
            </w:r>
          </w:p>
        </w:tc>
        <w:tc>
          <w:tcPr>
            <w:tcW w:type="dxa" w:w="2422"/>
            <w:vAlign w:val="center"/>
          </w:tcPr>
          <w:p>
            <w:r>
              <w:t>Служебный</w:t>
            </w:r>
          </w:p>
        </w:tc>
      </w:tr>
      <w:tr>
        <w:tc>
          <w:tcPr>
            <w:tcW w:type="dxa" w:w="2422"/>
            <w:vAlign w:val="center"/>
          </w:tcPr>
          <w:p>
            <w:r>
              <w:t>POST</w:t>
            </w:r>
          </w:p>
        </w:tc>
        <w:tc>
          <w:tcPr>
            <w:tcW w:type="dxa" w:w="2422"/>
            <w:vAlign w:val="center"/>
          </w:tcPr>
          <w:p>
            <w:r>
              <w:t>/api/jobs/sync-digiseller</w:t>
            </w:r>
          </w:p>
        </w:tc>
        <w:tc>
          <w:tcPr>
            <w:tcW w:type="dxa" w:w="2422"/>
            <w:vAlign w:val="center"/>
          </w:tcPr>
          <w:p>
            <w:r>
              <w:t>Синхронизация Digiseller</w:t>
            </w:r>
          </w:p>
        </w:tc>
        <w:tc>
          <w:tcPr>
            <w:tcW w:type="dxa" w:w="2422"/>
            <w:vAlign w:val="center"/>
          </w:tcPr>
          <w:p>
            <w:r>
              <w:t>Служебный</w:t>
            </w:r>
          </w:p>
        </w:tc>
      </w:tr>
      <w:tr>
        <w:tc>
          <w:tcPr>
            <w:tcW w:type="dxa" w:w="2422"/>
            <w:vAlign w:val="center"/>
          </w:tcPr>
          <w:p>
            <w:r>
              <w:t>POST</w:t>
            </w:r>
          </w:p>
        </w:tc>
        <w:tc>
          <w:tcPr>
            <w:tcW w:type="dxa" w:w="2422"/>
            <w:vAlign w:val="center"/>
          </w:tcPr>
          <w:p>
            <w:r>
              <w:t>/api/locale</w:t>
            </w:r>
          </w:p>
        </w:tc>
        <w:tc>
          <w:tcPr>
            <w:tcW w:type="dxa" w:w="2422"/>
            <w:vAlign w:val="center"/>
          </w:tcPr>
          <w:p>
            <w:r>
              <w:t>Смена языка интерфейса</w:t>
            </w:r>
          </w:p>
        </w:tc>
        <w:tc>
          <w:tcPr>
            <w:tcW w:type="dxa" w:w="2422"/>
            <w:vAlign w:val="center"/>
          </w:tcPr>
          <w:p>
            <w:r>
              <w:t>Публичный</w:t>
            </w:r>
          </w:p>
        </w:tc>
      </w:tr>
    </w:tbl>
    <w:p>
      <w:pPr>
        <w:pStyle w:val="Heading2"/>
      </w:pPr>
      <w:r>
        <w:t>Пример описания API</w:t>
      </w:r>
    </w:p>
    <w:p>
      <w:r>
        <w:t>Endpoint POST /api/auth/register используется для регистрации пользователя. В запросе передаются email, password и необязательное поле name. Сервер проверяет корректность данных, применяет rate limit, проверяет уникальность email, хеширует пароль и создает пользователя.</w:t>
      </w:r>
    </w:p>
    <w:p>
      <w:r>
        <w:t>Пример request body:</w:t>
      </w:r>
    </w:p>
    <w:p>
      <w:r>
        <w:t>{ "email": "user@example.com", "password": "password123", "name": "User" }</w:t>
      </w:r>
    </w:p>
    <w:p>
      <w:r>
        <w:t>Пример успешного ответа:</w:t>
      </w:r>
    </w:p>
    <w:p>
      <w:r>
        <w:t>{ "ok": true, "userId": "clx..." }</w:t>
      </w:r>
    </w:p>
    <w:p>
      <w:pPr>
        <w:pStyle w:val="Heading2"/>
      </w:pPr>
      <w:r>
        <w:t>Служебные API</w:t>
      </w:r>
    </w:p>
    <w:p>
      <w:r>
        <w:t>Для фоновых задач используются защищенные endpoint /api/jobs/fulfill и /api/jobs/sync-digiseller. Доступ к ним выполняется только при передаче заголовка x-jobs-secret, значение которого должно совпадать с переменной окружения JOBS_SECRET.</w:t>
      </w:r>
    </w:p>
    <w:p>
      <w:pPr>
        <w:pStyle w:val="Heading1"/>
      </w:pPr>
      <w:r>
        <w:t>Документация пользователя</w:t>
      </w:r>
    </w:p>
    <w:p>
      <w:r>
        <w:t>Пользовательская документация оформлена в формате GitHub Wiki. Она содержит не только текстовые инструкции, но и изображения интерфейса приложения: главный экран, верхнюю панель, поиск, карточки товаров, кнопки добавления в корзину и нижнюю часть страницы.</w:t>
      </w:r>
    </w:p>
    <w:p>
      <w:pPr>
        <w:pStyle w:val="Heading2"/>
      </w:pPr>
      <w:r>
        <w:t>Структура пользовательской Wiki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r>
              <w:t>Страница</w:t>
            </w:r>
          </w:p>
        </w:tc>
        <w:tc>
          <w:tcPr>
            <w:tcW w:type="dxa" w:w="4844"/>
            <w:vAlign w:val="center"/>
          </w:tcPr>
          <w:p>
            <w:r>
              <w:t>Описание</w:t>
            </w:r>
          </w:p>
        </w:tc>
      </w:tr>
      <w:tr>
        <w:tc>
          <w:tcPr>
            <w:tcW w:type="dxa" w:w="4844"/>
            <w:vAlign w:val="center"/>
          </w:tcPr>
          <w:p>
            <w:r>
              <w:t>Home.md</w:t>
            </w:r>
          </w:p>
        </w:tc>
        <w:tc>
          <w:tcPr>
            <w:tcW w:type="dxa" w:w="4844"/>
            <w:vAlign w:val="center"/>
          </w:tcPr>
          <w:p>
            <w:r>
              <w:t>Главная страница Wiki с общим видом интерфейса.</w:t>
            </w:r>
          </w:p>
        </w:tc>
      </w:tr>
      <w:tr>
        <w:tc>
          <w:tcPr>
            <w:tcW w:type="dxa" w:w="4844"/>
            <w:vAlign w:val="center"/>
          </w:tcPr>
          <w:p>
            <w:r>
              <w:t>User-interface.md</w:t>
            </w:r>
          </w:p>
        </w:tc>
        <w:tc>
          <w:tcPr>
            <w:tcW w:type="dxa" w:w="4844"/>
            <w:vAlign w:val="center"/>
          </w:tcPr>
          <w:p>
            <w:r>
              <w:t>Обзор основных элементов пользовательского интерфейса.</w:t>
            </w:r>
          </w:p>
        </w:tc>
      </w:tr>
      <w:tr>
        <w:tc>
          <w:tcPr>
            <w:tcW w:type="dxa" w:w="4844"/>
            <w:vAlign w:val="center"/>
          </w:tcPr>
          <w:p>
            <w:r>
              <w:t>Registration-and-login.md</w:t>
            </w:r>
          </w:p>
        </w:tc>
        <w:tc>
          <w:tcPr>
            <w:tcW w:type="dxa" w:w="4844"/>
            <w:vAlign w:val="center"/>
          </w:tcPr>
          <w:p>
            <w:r>
              <w:t>Регистрация и вход пользователя.</w:t>
            </w:r>
          </w:p>
        </w:tc>
      </w:tr>
      <w:tr>
        <w:tc>
          <w:tcPr>
            <w:tcW w:type="dxa" w:w="4844"/>
            <w:vAlign w:val="center"/>
          </w:tcPr>
          <w:p>
            <w:r>
              <w:t>Product-catalog.md</w:t>
            </w:r>
          </w:p>
        </w:tc>
        <w:tc>
          <w:tcPr>
            <w:tcW w:type="dxa" w:w="4844"/>
            <w:vAlign w:val="center"/>
          </w:tcPr>
          <w:p>
            <w:r>
              <w:t>Каталог и карточки товаров.</w:t>
            </w:r>
          </w:p>
        </w:tc>
      </w:tr>
      <w:tr>
        <w:tc>
          <w:tcPr>
            <w:tcW w:type="dxa" w:w="4844"/>
            <w:vAlign w:val="center"/>
          </w:tcPr>
          <w:p>
            <w:r>
              <w:t>Cart.md</w:t>
            </w:r>
          </w:p>
        </w:tc>
        <w:tc>
          <w:tcPr>
            <w:tcW w:type="dxa" w:w="4844"/>
            <w:vAlign w:val="center"/>
          </w:tcPr>
          <w:p>
            <w:r>
              <w:t>Работа с корзиной.</w:t>
            </w:r>
          </w:p>
        </w:tc>
      </w:tr>
      <w:tr>
        <w:tc>
          <w:tcPr>
            <w:tcW w:type="dxa" w:w="4844"/>
            <w:vAlign w:val="center"/>
          </w:tcPr>
          <w:p>
            <w:r>
              <w:t>Checkout.md</w:t>
            </w:r>
          </w:p>
        </w:tc>
        <w:tc>
          <w:tcPr>
            <w:tcW w:type="dxa" w:w="4844"/>
            <w:vAlign w:val="center"/>
          </w:tcPr>
          <w:p>
            <w:r>
              <w:t>Оформление заказа.</w:t>
            </w:r>
          </w:p>
        </w:tc>
      </w:tr>
      <w:tr>
        <w:tc>
          <w:tcPr>
            <w:tcW w:type="dxa" w:w="4844"/>
            <w:vAlign w:val="center"/>
          </w:tcPr>
          <w:p>
            <w:r>
              <w:t>Order-details.md</w:t>
            </w:r>
          </w:p>
        </w:tc>
        <w:tc>
          <w:tcPr>
            <w:tcW w:type="dxa" w:w="4844"/>
            <w:vAlign w:val="center"/>
          </w:tcPr>
          <w:p>
            <w:r>
              <w:t>Просмотр статуса заказа.</w:t>
            </w:r>
          </w:p>
        </w:tc>
      </w:tr>
      <w:tr>
        <w:tc>
          <w:tcPr>
            <w:tcW w:type="dxa" w:w="4844"/>
            <w:vAlign w:val="center"/>
          </w:tcPr>
          <w:p>
            <w:r>
              <w:t>Admin-panel.md</w:t>
            </w:r>
          </w:p>
        </w:tc>
        <w:tc>
          <w:tcPr>
            <w:tcW w:type="dxa" w:w="4844"/>
            <w:vAlign w:val="center"/>
          </w:tcPr>
          <w:p>
            <w:r>
              <w:t>Описание административной панели.</w:t>
            </w:r>
          </w:p>
        </w:tc>
      </w:tr>
    </w:tbl>
    <w:p>
      <w:pPr>
        <w:pStyle w:val="Heading1"/>
      </w:pPr>
      <w:r>
        <w:t>Пользовательский сценарий</w:t>
      </w:r>
    </w:p>
    <w:p>
      <w:pPr>
        <w:pStyle w:val="ListNumber"/>
      </w:pPr>
      <w:r>
        <w:t>Пользователь открывает главную страницу приложения.</w:t>
      </w:r>
    </w:p>
    <w:p>
      <w:pPr>
        <w:pStyle w:val="ListNumber"/>
      </w:pPr>
      <w:r>
        <w:t>Через поиск или каталог выбирает цифровой товар.</w:t>
      </w:r>
    </w:p>
    <w:p>
      <w:pPr>
        <w:pStyle w:val="ListNumber"/>
      </w:pPr>
      <w:r>
        <w:t>Открывает карточку товара или сразу добавляет товар в корзину.</w:t>
      </w:r>
    </w:p>
    <w:p>
      <w:pPr>
        <w:pStyle w:val="ListNumber"/>
      </w:pPr>
      <w:r>
        <w:t>Переходит в корзину и проверяет состав заказа.</w:t>
      </w:r>
    </w:p>
    <w:p>
      <w:pPr>
        <w:pStyle w:val="ListNumber"/>
      </w:pPr>
      <w:r>
        <w:t>Оформляет заказ и переходит к оплате через Digiseller.</w:t>
      </w:r>
    </w:p>
    <w:p>
      <w:pPr>
        <w:pStyle w:val="ListNumber"/>
      </w:pPr>
      <w:r>
        <w:t>После оплаты возвращается на страницу заказа и получает цифровой товар.</w:t>
      </w:r>
    </w:p>
    <w:p>
      <w:pPr>
        <w:pStyle w:val="Heading1"/>
      </w:pPr>
      <w:r>
        <w:t>Приложение. Интерфейс пользователя</w:t>
      </w:r>
    </w:p>
    <w:p>
      <w:pPr>
        <w:pStyle w:val="Heading2"/>
      </w:pPr>
      <w:r>
        <w:t>Главная страница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178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7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Общий вид главной страницы с поиском, навигацией, преимуществами и карточками товаров.</w:t>
      </w:r>
    </w:p>
    <w:p>
      <w:pPr>
        <w:pStyle w:val="Heading2"/>
      </w:pPr>
      <w:r>
        <w:t>Основные элементы интерфейса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686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-annotated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6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Аннотированный вид интерфейса: поиск, корзина, переключение языка и карточки товаров.</w:t>
      </w:r>
    </w:p>
    <w:p>
      <w:pPr>
        <w:pStyle w:val="Heading2"/>
      </w:pPr>
      <w:r>
        <w:t>Верхняя панель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4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-hea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Навигация, переключение языка, корзина, вход и регистрация.</w:t>
      </w:r>
    </w:p>
    <w:p>
      <w:pPr>
        <w:pStyle w:val="Heading2"/>
      </w:pPr>
      <w:r>
        <w:t>Карточки товаров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51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-product-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Карточки с изображением, ценой, названием и кнопками Details/Add to cart.</w:t>
      </w:r>
    </w:p>
    <w:p>
      <w:pPr>
        <w:pStyle w:val="Heading1"/>
      </w:pPr>
      <w:r>
        <w:t>Размещение материалов</w:t>
      </w:r>
    </w:p>
    <w:p>
      <w:r>
        <w:t>Материалы размещены в GitHub-репозитории: https://github.com/Lettalochka/sipi</w:t>
      </w:r>
    </w:p>
    <w:p>
      <w:r>
        <w:t>API-документация находится в каталоге practice_10/developer_documentation, пользовательская Wiki - в каталоге practice_10/user_wiki.</w:t>
      </w:r>
    </w:p>
    <w:p>
      <w:pPr>
        <w:pStyle w:val="Heading1"/>
      </w:pPr>
      <w:r>
        <w:t>Вывод</w:t>
      </w:r>
    </w:p>
    <w:p>
      <w:r>
        <w:t>В ходе практической работы была подготовлена документация разработчика в виде API-reference и OpenAPI-спецификации, а также пользовательская Wiki-документация с изображениями интерфейса. Такая структура помогает разработчикам понимать серверные интерфейсы системы, а пользователям - выполнять основные действия в приложении.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