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Отчет по практической работе</w:t>
      </w:r>
    </w:p>
    <w:p>
      <w:pPr>
        <w:jc w:val="center"/>
      </w:pPr>
      <w:r>
        <w:rPr>
          <w:b/>
          <w:sz w:val="32"/>
        </w:rPr>
        <w:t>Практическая работа №10</w:t>
      </w:r>
    </w:p>
    <w:p>
      <w:pPr>
        <w:jc w:val="center"/>
      </w:pPr>
      <w:r>
        <w:rPr>
          <w:b/>
          <w:sz w:val="32"/>
        </w:rPr>
        <w:t>Документирование разработки ПО</w:t>
      </w:r>
    </w:p>
    <w:p/>
    <w:p>
      <w:r>
        <w:t>Дисциплина: Системная и программная инженерия</w:t>
      </w:r>
    </w:p>
    <w:p>
      <w:r>
        <w:t>Проект: Legal Store</w:t>
      </w:r>
    </w:p>
    <w:p>
      <w:r>
        <w:t>Студент: Lettalochka</w:t>
      </w:r>
    </w:p>
    <w:p>
      <w:r>
        <w:t>Дата выполнения: 24.04.2026</w:t>
      </w:r>
    </w:p>
    <w:p>
      <w:r>
        <w:br w:type="page"/>
      </w:r>
    </w:p>
    <w:p>
      <w:pPr>
        <w:pStyle w:val="Heading1"/>
      </w:pPr>
      <w:r>
        <w:t>Цель работы</w:t>
      </w:r>
    </w:p>
    <w:p>
      <w:r>
        <w:t>Создать документацию разработчика и пользователя. Документация разработчика оформлена как HTML API-reference. Пользовательская документация оформлена как Wiki-навигация и набор отдельных HTML-страниц интерфейса со встроенным CSS.</w:t>
      </w:r>
    </w:p>
    <w:p>
      <w:pPr>
        <w:pStyle w:val="Heading1"/>
      </w:pPr>
      <w:r>
        <w:t>Документация разработчика</w:t>
      </w:r>
    </w:p>
    <w:p>
      <w:r>
        <w:t>Для разработчика подготовлена HTML-страница api_reference.html. Она содержит таблицу API, карточки endpoint, примеры JSON-запросов и ответов, а также информацию об авторизации и служебных заголовках.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Файл</w:t>
            </w:r>
          </w:p>
        </w:tc>
        <w:tc>
          <w:tcPr>
            <w:tcW w:type="dxa" w:w="4844"/>
            <w:vAlign w:val="center"/>
          </w:tcPr>
          <w:p>
            <w: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api_reference.html</w:t>
            </w:r>
          </w:p>
        </w:tc>
        <w:tc>
          <w:tcPr>
            <w:tcW w:type="dxa" w:w="4844"/>
            <w:vAlign w:val="center"/>
          </w:tcPr>
          <w:p>
            <w:r>
              <w:t>Визуальный API-reference для открытия в браузере.</w:t>
            </w:r>
          </w:p>
        </w:tc>
      </w:tr>
      <w:tr>
        <w:tc>
          <w:tcPr>
            <w:tcW w:type="dxa" w:w="4844"/>
            <w:vAlign w:val="center"/>
          </w:tcPr>
          <w:p>
            <w:r>
              <w:t>api_reference.md</w:t>
            </w:r>
          </w:p>
        </w:tc>
        <w:tc>
          <w:tcPr>
            <w:tcW w:type="dxa" w:w="4844"/>
            <w:vAlign w:val="center"/>
          </w:tcPr>
          <w:p>
            <w:r>
              <w:t>Текстовая версия API-reference.</w:t>
            </w:r>
          </w:p>
        </w:tc>
      </w:tr>
      <w:tr>
        <w:tc>
          <w:tcPr>
            <w:tcW w:type="dxa" w:w="4844"/>
            <w:vAlign w:val="center"/>
          </w:tcPr>
          <w:p>
            <w:r>
              <w:t>openapi.yaml</w:t>
            </w:r>
          </w:p>
        </w:tc>
        <w:tc>
          <w:tcPr>
            <w:tcW w:type="dxa" w:w="4844"/>
            <w:vAlign w:val="center"/>
          </w:tcPr>
          <w:p>
            <w:r>
              <w:t>OpenAPI 3.0 спецификация.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developer_documentation.zip</w:t>
            </w:r>
          </w:p>
        </w:tc>
        <w:tc>
          <w:tcPr>
            <w:tcW w:type="dxa" w:w="4844"/>
            <w:vAlign w:val="center"/>
          </w:tcPr>
          <w:p>
            <w:r>
              <w:t>Архив документации разработчика.</w:t>
            </w:r>
          </w:p>
        </w:tc>
      </w:tr>
    </w:tbl>
    <w:p>
      <w:pPr>
        <w:pStyle w:val="Heading2"/>
      </w:pPr>
      <w:r>
        <w:t>API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</w:tcPr>
          <w:p>
            <w:r>
              <w:t>Метод</w:t>
            </w:r>
          </w:p>
        </w:tc>
        <w:tc>
          <w:tcPr>
            <w:tcW w:type="dxa" w:w="3230"/>
            <w:vAlign w:val="center"/>
          </w:tcPr>
          <w:p>
            <w:r>
              <w:t>Endpoint</w:t>
            </w:r>
          </w:p>
        </w:tc>
        <w:tc>
          <w:tcPr>
            <w:tcW w:type="dxa" w:w="3230"/>
            <w:vAlign w:val="center"/>
          </w:tcPr>
          <w:p>
            <w:r>
              <w:t>Назначение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/api/auth/register</w:t>
            </w:r>
          </w:p>
        </w:tc>
        <w:tc>
          <w:tcPr>
            <w:tcW w:type="dxa" w:w="3230"/>
            <w:vAlign w:val="center"/>
          </w:tcPr>
          <w:p>
            <w:r>
              <w:t>Регистрация пользователя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/api/checkout/create-payment</w:t>
            </w:r>
          </w:p>
        </w:tc>
        <w:tc>
          <w:tcPr>
            <w:tcW w:type="dxa" w:w="3230"/>
            <w:vAlign w:val="center"/>
          </w:tcPr>
          <w:p>
            <w:r>
              <w:t>Создание платежа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/api/digiseller/callback</w:t>
            </w:r>
          </w:p>
        </w:tc>
        <w:tc>
          <w:tcPr>
            <w:tcW w:type="dxa" w:w="3230"/>
            <w:vAlign w:val="center"/>
          </w:tcPr>
          <w:p>
            <w:r>
              <w:t>Webhook Digiseller</w:t>
            </w:r>
          </w:p>
        </w:tc>
      </w:tr>
      <w:tr>
        <w:tc>
          <w:tcPr>
            <w:tcW w:type="dxa" w:w="3230"/>
            <w:vAlign w:val="center"/>
          </w:tcPr>
          <w:p>
            <w:r>
              <w:t>GET</w:t>
            </w:r>
          </w:p>
        </w:tc>
        <w:tc>
          <w:tcPr>
            <w:tcW w:type="dxa" w:w="3230"/>
            <w:vAlign w:val="center"/>
          </w:tcPr>
          <w:p>
            <w:r>
              <w:t>/api/digiseller/return</w:t>
            </w:r>
          </w:p>
        </w:tc>
        <w:tc>
          <w:tcPr>
            <w:tcW w:type="dxa" w:w="3230"/>
            <w:vAlign w:val="center"/>
          </w:tcPr>
          <w:p>
            <w:r>
              <w:t>Возврат после оплаты</w:t>
            </w:r>
          </w:p>
        </w:tc>
      </w:tr>
      <w:tr>
        <w:tc>
          <w:tcPr>
            <w:tcW w:type="dxa" w:w="3230"/>
            <w:vAlign w:val="center"/>
          </w:tcPr>
          <w:p>
            <w:r>
              <w:t>GET</w:t>
            </w:r>
          </w:p>
        </w:tc>
        <w:tc>
          <w:tcPr>
            <w:tcW w:type="dxa" w:w="3230"/>
            <w:vAlign w:val="center"/>
          </w:tcPr>
          <w:p>
            <w:r>
              <w:t>/api/favorites</w:t>
            </w:r>
          </w:p>
        </w:tc>
        <w:tc>
          <w:tcPr>
            <w:tcW w:type="dxa" w:w="3230"/>
            <w:vAlign w:val="center"/>
          </w:tcPr>
          <w:p>
            <w:r>
              <w:t>Получение избранного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/api/favorites/toggle</w:t>
            </w:r>
          </w:p>
        </w:tc>
        <w:tc>
          <w:tcPr>
            <w:tcW w:type="dxa" w:w="3230"/>
            <w:vAlign w:val="center"/>
          </w:tcPr>
          <w:p>
            <w:r>
              <w:t>Переключение избранного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/api/jobs/fulfill</w:t>
            </w:r>
          </w:p>
        </w:tc>
        <w:tc>
          <w:tcPr>
            <w:tcW w:type="dxa" w:w="3230"/>
            <w:vAlign w:val="center"/>
          </w:tcPr>
          <w:p>
            <w:r>
              <w:t>Выдача цифрового товара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/api/jobs/sync-digiseller</w:t>
            </w:r>
          </w:p>
        </w:tc>
        <w:tc>
          <w:tcPr>
            <w:tcW w:type="dxa" w:w="3230"/>
            <w:vAlign w:val="center"/>
          </w:tcPr>
          <w:p>
            <w:r>
              <w:t>Синхронизация Digiseller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/api/locale</w:t>
            </w:r>
          </w:p>
        </w:tc>
        <w:tc>
          <w:tcPr>
            <w:tcW w:type="dxa" w:w="3230"/>
            <w:vAlign w:val="center"/>
          </w:tcPr>
          <w:p>
            <w:r>
              <w:t>Смена языка</w:t>
            </w:r>
          </w:p>
        </w:tc>
      </w:tr>
    </w:tbl>
    <w:p>
      <w:pPr>
        <w:pStyle w:val="Heading1"/>
      </w:pPr>
      <w:r>
        <w:t>Пользовательская Wiki</w:t>
      </w:r>
    </w:p>
    <w:p>
      <w:r>
        <w:t>Markdown-страницы Wiki используются как навигация и описание. Визуальное отображение интерфейса вынесено в отдельные HTML-файлы, потому что GitHub Markdown не применяет CSS к коду внутри code block. Каждый HTML-файл содержит собственный CSS и открывается в браузере как полноценный макет интерфейса.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HTML-файл</w:t>
            </w:r>
          </w:p>
        </w:tc>
        <w:tc>
          <w:tcPr>
            <w:tcW w:type="dxa" w:w="4844"/>
            <w:vAlign w:val="center"/>
          </w:tcPr>
          <w:p>
            <w:r>
              <w:t>Экран</w:t>
            </w:r>
          </w:p>
        </w:tc>
      </w:tr>
      <w:tr>
        <w:tc>
          <w:tcPr>
            <w:tcW w:type="dxa" w:w="4844"/>
            <w:vAlign w:val="center"/>
          </w:tcPr>
          <w:p>
            <w:r>
              <w:t>user_interface.html</w:t>
            </w:r>
          </w:p>
        </w:tc>
        <w:tc>
          <w:tcPr>
            <w:tcW w:type="dxa" w:w="4844"/>
            <w:vAlign w:val="center"/>
          </w:tcPr>
          <w:p>
            <w:r>
              <w:t>Главный экран магазина: шапка, поиск, карточки товаров.</w:t>
            </w:r>
          </w:p>
        </w:tc>
      </w:tr>
      <w:tr>
        <w:tc>
          <w:tcPr>
            <w:tcW w:type="dxa" w:w="4844"/>
            <w:vAlign w:val="center"/>
          </w:tcPr>
          <w:p>
            <w:r>
              <w:t>auth.html</w:t>
            </w:r>
          </w:p>
        </w:tc>
        <w:tc>
          <w:tcPr>
            <w:tcW w:type="dxa" w:w="4844"/>
            <w:vAlign w:val="center"/>
          </w:tcPr>
          <w:p>
            <w:r>
              <w:t>Экран входа пользователя.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catalog.html</w:t>
            </w:r>
          </w:p>
        </w:tc>
        <w:tc>
          <w:tcPr>
            <w:tcW w:type="dxa" w:w="4844"/>
            <w:vAlign w:val="center"/>
          </w:tcPr>
          <w:p>
            <w:r>
              <w:t>Каталог товаров.</w:t>
            </w:r>
          </w:p>
        </w:tc>
      </w:tr>
      <w:tr>
        <w:tc>
          <w:tcPr>
            <w:tcW w:type="dxa" w:w="4844"/>
            <w:vAlign w:val="center"/>
          </w:tcPr>
          <w:p>
            <w:r>
              <w:t>cart.html</w:t>
            </w:r>
          </w:p>
        </w:tc>
        <w:tc>
          <w:tcPr>
            <w:tcW w:type="dxa" w:w="4844"/>
            <w:vAlign w:val="center"/>
          </w:tcPr>
          <w:p>
            <w:r>
              <w:t>Корзина.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checkout.html</w:t>
            </w:r>
          </w:p>
        </w:tc>
        <w:tc>
          <w:tcPr>
            <w:tcW w:type="dxa" w:w="4844"/>
            <w:vAlign w:val="center"/>
          </w:tcPr>
          <w:p>
            <w:r>
              <w:t>Оформление заказа.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order_status.html</w:t>
            </w:r>
          </w:p>
        </w:tc>
        <w:tc>
          <w:tcPr>
            <w:tcW w:type="dxa" w:w="4844"/>
            <w:vAlign w:val="center"/>
          </w:tcPr>
          <w:p>
            <w:r>
              <w:t>Страница статуса заказа и цифрового ключа.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admin_panel.html</w:t>
            </w:r>
          </w:p>
        </w:tc>
        <w:tc>
          <w:tcPr>
            <w:tcW w:type="dxa" w:w="4844"/>
            <w:vAlign w:val="center"/>
          </w:tcPr>
          <w:p>
            <w:r>
              <w:t>Административная панель.</w:t>
            </w:r>
          </w:p>
        </w:tc>
      </w:tr>
    </w:tbl>
    <w:p>
      <w:pPr>
        <w:pStyle w:val="Heading2"/>
      </w:pPr>
      <w:r>
        <w:t>Пример HTML-интерфейса</w:t>
      </w:r>
    </w:p>
    <w:p>
      <w:r>
        <w:rPr>
          <w:rFonts w:ascii="Courier New" w:hAnsi="Courier New"/>
          <w:sz w:val="20"/>
        </w:rPr>
        <w:t>&lt;section class="grid"&gt;</w:t>
        <w:br/>
        <w:t xml:space="preserve">  &lt;article class="card"&gt;</w:t>
        <w:br/>
        <w:t xml:space="preserve">    &lt;div class="cover"&gt;Windows 11&lt;/div&gt;</w:t>
        <w:br/>
        <w:t xml:space="preserve">    &lt;div class="body"&gt;</w:t>
        <w:br/>
        <w:t xml:space="preserve">      &lt;div class="meta"&gt;&lt;span&gt;Windows&lt;/span&gt;&lt;strong&gt;$19.99&lt;/strong&gt;&lt;/div&gt;</w:t>
        <w:br/>
        <w:t xml:space="preserve">      &lt;p class="title"&gt;Windows 11 Pro License Key&lt;/p&gt;</w:t>
        <w:br/>
        <w:t xml:space="preserve">      &lt;button class="button"&gt;Add to cart&lt;/button&gt;</w:t>
        <w:br/>
        <w:t xml:space="preserve">    &lt;/div&gt;</w:t>
        <w:br/>
        <w:t xml:space="preserve">  &lt;/article&gt;</w:t>
        <w:br/>
        <w:t>&lt;/section&gt;</w:t>
      </w:r>
    </w:p>
    <w:p>
      <w:pPr>
        <w:pStyle w:val="Heading1"/>
      </w:pPr>
      <w:r>
        <w:t>Вывод</w:t>
      </w:r>
    </w:p>
    <w:p>
      <w:r>
        <w:t>Документация приведена к корректному виду: API-reference разработчика доступен как HTML-страница, пользовательская Wiki содержит ссылки на HTML-экраны с CSS, а не неисполняемые блоки кода. Это позволяет преподавателю открыть файлы и увидеть интерфейс визуально.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